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5804"/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2"/>
        <w:gridCol w:w="285"/>
        <w:gridCol w:w="897"/>
        <w:gridCol w:w="897"/>
        <w:gridCol w:w="374"/>
        <w:gridCol w:w="524"/>
        <w:gridCol w:w="480"/>
        <w:gridCol w:w="417"/>
        <w:gridCol w:w="897"/>
        <w:gridCol w:w="897"/>
        <w:gridCol w:w="798"/>
        <w:gridCol w:w="99"/>
        <w:gridCol w:w="899"/>
      </w:tblGrid>
      <w:tr w:rsidR="00583B19" w:rsidRPr="007A743D" w14:paraId="529A2ED0" w14:textId="77777777" w:rsidTr="007A743D">
        <w:trPr>
          <w:trHeight w:val="339"/>
        </w:trPr>
        <w:tc>
          <w:tcPr>
            <w:tcW w:w="8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8FB242" w14:textId="77777777" w:rsidR="00583B19" w:rsidRPr="007A743D" w:rsidRDefault="00583B19" w:rsidP="007A743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</w:pPr>
          </w:p>
        </w:tc>
        <w:tc>
          <w:tcPr>
            <w:tcW w:w="1359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B65B88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Colon cohort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E223CE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667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28486E8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Rectum cohort</w:t>
            </w:r>
          </w:p>
        </w:tc>
        <w:tc>
          <w:tcPr>
            <w:tcW w:w="55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138296E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583B19" w:rsidRPr="007A743D" w14:paraId="362719E9" w14:textId="77777777" w:rsidTr="007A743D">
        <w:trPr>
          <w:trHeight w:val="488"/>
        </w:trPr>
        <w:tc>
          <w:tcPr>
            <w:tcW w:w="102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2C7D8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5B95AA0" w14:textId="77777777" w:rsidR="00583B19" w:rsidRPr="007A743D" w:rsidRDefault="00583B19" w:rsidP="007A743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Total</w:t>
            </w:r>
          </w:p>
          <w:p w14:paraId="32D66599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(N=1032)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6046C1A" w14:textId="77777777" w:rsidR="00583B19" w:rsidRPr="007A743D" w:rsidRDefault="00583B19" w:rsidP="007A743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MBP+POA</w:t>
            </w:r>
          </w:p>
          <w:p w14:paraId="52B41A27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(N=450)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5C3BE8" w14:textId="77777777" w:rsidR="00583B19" w:rsidRPr="007A743D" w:rsidRDefault="00583B19" w:rsidP="007A743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MBP only</w:t>
            </w:r>
          </w:p>
          <w:p w14:paraId="07732926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4"/>
                <w:sz w:val="12"/>
                <w:szCs w:val="12"/>
              </w:rPr>
              <w:t>(N=582)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FE3F90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 w:themeColor="text1"/>
                <w:kern w:val="24"/>
                <w:sz w:val="12"/>
                <w:szCs w:val="12"/>
              </w:rPr>
              <w:t>p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D97053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proofErr w:type="gramStart"/>
            <w:r w:rsidRPr="007A743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Total  (</w:t>
            </w:r>
            <w:proofErr w:type="gramEnd"/>
            <w:r w:rsidRPr="007A743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N=474)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B6E10A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MBP+POA (N=245)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42203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sz w:val="12"/>
                <w:szCs w:val="12"/>
              </w:rPr>
              <w:t>MBP only (N=229)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99DC9" w14:textId="777777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12"/>
                <w:szCs w:val="12"/>
              </w:rPr>
              <w:t>p</w:t>
            </w:r>
          </w:p>
        </w:tc>
      </w:tr>
      <w:tr w:rsidR="00583B19" w:rsidRPr="007A743D" w14:paraId="1F697D0B" w14:textId="77777777" w:rsidTr="007A743D">
        <w:trPr>
          <w:trHeight w:val="264"/>
        </w:trPr>
        <w:tc>
          <w:tcPr>
            <w:tcW w:w="1023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9DD15" w14:textId="30089CD1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Operation time (min), mean (SD)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33583" w14:textId="03D8D79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168.9 ± 57.4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8B5FC" w14:textId="2F61E04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164.7 ± 54.7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A64C2" w14:textId="1834C98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181.9 ± 60.9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0C9822A6" w14:textId="7E397C6C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&lt;0.001*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5E850" w14:textId="3E326EC0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185±60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E0CC5" w14:textId="2FCF8F7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185±60</w:t>
            </w:r>
          </w:p>
        </w:tc>
        <w:tc>
          <w:tcPr>
            <w:tcW w:w="497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CB4E3" w14:textId="48BEDE2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186±59</w:t>
            </w:r>
          </w:p>
        </w:tc>
        <w:tc>
          <w:tcPr>
            <w:tcW w:w="498" w:type="pct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441B5" w14:textId="7BB98EA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0.925</w:t>
            </w:r>
          </w:p>
        </w:tc>
      </w:tr>
      <w:tr w:rsidR="00583B19" w:rsidRPr="007A743D" w14:paraId="420531FA" w14:textId="77777777" w:rsidTr="007A743D">
        <w:trPr>
          <w:trHeight w:val="306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EE2FE" w14:textId="4875DA79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EBL (ml), median (IQR)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6F580" w14:textId="0A2191D1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10 (0-30)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5176D" w14:textId="6DB8D12A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10 (0-30)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087F7" w14:textId="55E2763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20 (0-50)</w:t>
            </w:r>
          </w:p>
        </w:tc>
        <w:tc>
          <w:tcPr>
            <w:tcW w:w="49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CE0A0" w14:textId="106B44C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0.28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2486B" w14:textId="431C6EEC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20 (0-50)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311919" w14:textId="34D833B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20 (0-50)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9CA109" w14:textId="6544E77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20 (10-50)</w:t>
            </w:r>
          </w:p>
        </w:tc>
        <w:tc>
          <w:tcPr>
            <w:tcW w:w="498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A9EA7" w14:textId="475DFCD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0.865</w:t>
            </w:r>
          </w:p>
        </w:tc>
      </w:tr>
      <w:tr w:rsidR="00583B19" w:rsidRPr="007A743D" w14:paraId="115B9B62" w14:textId="77777777" w:rsidTr="007A743D">
        <w:trPr>
          <w:trHeight w:val="342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5B1E55" w14:textId="1B18F0DF" w:rsidR="00583B19" w:rsidRPr="007A743D" w:rsidRDefault="007A743D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Postoperative HD</w:t>
            </w:r>
            <w:r w:rsidR="00583B19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(days), median (IQR)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78CE7" w14:textId="64989E6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 (5-7)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D55494" w14:textId="38DA1603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 (5-6)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AA9BA" w14:textId="7403697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 (5-7)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EE1711" w14:textId="69BCAE7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F7C07D" w14:textId="08A1886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 (5-7)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06909" w14:textId="37FB784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 (5-6)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A27C8" w14:textId="4541AB29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 (5-7)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4EF43" w14:textId="0350114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0.583</w:t>
            </w:r>
          </w:p>
        </w:tc>
      </w:tr>
      <w:tr w:rsidR="00583B19" w:rsidRPr="007A743D" w14:paraId="79EA88D7" w14:textId="77777777" w:rsidTr="007A743D">
        <w:trPr>
          <w:trHeight w:val="377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64C15E" w14:textId="7D3E9BE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Surgical site infection,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5AE08D" w14:textId="30D6617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115 (11.1)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58447" w14:textId="7F3B2A6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36 (8.0)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0565B" w14:textId="35E2281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79 (13.6)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DD49A" w14:textId="6F4EE7D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0.005*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E1CEDF" w14:textId="31B45C70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30 (12.2)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9F9F5" w14:textId="6F4B07A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30 (13.1)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707A5" w14:textId="2C70C59E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60 (12.7)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CFE09" w14:textId="7D5A0A4C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0.784</w:t>
            </w:r>
          </w:p>
        </w:tc>
      </w:tr>
      <w:tr w:rsidR="00583B19" w:rsidRPr="007A743D" w14:paraId="3FBC40E2" w14:textId="77777777" w:rsidTr="007A743D">
        <w:trPr>
          <w:trHeight w:val="285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09DC3" w14:textId="42BB9550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Grade 1-2,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10CD9" w14:textId="41210A3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87 (8.4)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68D7E" w14:textId="2B916AB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29 (6.4)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ED824" w14:textId="04B70788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58 (10.0)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36ADDA" w14:textId="6E7D169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0.05*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856B2" w14:textId="024A05E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10 (4.1)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29D9E" w14:textId="6CD0AE1A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17 (7.4)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57DA8" w14:textId="1CB4171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27 (5.7)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265E9" w14:textId="43E63FF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0.164</w:t>
            </w:r>
          </w:p>
        </w:tc>
      </w:tr>
      <w:tr w:rsidR="00583B19" w:rsidRPr="007A743D" w14:paraId="6B97F943" w14:textId="77777777" w:rsidTr="007A743D">
        <w:trPr>
          <w:trHeight w:val="321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20282" w14:textId="30EBC2F6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Grade 3,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70374" w14:textId="30A3374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32 (3.1)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C44E4" w14:textId="3DD954BA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10 (2.2)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BD12B" w14:textId="32162D0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22 (3.8)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43FA8" w14:textId="17C9C09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ACC1F" w14:textId="732FED0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20 (8.2)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5B507" w14:textId="10A5BFC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15 (6.6)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0E995F" w14:textId="41BBD83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35 (7.4)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EA476" w14:textId="5E6381E9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0.599</w:t>
            </w:r>
          </w:p>
        </w:tc>
      </w:tr>
      <w:tr w:rsidR="00583B19" w:rsidRPr="007A743D" w14:paraId="7A3C51F7" w14:textId="77777777" w:rsidTr="007A743D">
        <w:trPr>
          <w:trHeight w:val="357"/>
        </w:trPr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427A99" w14:textId="10A1071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SSI Gr 3 without AL,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611C7" w14:textId="2F25CBD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15 (1.5)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4E319" w14:textId="6A23075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 (1.1)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90DD3" w14:textId="5AD6D379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10 (1.7)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42607" w14:textId="7E7BB48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0.60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53B43C" w14:textId="2A7BBB1C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4 (1.6)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62589" w14:textId="67C5F77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11 (4.8)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AB40A" w14:textId="30B459D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15 (3.2)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E9B11C" w14:textId="11E7685F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0.065</w:t>
            </w:r>
          </w:p>
        </w:tc>
      </w:tr>
      <w:tr w:rsidR="00583B19" w:rsidRPr="007A743D" w14:paraId="2CE46428" w14:textId="77777777" w:rsidTr="007A743D">
        <w:trPr>
          <w:trHeight w:val="251"/>
        </w:trPr>
        <w:tc>
          <w:tcPr>
            <w:tcW w:w="102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2165EA" w14:textId="6F218556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Complication,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74FC582" w14:textId="757C033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177 (17.2)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A58DDAD" w14:textId="1274F789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58 (12.9)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3CFA55" w14:textId="0891243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119 (20.4)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5C6977" w14:textId="4327FD6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0.002*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6EB3A" w14:textId="759BC120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81 (17.1)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AC03F" w14:textId="734CE6C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42 (17.1)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E2938" w14:textId="683F422D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39 (17.0)</w:t>
            </w:r>
          </w:p>
        </w:tc>
        <w:tc>
          <w:tcPr>
            <w:tcW w:w="498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303EC2" w14:textId="5DDAB45A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&gt;0.99</w:t>
            </w:r>
          </w:p>
        </w:tc>
      </w:tr>
      <w:tr w:rsidR="00583B19" w:rsidRPr="007A743D" w14:paraId="5D1DA451" w14:textId="77777777" w:rsidTr="007A743D">
        <w:trPr>
          <w:trHeight w:val="287"/>
        </w:trPr>
        <w:tc>
          <w:tcPr>
            <w:tcW w:w="102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3178A" w14:textId="0718A6D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Anastomosis leakage, </w:t>
            </w:r>
            <w:r w:rsidR="004420A2"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>n</w:t>
            </w:r>
            <w:r w:rsidRPr="007A743D">
              <w:rPr>
                <w:rFonts w:ascii="Times New Roman" w:eastAsiaTheme="minorHAnsi" w:hAnsi="Times New Roman" w:cs="Times New Roman"/>
                <w:sz w:val="12"/>
                <w:szCs w:val="12"/>
              </w:rPr>
              <w:t xml:space="preserve"> (%)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0AEE23" w14:textId="1DF0EEF2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19 (1.8)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5E88DC" w14:textId="348765F7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6 (1.3)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B53916" w14:textId="72AB002C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13 (2.2)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5BE0AE" w14:textId="2532944B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0.35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C724F7" w14:textId="2A45D223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22 (4.6)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1E296" w14:textId="539B62B4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17 (6.9)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E6509" w14:textId="0B267301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color w:val="000000" w:themeColor="text1"/>
                <w:kern w:val="24"/>
                <w:sz w:val="12"/>
                <w:szCs w:val="12"/>
              </w:rPr>
              <w:t>5(2.2)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371496" w14:textId="5D169825" w:rsidR="00583B19" w:rsidRPr="007A743D" w:rsidRDefault="00583B19" w:rsidP="007A743D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12"/>
                <w:szCs w:val="12"/>
              </w:rPr>
            </w:pPr>
            <w:r w:rsidRPr="007A743D">
              <w:rPr>
                <w:rFonts w:ascii="Times New Roman" w:eastAsia="맑은 고딕" w:hAnsi="Times New Roman" w:cs="Times New Roman"/>
                <w:i/>
                <w:iCs/>
                <w:color w:val="000000" w:themeColor="text1"/>
                <w:kern w:val="24"/>
                <w:sz w:val="12"/>
                <w:szCs w:val="12"/>
              </w:rPr>
              <w:t>0.016*</w:t>
            </w:r>
          </w:p>
        </w:tc>
      </w:tr>
    </w:tbl>
    <w:p w14:paraId="6FF84686" w14:textId="77777777" w:rsidR="007A743D" w:rsidRPr="00A6780D" w:rsidRDefault="007A743D" w:rsidP="006A0217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Title: Oral antibiotics combined with mechanical bowel preparation reduces the risk of surgical site infections in minimally invasive colorectal cancer surgery</w:t>
      </w:r>
    </w:p>
    <w:p w14:paraId="22B66716" w14:textId="77777777" w:rsidR="007A743D" w:rsidRPr="006A0217" w:rsidRDefault="007A743D" w:rsidP="006A0217">
      <w:pPr>
        <w:spacing w:line="360" w:lineRule="auto"/>
        <w:rPr>
          <w:rFonts w:ascii="Times New Roman" w:hAnsi="Times New Roman" w:cs="Times New Roman"/>
          <w:szCs w:val="20"/>
          <w:vertAlign w:val="superscript"/>
        </w:rPr>
      </w:pPr>
      <w:r w:rsidRPr="006A0217">
        <w:rPr>
          <w:rFonts w:ascii="Times New Roman" w:hAnsi="Times New Roman" w:cs="Times New Roman"/>
        </w:rPr>
        <w:t xml:space="preserve">Authors: </w:t>
      </w:r>
      <w:proofErr w:type="spellStart"/>
      <w:r w:rsidRPr="006A0217">
        <w:rPr>
          <w:rFonts w:ascii="Times New Roman" w:hAnsi="Times New Roman" w:cs="Times New Roman"/>
          <w:szCs w:val="20"/>
        </w:rPr>
        <w:t>Eun</w:t>
      </w:r>
      <w:proofErr w:type="spellEnd"/>
      <w:r w:rsidRPr="006A0217">
        <w:rPr>
          <w:rFonts w:ascii="Times New Roman" w:hAnsi="Times New Roman" w:cs="Times New Roman"/>
          <w:szCs w:val="20"/>
        </w:rPr>
        <w:t xml:space="preserve"> Ji Park</w:t>
      </w:r>
      <w:r w:rsidRPr="006A0217">
        <w:rPr>
          <w:rFonts w:ascii="Times New Roman" w:hAnsi="Times New Roman" w:cs="Times New Roman"/>
          <w:szCs w:val="20"/>
          <w:vertAlign w:val="superscript"/>
        </w:rPr>
        <w:t>1,2</w:t>
      </w:r>
      <w:r w:rsidRPr="006A0217">
        <w:rPr>
          <w:rFonts w:ascii="Times New Roman" w:hAnsi="Times New Roman" w:cs="Times New Roman"/>
          <w:szCs w:val="20"/>
        </w:rPr>
        <w:t>, Min Young Park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  <w:r w:rsidRPr="006A0217">
        <w:rPr>
          <w:rFonts w:ascii="Times New Roman" w:hAnsi="Times New Roman" w:cs="Times New Roman"/>
          <w:szCs w:val="20"/>
        </w:rPr>
        <w:t xml:space="preserve">; Yoon </w:t>
      </w:r>
      <w:proofErr w:type="spellStart"/>
      <w:r w:rsidRPr="006A0217">
        <w:rPr>
          <w:rFonts w:ascii="Times New Roman" w:hAnsi="Times New Roman" w:cs="Times New Roman"/>
          <w:szCs w:val="20"/>
        </w:rPr>
        <w:t>Dae</w:t>
      </w:r>
      <w:proofErr w:type="spellEnd"/>
      <w:r w:rsidRPr="006A0217">
        <w:rPr>
          <w:rFonts w:ascii="Times New Roman" w:hAnsi="Times New Roman" w:cs="Times New Roman"/>
          <w:szCs w:val="20"/>
        </w:rPr>
        <w:t xml:space="preserve"> Han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  <w:r w:rsidRPr="006A0217">
        <w:rPr>
          <w:rFonts w:ascii="Times New Roman" w:hAnsi="Times New Roman" w:cs="Times New Roman"/>
          <w:szCs w:val="20"/>
        </w:rPr>
        <w:t>; Min Soo Cho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  <w:r w:rsidRPr="006A0217">
        <w:rPr>
          <w:rFonts w:ascii="Times New Roman" w:hAnsi="Times New Roman" w:cs="Times New Roman"/>
          <w:szCs w:val="20"/>
        </w:rPr>
        <w:t xml:space="preserve">; </w:t>
      </w:r>
      <w:r w:rsidRPr="006A0217">
        <w:rPr>
          <w:rFonts w:ascii="Times New Roman" w:eastAsia="맑은 고딕" w:hAnsi="Times New Roman" w:cs="Times New Roman"/>
          <w:szCs w:val="20"/>
        </w:rPr>
        <w:t>Hyuk Hur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  <w:r w:rsidRPr="006A0217">
        <w:rPr>
          <w:rFonts w:ascii="Times New Roman" w:hAnsi="Times New Roman" w:cs="Times New Roman"/>
          <w:szCs w:val="20"/>
        </w:rPr>
        <w:t>; Kang Young Lee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  <w:r w:rsidRPr="006A0217">
        <w:rPr>
          <w:rFonts w:ascii="Times New Roman" w:hAnsi="Times New Roman" w:cs="Times New Roman"/>
          <w:szCs w:val="20"/>
        </w:rPr>
        <w:t>; Byung Soh Min</w:t>
      </w:r>
      <w:r w:rsidRPr="006A0217">
        <w:rPr>
          <w:rFonts w:ascii="Times New Roman" w:hAnsi="Times New Roman" w:cs="Times New Roman"/>
          <w:szCs w:val="20"/>
          <w:vertAlign w:val="superscript"/>
        </w:rPr>
        <w:t xml:space="preserve">1, </w:t>
      </w:r>
      <w:r w:rsidRPr="006A0217">
        <w:rPr>
          <w:rFonts w:ascii="Times New Roman" w:hAnsi="Times New Roman" w:cs="Times New Roman"/>
          <w:szCs w:val="20"/>
        </w:rPr>
        <w:t>Seung Yoon Yang</w:t>
      </w:r>
      <w:r w:rsidRPr="006A0217">
        <w:rPr>
          <w:rFonts w:ascii="Times New Roman" w:hAnsi="Times New Roman" w:cs="Times New Roman"/>
          <w:szCs w:val="20"/>
          <w:vertAlign w:val="superscript"/>
        </w:rPr>
        <w:t>1</w:t>
      </w:r>
    </w:p>
    <w:p w14:paraId="4A9D79C1" w14:textId="77777777" w:rsidR="007A743D" w:rsidRPr="00A6780D" w:rsidRDefault="007A743D" w:rsidP="006A0217">
      <w:pPr>
        <w:spacing w:line="360" w:lineRule="auto"/>
        <w:rPr>
          <w:rFonts w:ascii="Times New Roman" w:hAnsi="Times New Roman" w:cs="Times New Roman"/>
          <w:szCs w:val="20"/>
        </w:rPr>
      </w:pPr>
      <w:r w:rsidRPr="00A6780D">
        <w:rPr>
          <w:rFonts w:ascii="Times New Roman" w:hAnsi="Times New Roman" w:cs="Times New Roman"/>
          <w:szCs w:val="20"/>
          <w:vertAlign w:val="superscript"/>
        </w:rPr>
        <w:t>1</w:t>
      </w:r>
      <w:r w:rsidRPr="00A6780D">
        <w:rPr>
          <w:rFonts w:ascii="Times New Roman" w:hAnsi="Times New Roman" w:cs="Times New Roman"/>
          <w:szCs w:val="20"/>
        </w:rPr>
        <w:t>Division of Colorectal Surgery, Department of Surgery, Yonsei University College of Medicine, Seoul, Korea</w:t>
      </w:r>
      <w:r w:rsidRPr="00A6780D">
        <w:rPr>
          <w:rFonts w:ascii="Times New Roman" w:hAnsi="Times New Roman" w:cs="Times New Roman"/>
          <w:szCs w:val="20"/>
        </w:rPr>
        <w:br/>
      </w:r>
      <w:r w:rsidRPr="00A6780D">
        <w:rPr>
          <w:rFonts w:ascii="Times New Roman" w:hAnsi="Times New Roman" w:cs="Times New Roman"/>
          <w:szCs w:val="20"/>
          <w:vertAlign w:val="superscript"/>
        </w:rPr>
        <w:t>3</w:t>
      </w:r>
      <w:r w:rsidRPr="00A6780D">
        <w:rPr>
          <w:rFonts w:ascii="Times New Roman" w:hAnsi="Times New Roman" w:cs="Times New Roman"/>
          <w:szCs w:val="20"/>
        </w:rPr>
        <w:t xml:space="preserve">Division of Colorectal Surgery, Department of Surgery, Kyung </w:t>
      </w:r>
      <w:proofErr w:type="spellStart"/>
      <w:r w:rsidRPr="00A6780D">
        <w:rPr>
          <w:rFonts w:ascii="Times New Roman" w:hAnsi="Times New Roman" w:cs="Times New Roman"/>
          <w:szCs w:val="20"/>
        </w:rPr>
        <w:t>Hee</w:t>
      </w:r>
      <w:proofErr w:type="spellEnd"/>
      <w:r w:rsidRPr="00A6780D">
        <w:rPr>
          <w:rFonts w:ascii="Times New Roman" w:hAnsi="Times New Roman" w:cs="Times New Roman"/>
          <w:szCs w:val="20"/>
        </w:rPr>
        <w:t xml:space="preserve"> University College of Medicine, Seoul, Korea</w:t>
      </w:r>
    </w:p>
    <w:p w14:paraId="1654B4E3" w14:textId="77777777" w:rsidR="007A743D" w:rsidRPr="00A6780D" w:rsidRDefault="007A743D" w:rsidP="006A0217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Corresponding author: Seung Yoon Yang</w:t>
      </w:r>
    </w:p>
    <w:p w14:paraId="4AAC1ECA" w14:textId="77777777" w:rsidR="007A743D" w:rsidRDefault="007A743D" w:rsidP="006A0217">
      <w:pPr>
        <w:spacing w:line="360" w:lineRule="auto"/>
        <w:rPr>
          <w:rFonts w:ascii="Times New Roman" w:hAnsi="Times New Roman" w:cs="Times New Roman"/>
        </w:rPr>
      </w:pPr>
      <w:r w:rsidRPr="00A6780D">
        <w:rPr>
          <w:rFonts w:ascii="Times New Roman" w:hAnsi="Times New Roman" w:cs="Times New Roman"/>
        </w:rPr>
        <w:t>Email: syyy2000@yuhs.ac</w:t>
      </w:r>
    </w:p>
    <w:p w14:paraId="5F9E75B1" w14:textId="76015A1D" w:rsidR="00002D70" w:rsidRPr="007A743D" w:rsidRDefault="00002D70"/>
    <w:p w14:paraId="2CEB0592" w14:textId="3152628B" w:rsidR="007A743D" w:rsidRDefault="007A743D">
      <w:pPr>
        <w:rPr>
          <w:rFonts w:ascii="Times New Roman" w:hAnsi="Times New Roman" w:cs="Times New Roman"/>
        </w:rPr>
      </w:pPr>
      <w:r w:rsidRPr="00972469">
        <w:rPr>
          <w:rFonts w:ascii="Times New Roman" w:hAnsi="Times New Roman" w:cs="Times New Roman"/>
        </w:rPr>
        <w:t xml:space="preserve">* </w:t>
      </w:r>
      <w:r w:rsidRPr="003B1EC1">
        <w:rPr>
          <w:rFonts w:ascii="Times New Roman" w:hAnsi="Times New Roman" w:cs="Times New Roman"/>
          <w:i/>
          <w:iCs/>
        </w:rPr>
        <w:t>P</w:t>
      </w:r>
      <w:r w:rsidRPr="00972469">
        <w:rPr>
          <w:rFonts w:ascii="Times New Roman" w:hAnsi="Times New Roman" w:cs="Times New Roman"/>
        </w:rPr>
        <w:t xml:space="preserve"> values ≤ 0.05</w:t>
      </w:r>
    </w:p>
    <w:p w14:paraId="1C5BB98E" w14:textId="515FD643" w:rsidR="007A743D" w:rsidRDefault="007A743D"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 xml:space="preserve">upplement table 2. Perioperative outcomes in colon and rectum cohorts, compared between mechanical bowel preparation only and preoperative oral antibiotics groups. </w:t>
      </w:r>
    </w:p>
    <w:p w14:paraId="64ABAB8B" w14:textId="6A1AF594" w:rsidR="007A743D" w:rsidRPr="007A743D" w:rsidRDefault="007A743D">
      <w:pPr>
        <w:rPr>
          <w:rFonts w:ascii="Times New Roman" w:hAnsi="Times New Roman" w:cs="Times New Roman"/>
        </w:rPr>
      </w:pPr>
      <w:r w:rsidRPr="007A743D">
        <w:rPr>
          <w:rFonts w:ascii="Times New Roman" w:hAnsi="Times New Roman" w:cs="Times New Roman"/>
        </w:rPr>
        <w:t xml:space="preserve">Abbreviations: N, number; MBP, mechanical bowel preparation; POA, preoperative oral antibiotics; SD, standard deviation; min, minutes; EBL, estimated blood loss; IQR, interquartile range; HD, hospital days; SSI, surgical site infections; Gr, grade; AL, anastomosis leakage </w:t>
      </w:r>
    </w:p>
    <w:p w14:paraId="4C83B087" w14:textId="67B058BF" w:rsidR="00583B19" w:rsidRPr="00583B19" w:rsidRDefault="00583B19"/>
    <w:sectPr w:rsidR="00583B19" w:rsidRPr="00583B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27F3" w14:textId="77777777" w:rsidR="0005409C" w:rsidRDefault="0005409C" w:rsidP="004420A2">
      <w:pPr>
        <w:spacing w:after="0" w:line="240" w:lineRule="auto"/>
      </w:pPr>
      <w:r>
        <w:separator/>
      </w:r>
    </w:p>
  </w:endnote>
  <w:endnote w:type="continuationSeparator" w:id="0">
    <w:p w14:paraId="51B90742" w14:textId="77777777" w:rsidR="0005409C" w:rsidRDefault="0005409C" w:rsidP="0044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C337" w14:textId="77777777" w:rsidR="0005409C" w:rsidRDefault="0005409C" w:rsidP="004420A2">
      <w:pPr>
        <w:spacing w:after="0" w:line="240" w:lineRule="auto"/>
      </w:pPr>
      <w:r>
        <w:separator/>
      </w:r>
    </w:p>
  </w:footnote>
  <w:footnote w:type="continuationSeparator" w:id="0">
    <w:p w14:paraId="007E7453" w14:textId="77777777" w:rsidR="0005409C" w:rsidRDefault="0005409C" w:rsidP="00442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19"/>
    <w:rsid w:val="00002D70"/>
    <w:rsid w:val="0005409C"/>
    <w:rsid w:val="004420A2"/>
    <w:rsid w:val="00583B19"/>
    <w:rsid w:val="006A0217"/>
    <w:rsid w:val="007A743D"/>
    <w:rsid w:val="00BA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B9C2"/>
  <w15:chartTrackingRefBased/>
  <w15:docId w15:val="{22ABE8B9-DF3E-4D79-AA07-5D2569A1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B1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B1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420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420A2"/>
  </w:style>
  <w:style w:type="paragraph" w:styleId="a5">
    <w:name w:val="footer"/>
    <w:basedOn w:val="a"/>
    <w:link w:val="Char0"/>
    <w:uiPriority w:val="99"/>
    <w:unhideWhenUsed/>
    <w:rsid w:val="004420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4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EunJi Park</dc:creator>
  <cp:keywords/>
  <dc:description/>
  <cp:lastModifiedBy>EunJi Park</cp:lastModifiedBy>
  <cp:revision>4</cp:revision>
  <dcterms:created xsi:type="dcterms:W3CDTF">2025-01-03T09:56:00Z</dcterms:created>
  <dcterms:modified xsi:type="dcterms:W3CDTF">2025-01-14T02:19:00Z</dcterms:modified>
</cp:coreProperties>
</file>