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6B6B" w14:textId="44A3775C" w:rsidR="00AD588B" w:rsidRPr="00AD588B" w:rsidRDefault="00AD588B" w:rsidP="00AD588B">
      <w:pPr>
        <w:widowControl/>
        <w:spacing w:line="480" w:lineRule="exact"/>
        <w:jc w:val="center"/>
        <w:rPr>
          <w:rFonts w:ascii="Times New Roman" w:eastAsia="等线" w:hAnsi="Times New Roman" w:cs="Times New Roman"/>
          <w:szCs w:val="21"/>
        </w:rPr>
      </w:pPr>
      <w:r w:rsidRPr="00AD588B">
        <w:rPr>
          <w:rFonts w:ascii="Times New Roman" w:eastAsia="等线" w:hAnsi="Times New Roman" w:cs="Times New Roman"/>
          <w:szCs w:val="21"/>
        </w:rPr>
        <w:t xml:space="preserve">Table </w:t>
      </w:r>
      <w:r w:rsidR="00215C9C">
        <w:rPr>
          <w:rFonts w:ascii="Times New Roman" w:eastAsia="等线" w:hAnsi="Times New Roman" w:cs="Times New Roman" w:hint="eastAsia"/>
          <w:szCs w:val="21"/>
        </w:rPr>
        <w:t>S5</w:t>
      </w:r>
      <w:r w:rsidRPr="00AD588B">
        <w:rPr>
          <w:rFonts w:ascii="Times New Roman" w:eastAsia="等线" w:hAnsi="Times New Roman" w:cs="Times New Roman"/>
          <w:szCs w:val="21"/>
        </w:rPr>
        <w:t xml:space="preserve"> Trend Analysis of Calibration Model</w:t>
      </w:r>
    </w:p>
    <w:tbl>
      <w:tblPr>
        <w:tblW w:w="1102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19"/>
        <w:gridCol w:w="2183"/>
        <w:gridCol w:w="2238"/>
        <w:gridCol w:w="1914"/>
        <w:gridCol w:w="1914"/>
      </w:tblGrid>
      <w:tr w:rsidR="00AD588B" w:rsidRPr="00AD588B" w14:paraId="33DB9380" w14:textId="77777777" w:rsidTr="00C616EB">
        <w:trPr>
          <w:trHeight w:val="280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7A1A5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0EC24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Q1</w:t>
            </w:r>
          </w:p>
          <w:p w14:paraId="24500511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n=90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F2B8D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Q2</w:t>
            </w:r>
          </w:p>
          <w:p w14:paraId="089699EA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95%CI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，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n=83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B69BF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Q3</w:t>
            </w:r>
          </w:p>
          <w:p w14:paraId="29347FA8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95%CI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，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n=86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21D81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Q4</w:t>
            </w:r>
          </w:p>
          <w:p w14:paraId="7802D705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95%CI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，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n=86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FD002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 Value for trend</w:t>
            </w:r>
          </w:p>
        </w:tc>
      </w:tr>
      <w:tr w:rsidR="00AD588B" w:rsidRPr="00AD588B" w14:paraId="312A8608" w14:textId="77777777" w:rsidTr="00C616EB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B666E0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Crude Model1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955CE4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19758A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1.16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0.64-2.12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EF962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2.11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1.15-3.86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722507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2.73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1.47-5.06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24036446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0.0003</w:t>
            </w:r>
          </w:p>
        </w:tc>
      </w:tr>
      <w:tr w:rsidR="00AD588B" w:rsidRPr="00AD588B" w14:paraId="06A81E7D" w14:textId="77777777" w:rsidTr="00C616EB">
        <w:trPr>
          <w:trHeight w:val="280"/>
          <w:jc w:val="center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64A803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8E6363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87C72D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0.621</w:t>
            </w:r>
          </w:p>
        </w:tc>
        <w:tc>
          <w:tcPr>
            <w:tcW w:w="22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F0C6B8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0.015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042B42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14:paraId="15FC2F1D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AD588B" w:rsidRPr="00AD588B" w14:paraId="202D6DB6" w14:textId="77777777" w:rsidTr="00C616EB">
        <w:trPr>
          <w:trHeight w:val="280"/>
          <w:jc w:val="center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A668AA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Adjusted Model 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0A37FE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</w:t>
            </w:r>
          </w:p>
        </w:tc>
        <w:tc>
          <w:tcPr>
            <w:tcW w:w="218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12FD63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0.583-2.03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2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8FB14F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1.93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1.03-3.64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91DE5E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2.38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1.26-4.55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14:paraId="150C9E9B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0.0026</w:t>
            </w:r>
          </w:p>
        </w:tc>
      </w:tr>
      <w:tr w:rsidR="00AD588B" w:rsidRPr="00AD588B" w14:paraId="0332CB4B" w14:textId="77777777" w:rsidTr="00C616EB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AAF3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D8DD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4CAF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0.793</w:t>
            </w:r>
          </w:p>
        </w:tc>
        <w:tc>
          <w:tcPr>
            <w:tcW w:w="22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0EAA78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AE8FB7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1CC3C51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AD588B" w:rsidRPr="00AD588B" w14:paraId="219F397D" w14:textId="77777777" w:rsidTr="00C616EB">
        <w:trPr>
          <w:trHeight w:val="280"/>
          <w:jc w:val="center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ADA3E2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Adjusted Model 3</w:t>
            </w:r>
          </w:p>
        </w:tc>
        <w:tc>
          <w:tcPr>
            <w:tcW w:w="121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74F250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</w:t>
            </w:r>
          </w:p>
        </w:tc>
        <w:tc>
          <w:tcPr>
            <w:tcW w:w="218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80D667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1.16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0.606-2.210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2AA0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2.57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1.33-5.05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03AF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3.17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1.59-6.28</w:t>
            </w: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14:paraId="4BE815F5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0.00016</w:t>
            </w:r>
          </w:p>
        </w:tc>
      </w:tr>
      <w:tr w:rsidR="00AD588B" w:rsidRPr="00AD588B" w14:paraId="2F40A9A7" w14:textId="77777777" w:rsidTr="00C616EB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D2FF2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55851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9E993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0.656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2978D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0.005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CCC52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D588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7464C" w14:textId="77777777" w:rsidR="00AD588B" w:rsidRPr="00AD588B" w:rsidRDefault="00AD588B" w:rsidP="00AD588B">
            <w:pPr>
              <w:autoSpaceDE w:val="0"/>
              <w:autoSpaceDN w:val="0"/>
              <w:adjustRightInd w:val="0"/>
              <w:spacing w:line="400" w:lineRule="atLeast"/>
              <w:ind w:firstLineChars="100" w:firstLine="18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5EB92F8D" w14:textId="77777777" w:rsidR="00AD588B" w:rsidRPr="00AD588B" w:rsidRDefault="00554314" w:rsidP="00554314">
      <w:pPr>
        <w:widowControl/>
        <w:spacing w:line="4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P</w:t>
      </w:r>
      <w:r w:rsidR="00AD588B" w:rsidRPr="00AD588B">
        <w:rPr>
          <w:rFonts w:ascii="Times New Roman" w:eastAsia="宋体" w:hAnsi="Times New Roman" w:cs="Times New Roman"/>
          <w:szCs w:val="21"/>
        </w:rPr>
        <w:t xml:space="preserve">reoperative </w:t>
      </w:r>
      <w:proofErr w:type="gramStart"/>
      <w:r w:rsidR="00AD588B" w:rsidRPr="00AD588B">
        <w:rPr>
          <w:rFonts w:ascii="Times New Roman" w:eastAsia="宋体" w:hAnsi="Times New Roman" w:cs="Times New Roman"/>
          <w:szCs w:val="21"/>
        </w:rPr>
        <w:t>non HDL</w:t>
      </w:r>
      <w:proofErr w:type="gramEnd"/>
      <w:r w:rsidR="00AD588B" w:rsidRPr="00AD588B">
        <w:rPr>
          <w:rFonts w:ascii="Times New Roman" w:eastAsia="宋体" w:hAnsi="Times New Roman" w:cs="Times New Roman"/>
          <w:szCs w:val="21"/>
        </w:rPr>
        <w:t>-C</w:t>
      </w:r>
      <w:r>
        <w:rPr>
          <w:rFonts w:ascii="Times New Roman" w:eastAsia="宋体" w:hAnsi="Times New Roman" w:cs="Times New Roman"/>
          <w:szCs w:val="21"/>
        </w:rPr>
        <w:t xml:space="preserve"> was divided</w:t>
      </w:r>
      <w:r w:rsidR="00AD588B" w:rsidRPr="00AD588B">
        <w:rPr>
          <w:rFonts w:ascii="Times New Roman" w:eastAsia="宋体" w:hAnsi="Times New Roman" w:cs="Times New Roman"/>
          <w:szCs w:val="21"/>
        </w:rPr>
        <w:t xml:space="preserve"> into four groups based on quartiles (Q1, Q2, Q3, Q4), where n represents the sample size and the default confidence level is 95%. Single factor logistic regression was used as the Crude model1, and the model Adjusted model2 was calibrated using "sex" and "age". The model Adjusted model3 was calibrated using "age", "sex", "</w:t>
      </w:r>
      <w:proofErr w:type="gramStart"/>
      <w:r w:rsidR="00AD588B" w:rsidRPr="00AD588B">
        <w:rPr>
          <w:rFonts w:ascii="Times New Roman" w:eastAsia="宋体" w:hAnsi="Times New Roman" w:cs="Times New Roman"/>
          <w:szCs w:val="21"/>
        </w:rPr>
        <w:t>non HDL</w:t>
      </w:r>
      <w:proofErr w:type="gramEnd"/>
      <w:r w:rsidR="00AD588B" w:rsidRPr="00AD588B">
        <w:rPr>
          <w:rFonts w:ascii="Times New Roman" w:eastAsia="宋体" w:hAnsi="Times New Roman" w:cs="Times New Roman"/>
          <w:szCs w:val="21"/>
        </w:rPr>
        <w:t>-C", "HDL-C", and "LDL-C".</w:t>
      </w:r>
    </w:p>
    <w:p w14:paraId="016223CC" w14:textId="77777777" w:rsidR="00A1712A" w:rsidRPr="00AD588B" w:rsidRDefault="00A1712A">
      <w:pPr>
        <w:rPr>
          <w:rFonts w:hint="eastAsia"/>
        </w:rPr>
      </w:pPr>
    </w:p>
    <w:sectPr w:rsidR="00A1712A" w:rsidRPr="00AD5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F8730" w14:textId="77777777" w:rsidR="000549B4" w:rsidRDefault="000549B4" w:rsidP="00AD588B">
      <w:pPr>
        <w:rPr>
          <w:rFonts w:hint="eastAsia"/>
        </w:rPr>
      </w:pPr>
      <w:r>
        <w:separator/>
      </w:r>
    </w:p>
  </w:endnote>
  <w:endnote w:type="continuationSeparator" w:id="0">
    <w:p w14:paraId="29EAEA9E" w14:textId="77777777" w:rsidR="000549B4" w:rsidRDefault="000549B4" w:rsidP="00AD58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F66E0" w14:textId="77777777" w:rsidR="000549B4" w:rsidRDefault="000549B4" w:rsidP="00AD588B">
      <w:pPr>
        <w:rPr>
          <w:rFonts w:hint="eastAsia"/>
        </w:rPr>
      </w:pPr>
      <w:r>
        <w:separator/>
      </w:r>
    </w:p>
  </w:footnote>
  <w:footnote w:type="continuationSeparator" w:id="0">
    <w:p w14:paraId="2F7CCCBA" w14:textId="77777777" w:rsidR="000549B4" w:rsidRDefault="000549B4" w:rsidP="00AD58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58"/>
    <w:rsid w:val="000549B4"/>
    <w:rsid w:val="00215C9C"/>
    <w:rsid w:val="00233858"/>
    <w:rsid w:val="00307608"/>
    <w:rsid w:val="00554314"/>
    <w:rsid w:val="006B5A3C"/>
    <w:rsid w:val="00A1712A"/>
    <w:rsid w:val="00A80B23"/>
    <w:rsid w:val="00AD588B"/>
    <w:rsid w:val="00D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73295"/>
  <w15:chartTrackingRefBased/>
  <w15:docId w15:val="{ED52D707-1971-42CA-9838-D98F1BEE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HX 张</cp:lastModifiedBy>
  <cp:revision>4</cp:revision>
  <dcterms:created xsi:type="dcterms:W3CDTF">2024-01-05T02:14:00Z</dcterms:created>
  <dcterms:modified xsi:type="dcterms:W3CDTF">2024-12-01T05:58:00Z</dcterms:modified>
</cp:coreProperties>
</file>