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DAF5B" w14:textId="77777777" w:rsidR="00793D6C" w:rsidRDefault="00793D6C" w:rsidP="00793D6C">
      <w:pPr>
        <w:pStyle w:val="Caption"/>
        <w:keepNext/>
      </w:pPr>
      <w:r>
        <w:rPr>
          <w:noProof/>
          <w14:ligatures w14:val="standardContextual"/>
        </w:rPr>
        <w:drawing>
          <wp:inline distT="0" distB="0" distL="0" distR="0" wp14:anchorId="6D891FA8" wp14:editId="40904FB7">
            <wp:extent cx="5727700" cy="2291080"/>
            <wp:effectExtent l="0" t="0" r="0" b="0"/>
            <wp:docPr id="803833932" name="Picture 3" descr="A graph of a number of patie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833932" name="Picture 3" descr="A graph of a number of patient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D2BFF" w14:textId="77777777" w:rsidR="00793D6C" w:rsidRDefault="00793D6C" w:rsidP="00793D6C">
      <w:pPr>
        <w:pStyle w:val="Caption"/>
        <w:rPr>
          <w:i w:val="0"/>
          <w:iCs w:val="0"/>
        </w:rPr>
      </w:pPr>
      <w:r w:rsidRPr="00322F36">
        <w:rPr>
          <w:b/>
          <w:bCs/>
          <w:i w:val="0"/>
          <w:iCs w:val="0"/>
        </w:rPr>
        <w:t>Supplementary Figure S</w:t>
      </w:r>
      <w:r w:rsidRPr="00322F36">
        <w:rPr>
          <w:b/>
          <w:bCs/>
          <w:i w:val="0"/>
          <w:iCs w:val="0"/>
        </w:rPr>
        <w:fldChar w:fldCharType="begin"/>
      </w:r>
      <w:r w:rsidRPr="00322F36">
        <w:rPr>
          <w:b/>
          <w:bCs/>
          <w:i w:val="0"/>
          <w:iCs w:val="0"/>
        </w:rPr>
        <w:instrText xml:space="preserve"> SEQ Supplementary_Figure \* ARABIC </w:instrText>
      </w:r>
      <w:r w:rsidRPr="00322F36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1</w:t>
      </w:r>
      <w:r w:rsidRPr="00322F36">
        <w:rPr>
          <w:b/>
          <w:bCs/>
          <w:i w:val="0"/>
          <w:iCs w:val="0"/>
        </w:rPr>
        <w:fldChar w:fldCharType="end"/>
      </w:r>
      <w:r w:rsidRPr="00322F36">
        <w:rPr>
          <w:b/>
          <w:bCs/>
          <w:i w:val="0"/>
          <w:iCs w:val="0"/>
        </w:rPr>
        <w:t>. Overview of the datasets analysed in this study.</w:t>
      </w:r>
      <w:r w:rsidRPr="00322F36">
        <w:t xml:space="preserve"> </w:t>
      </w:r>
      <w:r w:rsidRPr="00322F36">
        <w:rPr>
          <w:i w:val="0"/>
          <w:iCs w:val="0"/>
        </w:rPr>
        <w:t>For each dataset, the following statistics are visualised: (A) the total number of isolates that were included in our analysis; (B) the maximum time from diagnosis (years) per included patient; and (C) the number of isolates per included patient.</w:t>
      </w:r>
    </w:p>
    <w:p w14:paraId="4ADDABE1" w14:textId="77777777" w:rsidR="00793D6C" w:rsidRDefault="00793D6C" w:rsidP="00793D6C">
      <w:pPr>
        <w:spacing w:after="0" w:line="240" w:lineRule="auto"/>
      </w:pPr>
      <w:r>
        <w:br w:type="page"/>
      </w:r>
    </w:p>
    <w:p w14:paraId="3517B333" w14:textId="77777777" w:rsidR="00793D6C" w:rsidRDefault="00793D6C" w:rsidP="00793D6C">
      <w:pPr>
        <w:keepNext/>
      </w:pPr>
      <w:r>
        <w:rPr>
          <w:noProof/>
          <w14:ligatures w14:val="standardContextual"/>
        </w:rPr>
        <w:lastRenderedPageBreak/>
        <w:drawing>
          <wp:inline distT="0" distB="0" distL="0" distR="0" wp14:anchorId="7B4EF7AB" wp14:editId="3AE67807">
            <wp:extent cx="5727700" cy="3818255"/>
            <wp:effectExtent l="0" t="0" r="0" b="4445"/>
            <wp:docPr id="1668930509" name="Picture 4" descr="A group of colorful rectangular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930509" name="Picture 4" descr="A group of colorful rectangular object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28AE9" w14:textId="77777777" w:rsidR="00793D6C" w:rsidRDefault="00793D6C" w:rsidP="00793D6C">
      <w:pPr>
        <w:pStyle w:val="Caption"/>
        <w:rPr>
          <w:i w:val="0"/>
          <w:iCs w:val="0"/>
        </w:rPr>
      </w:pPr>
      <w:r w:rsidRPr="00783518">
        <w:rPr>
          <w:b/>
          <w:bCs/>
          <w:i w:val="0"/>
          <w:iCs w:val="0"/>
        </w:rPr>
        <w:t>Supplementary Figure S</w:t>
      </w:r>
      <w:r w:rsidRPr="00783518">
        <w:rPr>
          <w:b/>
          <w:bCs/>
          <w:i w:val="0"/>
          <w:iCs w:val="0"/>
        </w:rPr>
        <w:fldChar w:fldCharType="begin"/>
      </w:r>
      <w:r w:rsidRPr="00783518">
        <w:rPr>
          <w:b/>
          <w:bCs/>
          <w:i w:val="0"/>
          <w:iCs w:val="0"/>
        </w:rPr>
        <w:instrText xml:space="preserve"> SEQ Supplementary_Figure \* ARABIC </w:instrText>
      </w:r>
      <w:r w:rsidRPr="00783518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2</w:t>
      </w:r>
      <w:r w:rsidRPr="00783518">
        <w:rPr>
          <w:b/>
          <w:bCs/>
          <w:i w:val="0"/>
          <w:iCs w:val="0"/>
        </w:rPr>
        <w:fldChar w:fldCharType="end"/>
      </w:r>
      <w:r w:rsidRPr="00783518">
        <w:rPr>
          <w:b/>
          <w:bCs/>
          <w:i w:val="0"/>
          <w:iCs w:val="0"/>
        </w:rPr>
        <w:t>.</w:t>
      </w:r>
      <w:r w:rsidRPr="00783518">
        <w:rPr>
          <w:b/>
          <w:bCs/>
        </w:rPr>
        <w:t xml:space="preserve"> </w:t>
      </w:r>
      <w:r w:rsidRPr="00783518">
        <w:rPr>
          <w:b/>
          <w:bCs/>
          <w:i w:val="0"/>
          <w:iCs w:val="0"/>
        </w:rPr>
        <w:t>Haplotype abundances at the first and last time-points.</w:t>
      </w:r>
      <w:r w:rsidRPr="00783518">
        <w:rPr>
          <w:i w:val="0"/>
          <w:iCs w:val="0"/>
        </w:rPr>
        <w:t xml:space="preserve"> In the 6 patients shown here, acquired haplotypes accounted for more than half of the community at the last time-point.</w:t>
      </w:r>
    </w:p>
    <w:p w14:paraId="38D7EF40" w14:textId="77777777" w:rsidR="00793D6C" w:rsidRDefault="00793D6C" w:rsidP="00793D6C">
      <w:pPr>
        <w:spacing w:after="0" w:line="240" w:lineRule="auto"/>
        <w:rPr>
          <w:color w:val="0E2841" w:themeColor="text2"/>
          <w:sz w:val="18"/>
          <w:szCs w:val="18"/>
        </w:rPr>
      </w:pPr>
      <w:r>
        <w:rPr>
          <w:i/>
          <w:iCs/>
        </w:rPr>
        <w:br w:type="page"/>
      </w:r>
    </w:p>
    <w:p w14:paraId="4F024596" w14:textId="77777777" w:rsidR="00793D6C" w:rsidRDefault="00793D6C" w:rsidP="00793D6C">
      <w:pPr>
        <w:pStyle w:val="Caption"/>
        <w:keepNext/>
      </w:pPr>
      <w:r>
        <w:rPr>
          <w:i w:val="0"/>
          <w:iCs w:val="0"/>
          <w:noProof/>
          <w14:ligatures w14:val="standardContextual"/>
        </w:rPr>
        <w:lastRenderedPageBreak/>
        <w:drawing>
          <wp:inline distT="0" distB="0" distL="0" distR="0" wp14:anchorId="1908BEAA" wp14:editId="37405AC1">
            <wp:extent cx="5486400" cy="3657600"/>
            <wp:effectExtent l="0" t="0" r="0" b="0"/>
            <wp:docPr id="282220836" name="Picture 5" descr="A graph of different colored rectangular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220836" name="Picture 5" descr="A graph of different colored rectangular shape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47571" w14:textId="77777777" w:rsidR="00793D6C" w:rsidRPr="00B03545" w:rsidRDefault="00793D6C" w:rsidP="00793D6C">
      <w:pPr>
        <w:pStyle w:val="Caption"/>
        <w:rPr>
          <w:b/>
          <w:bCs/>
          <w:i w:val="0"/>
          <w:iCs w:val="0"/>
        </w:rPr>
      </w:pPr>
      <w:r w:rsidRPr="00B03545">
        <w:rPr>
          <w:b/>
          <w:bCs/>
          <w:i w:val="0"/>
          <w:iCs w:val="0"/>
        </w:rPr>
        <w:t>Supplementary Figure S</w:t>
      </w:r>
      <w:r w:rsidRPr="00B03545">
        <w:rPr>
          <w:b/>
          <w:bCs/>
          <w:i w:val="0"/>
          <w:iCs w:val="0"/>
        </w:rPr>
        <w:fldChar w:fldCharType="begin"/>
      </w:r>
      <w:r w:rsidRPr="00B03545">
        <w:rPr>
          <w:b/>
          <w:bCs/>
          <w:i w:val="0"/>
          <w:iCs w:val="0"/>
        </w:rPr>
        <w:instrText xml:space="preserve"> SEQ Supplementary_Figure \* ARABIC </w:instrText>
      </w:r>
      <w:r w:rsidRPr="00B03545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3</w:t>
      </w:r>
      <w:r w:rsidRPr="00B03545">
        <w:rPr>
          <w:b/>
          <w:bCs/>
          <w:i w:val="0"/>
          <w:iCs w:val="0"/>
        </w:rPr>
        <w:fldChar w:fldCharType="end"/>
      </w:r>
      <w:r w:rsidRPr="00B03545">
        <w:rPr>
          <w:b/>
          <w:bCs/>
          <w:i w:val="0"/>
          <w:iCs w:val="0"/>
        </w:rPr>
        <w:t xml:space="preserve">. The within-host mutational spectrum of </w:t>
      </w:r>
      <w:r w:rsidRPr="00B03545">
        <w:rPr>
          <w:b/>
          <w:bCs/>
        </w:rPr>
        <w:t>M. avium</w:t>
      </w:r>
      <w:r w:rsidRPr="00B03545">
        <w:rPr>
          <w:b/>
          <w:bCs/>
          <w:i w:val="0"/>
          <w:iCs w:val="0"/>
        </w:rPr>
        <w:t>, as determined using MutTui.</w:t>
      </w:r>
    </w:p>
    <w:p w14:paraId="688A43BE" w14:textId="77777777" w:rsidR="00793D6C" w:rsidRDefault="00793D6C" w:rsidP="00793D6C">
      <w:pPr>
        <w:spacing w:after="0" w:line="240" w:lineRule="auto"/>
      </w:pPr>
      <w:r>
        <w:br w:type="page"/>
      </w:r>
    </w:p>
    <w:p w14:paraId="1B55CC1B" w14:textId="77777777" w:rsidR="00793D6C" w:rsidRDefault="00793D6C" w:rsidP="00793D6C">
      <w:pPr>
        <w:keepNext/>
      </w:pPr>
      <w:r>
        <w:rPr>
          <w:noProof/>
          <w14:ligatures w14:val="standardContextual"/>
        </w:rPr>
        <w:lastRenderedPageBreak/>
        <w:drawing>
          <wp:inline distT="0" distB="0" distL="0" distR="0" wp14:anchorId="038B5687" wp14:editId="13833E0E">
            <wp:extent cx="5727700" cy="2863850"/>
            <wp:effectExtent l="0" t="0" r="0" b="6350"/>
            <wp:docPr id="1611851407" name="Picture 6" descr="A graph of a patient and a pati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851407" name="Picture 6" descr="A graph of a patient and a patien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3F9DB" w14:textId="77777777" w:rsidR="00793D6C" w:rsidRDefault="00793D6C" w:rsidP="00793D6C">
      <w:pPr>
        <w:pStyle w:val="Caption"/>
        <w:rPr>
          <w:b/>
          <w:bCs/>
          <w:i w:val="0"/>
          <w:iCs w:val="0"/>
        </w:rPr>
      </w:pPr>
      <w:r w:rsidRPr="003A1799">
        <w:rPr>
          <w:b/>
          <w:bCs/>
          <w:i w:val="0"/>
          <w:iCs w:val="0"/>
        </w:rPr>
        <w:t xml:space="preserve">Supplementary Figure </w:t>
      </w:r>
      <w:r>
        <w:rPr>
          <w:b/>
          <w:bCs/>
          <w:i w:val="0"/>
          <w:iCs w:val="0"/>
        </w:rPr>
        <w:t>S</w:t>
      </w:r>
      <w:r w:rsidRPr="003A1799">
        <w:rPr>
          <w:b/>
          <w:bCs/>
          <w:i w:val="0"/>
          <w:iCs w:val="0"/>
        </w:rPr>
        <w:fldChar w:fldCharType="begin"/>
      </w:r>
      <w:r w:rsidRPr="003A1799">
        <w:rPr>
          <w:b/>
          <w:bCs/>
          <w:i w:val="0"/>
          <w:iCs w:val="0"/>
        </w:rPr>
        <w:instrText xml:space="preserve"> SEQ Supplementary_Figure \* ARABIC </w:instrText>
      </w:r>
      <w:r w:rsidRPr="003A1799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4</w:t>
      </w:r>
      <w:r w:rsidRPr="003A1799">
        <w:rPr>
          <w:b/>
          <w:bCs/>
          <w:i w:val="0"/>
          <w:iCs w:val="0"/>
        </w:rPr>
        <w:fldChar w:fldCharType="end"/>
      </w:r>
      <w:r w:rsidRPr="003A1799">
        <w:rPr>
          <w:b/>
          <w:bCs/>
          <w:i w:val="0"/>
          <w:iCs w:val="0"/>
        </w:rPr>
        <w:t>. Timeline for the acquisition of nonsynonymous mutations in antibiotic resistance genes during the treatment of patients P003 and P012 from the Irish cohort.</w:t>
      </w:r>
    </w:p>
    <w:p w14:paraId="73151C6C" w14:textId="77777777" w:rsidR="00793D6C" w:rsidRDefault="00793D6C" w:rsidP="00793D6C">
      <w:pPr>
        <w:spacing w:after="0" w:line="240" w:lineRule="auto"/>
        <w:rPr>
          <w:b/>
          <w:bCs/>
          <w:color w:val="0E2841" w:themeColor="text2"/>
          <w:sz w:val="18"/>
          <w:szCs w:val="18"/>
        </w:rPr>
      </w:pPr>
      <w:r>
        <w:rPr>
          <w:b/>
          <w:bCs/>
          <w:i/>
          <w:iCs/>
        </w:rPr>
        <w:br w:type="page"/>
      </w:r>
    </w:p>
    <w:p w14:paraId="0BF06196" w14:textId="77777777" w:rsidR="00793D6C" w:rsidRDefault="00793D6C" w:rsidP="00793D6C">
      <w:pPr>
        <w:pStyle w:val="Caption"/>
        <w:keepNext/>
      </w:pPr>
      <w:r>
        <w:rPr>
          <w:b/>
          <w:bCs/>
          <w:i w:val="0"/>
          <w:iCs w:val="0"/>
          <w:noProof/>
          <w14:ligatures w14:val="standardContextual"/>
        </w:rPr>
        <w:lastRenderedPageBreak/>
        <w:drawing>
          <wp:inline distT="0" distB="0" distL="0" distR="0" wp14:anchorId="2CF05DBA" wp14:editId="3B43E8A2">
            <wp:extent cx="5486400" cy="3657600"/>
            <wp:effectExtent l="0" t="0" r="0" b="0"/>
            <wp:docPr id="985240041" name="Picture 7" descr="A blue line graph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240041" name="Picture 7" descr="A blue line graph with white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C5ED5" w14:textId="77777777" w:rsidR="00793D6C" w:rsidRPr="003A1799" w:rsidRDefault="00793D6C" w:rsidP="00793D6C">
      <w:pPr>
        <w:pStyle w:val="Caption"/>
        <w:rPr>
          <w:b/>
          <w:bCs/>
          <w:i w:val="0"/>
          <w:iCs w:val="0"/>
        </w:rPr>
      </w:pPr>
      <w:r w:rsidRPr="003A1799">
        <w:rPr>
          <w:b/>
          <w:bCs/>
          <w:i w:val="0"/>
          <w:iCs w:val="0"/>
        </w:rPr>
        <w:t>Supplementary Figure S</w:t>
      </w:r>
      <w:r w:rsidRPr="003A1799">
        <w:rPr>
          <w:b/>
          <w:bCs/>
          <w:i w:val="0"/>
          <w:iCs w:val="0"/>
        </w:rPr>
        <w:fldChar w:fldCharType="begin"/>
      </w:r>
      <w:r w:rsidRPr="003A1799">
        <w:rPr>
          <w:b/>
          <w:bCs/>
          <w:i w:val="0"/>
          <w:iCs w:val="0"/>
        </w:rPr>
        <w:instrText xml:space="preserve"> SEQ Supplementary_Figure \* ARABIC </w:instrText>
      </w:r>
      <w:r w:rsidRPr="003A1799">
        <w:rPr>
          <w:b/>
          <w:bCs/>
          <w:i w:val="0"/>
          <w:iCs w:val="0"/>
        </w:rPr>
        <w:fldChar w:fldCharType="separate"/>
      </w:r>
      <w:r w:rsidRPr="003A1799">
        <w:rPr>
          <w:b/>
          <w:bCs/>
          <w:i w:val="0"/>
          <w:iCs w:val="0"/>
          <w:noProof/>
        </w:rPr>
        <w:t>5</w:t>
      </w:r>
      <w:r w:rsidRPr="003A1799">
        <w:rPr>
          <w:b/>
          <w:bCs/>
          <w:i w:val="0"/>
          <w:iCs w:val="0"/>
        </w:rPr>
        <w:fldChar w:fldCharType="end"/>
      </w:r>
      <w:r w:rsidRPr="003A1799">
        <w:rPr>
          <w:b/>
          <w:bCs/>
          <w:i w:val="0"/>
          <w:iCs w:val="0"/>
        </w:rPr>
        <w:t xml:space="preserve">. The percentage of nonsynonymous variants that persisted to the next time-point. </w:t>
      </w:r>
      <w:r w:rsidRPr="004C6344">
        <w:rPr>
          <w:i w:val="0"/>
          <w:iCs w:val="0"/>
        </w:rPr>
        <w:t>The dashed line on the density plot indicates the mean.</w:t>
      </w:r>
    </w:p>
    <w:p w14:paraId="642ED2B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6C"/>
    <w:rsid w:val="002978F5"/>
    <w:rsid w:val="003852CF"/>
    <w:rsid w:val="004E780C"/>
    <w:rsid w:val="00793D6C"/>
    <w:rsid w:val="00D52CF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F1560"/>
  <w15:chartTrackingRefBased/>
  <w15:docId w15:val="{D4A4A911-127D-4304-B588-57EFF520E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D6C"/>
    <w:pPr>
      <w:spacing w:line="259" w:lineRule="auto"/>
    </w:pPr>
    <w:rPr>
      <w:kern w:val="0"/>
      <w:sz w:val="22"/>
      <w:szCs w:val="22"/>
      <w:lang w:val="en-I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3D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D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D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D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D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D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D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D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D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3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D6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3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D6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3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D6C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3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D6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93D6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2025-05-14T06:49:00Z</dcterms:created>
  <dcterms:modified xsi:type="dcterms:W3CDTF">2025-05-14T06:50:00Z</dcterms:modified>
</cp:coreProperties>
</file>