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33A54">
      <w:pPr>
        <w:widowControl/>
        <w:spacing w:line="480" w:lineRule="auto"/>
        <w:rPr>
          <w:rFonts w:ascii="Times New Roman Regular" w:hAnsi="Times New Roman Regular" w:cs="Times New Roman Regular"/>
          <w:b/>
          <w:bCs/>
          <w:color w:val="000000"/>
          <w:kern w:val="0"/>
          <w:sz w:val="24"/>
          <w:szCs w:val="24"/>
        </w:rPr>
      </w:pPr>
      <w:r>
        <w:rPr>
          <w:rFonts w:ascii="Times New Roman Regular" w:hAnsi="Times New Roman Regular" w:eastAsia="华文仿宋" w:cs="Times New Roman Regular"/>
          <w:b/>
          <w:bCs/>
          <w:color w:val="000000"/>
          <w:kern w:val="0"/>
          <w:sz w:val="24"/>
          <w:szCs w:val="24"/>
        </w:rPr>
        <w:t>Table 3. Relationship between clinicopathological characteristics at 6 months after adjuvant radioiodine therapy and treatment efficacy</w:t>
      </w:r>
    </w:p>
    <w:tbl>
      <w:tblPr>
        <w:tblStyle w:val="3"/>
        <w:tblW w:w="0" w:type="auto"/>
        <w:tblInd w:w="2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8"/>
        <w:gridCol w:w="1703"/>
        <w:gridCol w:w="1356"/>
        <w:gridCol w:w="1603"/>
        <w:gridCol w:w="917"/>
        <w:gridCol w:w="1266"/>
      </w:tblGrid>
      <w:tr w14:paraId="61BA2FA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  <w:vMerge w:val="restart"/>
            <w:vAlign w:val="center"/>
          </w:tcPr>
          <w:p w14:paraId="4C0C2EAD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AdvOT569473da" w:cs="Times New Roman Regular"/>
                <w:b/>
                <w:bCs/>
                <w:color w:val="000000"/>
                <w:kern w:val="0"/>
                <w:sz w:val="24"/>
                <w:szCs w:val="24"/>
              </w:rPr>
              <w:t>Characteristic</w:t>
            </w:r>
          </w:p>
        </w:tc>
        <w:tc>
          <w:tcPr>
            <w:tcW w:w="0" w:type="auto"/>
            <w:vMerge w:val="restart"/>
            <w:vAlign w:val="center"/>
          </w:tcPr>
          <w:p w14:paraId="27156BC2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No. </w:t>
            </w:r>
            <w:r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  <w:lang w:val="en-US" w:eastAsia="zh-CN"/>
              </w:rPr>
              <w:t>o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f patients</w:t>
            </w:r>
          </w:p>
          <w:p w14:paraId="10A89442">
            <w:pPr>
              <w:spacing w:line="480" w:lineRule="auto"/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>（n=224）</w:t>
            </w:r>
          </w:p>
        </w:tc>
        <w:tc>
          <w:tcPr>
            <w:tcW w:w="0" w:type="auto"/>
            <w:vMerge w:val="restart"/>
            <w:vAlign w:val="center"/>
          </w:tcPr>
          <w:p w14:paraId="5FF1ED6A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Acceptable</w:t>
            </w:r>
          </w:p>
          <w:p w14:paraId="5085A467">
            <w:pPr>
              <w:spacing w:line="480" w:lineRule="auto"/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>（n=132）</w:t>
            </w:r>
          </w:p>
        </w:tc>
        <w:tc>
          <w:tcPr>
            <w:tcW w:w="0" w:type="auto"/>
            <w:vMerge w:val="restart"/>
            <w:vAlign w:val="center"/>
          </w:tcPr>
          <w:p w14:paraId="58EB9235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Unacceptable</w:t>
            </w:r>
          </w:p>
          <w:p w14:paraId="480A275E">
            <w:pPr>
              <w:spacing w:line="480" w:lineRule="auto"/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>（n=92）</w:t>
            </w:r>
          </w:p>
        </w:tc>
        <w:tc>
          <w:tcPr>
            <w:tcW w:w="0" w:type="auto"/>
            <w:gridSpan w:val="2"/>
            <w:vAlign w:val="center"/>
          </w:tcPr>
          <w:p w14:paraId="5526FEB3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Univariate analysis</w:t>
            </w:r>
          </w:p>
        </w:tc>
      </w:tr>
      <w:tr w14:paraId="0B76AF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28" w:type="dxa"/>
            <w:vMerge w:val="continue"/>
            <w:tcBorders>
              <w:bottom w:val="single" w:color="auto" w:sz="6" w:space="0"/>
            </w:tcBorders>
            <w:vAlign w:val="center"/>
          </w:tcPr>
          <w:p w14:paraId="2CE142EB">
            <w:pPr>
              <w:spacing w:line="480" w:lineRule="auto"/>
              <w:rPr>
                <w:rFonts w:ascii="Times New Roman Regular" w:hAnsi="Times New Roman Regular" w:eastAsia="微软雅黑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</w:tcPr>
          <w:p w14:paraId="1D4CE943">
            <w:pPr>
              <w:spacing w:line="480" w:lineRule="auto"/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</w:tcPr>
          <w:p w14:paraId="4DAC0CD0">
            <w:pPr>
              <w:spacing w:line="480" w:lineRule="auto"/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</w:tcPr>
          <w:p w14:paraId="5FFEE46F">
            <w:pPr>
              <w:spacing w:line="480" w:lineRule="auto"/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auto" w:sz="6" w:space="0"/>
            </w:tcBorders>
            <w:vAlign w:val="center"/>
          </w:tcPr>
          <w:p w14:paraId="5CA44F5B">
            <w:pPr>
              <w:spacing w:line="480" w:lineRule="auto"/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>χ2</w:t>
            </w:r>
          </w:p>
        </w:tc>
        <w:tc>
          <w:tcPr>
            <w:tcW w:w="0" w:type="auto"/>
            <w:tcBorders>
              <w:bottom w:val="single" w:color="auto" w:sz="6" w:space="0"/>
            </w:tcBorders>
            <w:vAlign w:val="center"/>
          </w:tcPr>
          <w:p w14:paraId="121FCAEF">
            <w:pPr>
              <w:spacing w:line="480" w:lineRule="auto"/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>P-Value</w:t>
            </w:r>
          </w:p>
        </w:tc>
      </w:tr>
      <w:tr w14:paraId="61A1600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28" w:type="dxa"/>
            <w:tcBorders>
              <w:top w:val="single" w:color="auto" w:sz="6" w:space="0"/>
              <w:bottom w:val="nil"/>
            </w:tcBorders>
          </w:tcPr>
          <w:p w14:paraId="3DA53268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Age at intial diagnosis </w:t>
            </w:r>
          </w:p>
        </w:tc>
        <w:tc>
          <w:tcPr>
            <w:tcW w:w="0" w:type="auto"/>
            <w:tcBorders>
              <w:top w:val="single" w:color="auto" w:sz="6" w:space="0"/>
              <w:bottom w:val="nil"/>
            </w:tcBorders>
          </w:tcPr>
          <w:p w14:paraId="22B3723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bottom w:val="nil"/>
            </w:tcBorders>
          </w:tcPr>
          <w:p w14:paraId="147D7F8E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bottom w:val="nil"/>
            </w:tcBorders>
          </w:tcPr>
          <w:p w14:paraId="600C38F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bottom w:val="nil"/>
            </w:tcBorders>
          </w:tcPr>
          <w:p w14:paraId="798B4997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bottom w:val="nil"/>
            </w:tcBorders>
          </w:tcPr>
          <w:p w14:paraId="6132408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FBBA23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5828" w:type="dxa"/>
            <w:tcBorders>
              <w:top w:val="nil"/>
            </w:tcBorders>
          </w:tcPr>
          <w:p w14:paraId="4DBACBA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≥55</w:t>
            </w:r>
          </w:p>
        </w:tc>
        <w:tc>
          <w:tcPr>
            <w:tcW w:w="0" w:type="auto"/>
            <w:tcBorders>
              <w:top w:val="nil"/>
            </w:tcBorders>
          </w:tcPr>
          <w:p w14:paraId="0EDFA5F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</w:tcBorders>
          </w:tcPr>
          <w:p w14:paraId="5944367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13(46.4%)</w:t>
            </w:r>
          </w:p>
        </w:tc>
        <w:tc>
          <w:tcPr>
            <w:tcW w:w="0" w:type="auto"/>
            <w:tcBorders>
              <w:top w:val="nil"/>
            </w:tcBorders>
          </w:tcPr>
          <w:p w14:paraId="6295E32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15(53.6%)</w:t>
            </w:r>
          </w:p>
        </w:tc>
        <w:tc>
          <w:tcPr>
            <w:tcW w:w="0" w:type="auto"/>
            <w:tcBorders>
              <w:top w:val="nil"/>
            </w:tcBorders>
          </w:tcPr>
          <w:p w14:paraId="4D18360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2.066</w:t>
            </w:r>
          </w:p>
        </w:tc>
        <w:tc>
          <w:tcPr>
            <w:tcW w:w="0" w:type="auto"/>
            <w:tcBorders>
              <w:top w:val="nil"/>
            </w:tcBorders>
          </w:tcPr>
          <w:p w14:paraId="72D07E0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0.151</w:t>
            </w:r>
          </w:p>
        </w:tc>
      </w:tr>
      <w:tr w14:paraId="36B9E9E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28" w:type="dxa"/>
          </w:tcPr>
          <w:p w14:paraId="212EE4D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＜55</w:t>
            </w:r>
          </w:p>
        </w:tc>
        <w:tc>
          <w:tcPr>
            <w:tcW w:w="0" w:type="auto"/>
          </w:tcPr>
          <w:p w14:paraId="57D307E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196</w:t>
            </w:r>
          </w:p>
        </w:tc>
        <w:tc>
          <w:tcPr>
            <w:tcW w:w="0" w:type="auto"/>
          </w:tcPr>
          <w:p w14:paraId="7D86335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119(60.7%)</w:t>
            </w:r>
          </w:p>
        </w:tc>
        <w:tc>
          <w:tcPr>
            <w:tcW w:w="0" w:type="auto"/>
          </w:tcPr>
          <w:p w14:paraId="5125867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77(39.3%)</w:t>
            </w:r>
          </w:p>
        </w:tc>
        <w:tc>
          <w:tcPr>
            <w:tcW w:w="0" w:type="auto"/>
          </w:tcPr>
          <w:p w14:paraId="68E7BDA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F7FF29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68CD8E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521649E5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0" w:type="auto"/>
          </w:tcPr>
          <w:p w14:paraId="286B4FA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E81EE2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4985CA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7DD101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108180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48B79A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33002BC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 xml:space="preserve">Male </w:t>
            </w:r>
          </w:p>
        </w:tc>
        <w:tc>
          <w:tcPr>
            <w:tcW w:w="0" w:type="auto"/>
          </w:tcPr>
          <w:p w14:paraId="6B68B0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14:paraId="7FAF2FB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50(61.0%)</w:t>
            </w:r>
          </w:p>
        </w:tc>
        <w:tc>
          <w:tcPr>
            <w:tcW w:w="0" w:type="auto"/>
          </w:tcPr>
          <w:p w14:paraId="1CEC7B8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32(39.0%)</w:t>
            </w:r>
          </w:p>
        </w:tc>
        <w:tc>
          <w:tcPr>
            <w:tcW w:w="0" w:type="auto"/>
          </w:tcPr>
          <w:p w14:paraId="482955A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0.224</w:t>
            </w:r>
          </w:p>
        </w:tc>
        <w:tc>
          <w:tcPr>
            <w:tcW w:w="0" w:type="auto"/>
          </w:tcPr>
          <w:p w14:paraId="39EF3FA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0.636</w:t>
            </w:r>
          </w:p>
        </w:tc>
      </w:tr>
      <w:tr w14:paraId="2446426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28" w:type="dxa"/>
          </w:tcPr>
          <w:p w14:paraId="49B8919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 xml:space="preserve">Female </w:t>
            </w:r>
          </w:p>
        </w:tc>
        <w:tc>
          <w:tcPr>
            <w:tcW w:w="0" w:type="auto"/>
          </w:tcPr>
          <w:p w14:paraId="420103A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</w:tcPr>
          <w:p w14:paraId="1B33D1A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82(57.7%)</w:t>
            </w:r>
          </w:p>
        </w:tc>
        <w:tc>
          <w:tcPr>
            <w:tcW w:w="0" w:type="auto"/>
          </w:tcPr>
          <w:p w14:paraId="6237C23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60(42.3%)</w:t>
            </w:r>
          </w:p>
        </w:tc>
        <w:tc>
          <w:tcPr>
            <w:tcW w:w="0" w:type="auto"/>
          </w:tcPr>
          <w:p w14:paraId="331091F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D03CFC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344E4B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3069E5D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Number of thyroid surgery</w:t>
            </w:r>
          </w:p>
        </w:tc>
        <w:tc>
          <w:tcPr>
            <w:tcW w:w="0" w:type="auto"/>
          </w:tcPr>
          <w:p w14:paraId="109F671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FD3528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D04428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613DD6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24F8F4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85C37A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28" w:type="dxa"/>
          </w:tcPr>
          <w:p w14:paraId="4D7E430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E65E8D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</w:tcPr>
          <w:p w14:paraId="65F4783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97(58.8%)</w:t>
            </w:r>
          </w:p>
        </w:tc>
        <w:tc>
          <w:tcPr>
            <w:tcW w:w="0" w:type="auto"/>
          </w:tcPr>
          <w:p w14:paraId="083B545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68(41.2%)</w:t>
            </w:r>
          </w:p>
        </w:tc>
        <w:tc>
          <w:tcPr>
            <w:tcW w:w="0" w:type="auto"/>
          </w:tcPr>
          <w:p w14:paraId="5CC45A8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0.005</w:t>
            </w:r>
          </w:p>
        </w:tc>
        <w:tc>
          <w:tcPr>
            <w:tcW w:w="0" w:type="auto"/>
          </w:tcPr>
          <w:p w14:paraId="1B07EBD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0.943</w:t>
            </w:r>
          </w:p>
        </w:tc>
      </w:tr>
      <w:tr w14:paraId="623B5E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28" w:type="dxa"/>
          </w:tcPr>
          <w:p w14:paraId="64665E1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＞1</w:t>
            </w:r>
          </w:p>
        </w:tc>
        <w:tc>
          <w:tcPr>
            <w:tcW w:w="0" w:type="auto"/>
          </w:tcPr>
          <w:p w14:paraId="04801B6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</w:tcPr>
          <w:p w14:paraId="59FEBFE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35(59.3%)</w:t>
            </w:r>
          </w:p>
        </w:tc>
        <w:tc>
          <w:tcPr>
            <w:tcW w:w="0" w:type="auto"/>
          </w:tcPr>
          <w:p w14:paraId="2547468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24(40.7%)</w:t>
            </w:r>
          </w:p>
        </w:tc>
        <w:tc>
          <w:tcPr>
            <w:tcW w:w="0" w:type="auto"/>
          </w:tcPr>
          <w:p w14:paraId="3D63F66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BC1EFA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89196F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4410146D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Pathologic subtype</w:t>
            </w:r>
          </w:p>
        </w:tc>
        <w:tc>
          <w:tcPr>
            <w:tcW w:w="0" w:type="auto"/>
          </w:tcPr>
          <w:p w14:paraId="109942C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350468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172ED7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2F0F2A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F30A53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AF7802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25C2287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PTC</w:t>
            </w:r>
          </w:p>
        </w:tc>
        <w:tc>
          <w:tcPr>
            <w:tcW w:w="0" w:type="auto"/>
          </w:tcPr>
          <w:p w14:paraId="68E53AB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218</w:t>
            </w:r>
          </w:p>
        </w:tc>
        <w:tc>
          <w:tcPr>
            <w:tcW w:w="0" w:type="auto"/>
          </w:tcPr>
          <w:p w14:paraId="3FC95FD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128(58.7%)</w:t>
            </w:r>
          </w:p>
        </w:tc>
        <w:tc>
          <w:tcPr>
            <w:tcW w:w="0" w:type="auto"/>
          </w:tcPr>
          <w:p w14:paraId="1678F3A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90(41.3%)</w:t>
            </w:r>
          </w:p>
        </w:tc>
        <w:tc>
          <w:tcPr>
            <w:tcW w:w="0" w:type="auto"/>
          </w:tcPr>
          <w:p w14:paraId="1EDA262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09F1F0E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1.00</w:t>
            </w:r>
          </w:p>
        </w:tc>
      </w:tr>
      <w:tr w14:paraId="5066F1C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3904A4C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FTC</w:t>
            </w:r>
          </w:p>
        </w:tc>
        <w:tc>
          <w:tcPr>
            <w:tcW w:w="0" w:type="auto"/>
          </w:tcPr>
          <w:p w14:paraId="03DC2D8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552F3C6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4(66.7%)</w:t>
            </w:r>
          </w:p>
        </w:tc>
        <w:tc>
          <w:tcPr>
            <w:tcW w:w="0" w:type="auto"/>
          </w:tcPr>
          <w:p w14:paraId="37796C0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2(33.3%)</w:t>
            </w:r>
          </w:p>
        </w:tc>
        <w:tc>
          <w:tcPr>
            <w:tcW w:w="0" w:type="auto"/>
          </w:tcPr>
          <w:p w14:paraId="29A0EDD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02F28B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620912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2A9D65E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Tumor multifocality</w:t>
            </w:r>
          </w:p>
        </w:tc>
        <w:tc>
          <w:tcPr>
            <w:tcW w:w="0" w:type="auto"/>
          </w:tcPr>
          <w:p w14:paraId="403C1CD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773BF8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167109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F6F6D9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4A195C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065B26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03C9DEF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</w:tcPr>
          <w:p w14:paraId="48EE060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208</w:t>
            </w:r>
          </w:p>
        </w:tc>
        <w:tc>
          <w:tcPr>
            <w:tcW w:w="0" w:type="auto"/>
          </w:tcPr>
          <w:p w14:paraId="3CE6D2D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120(57.7%)</w:t>
            </w:r>
          </w:p>
        </w:tc>
        <w:tc>
          <w:tcPr>
            <w:tcW w:w="0" w:type="auto"/>
          </w:tcPr>
          <w:p w14:paraId="70574B4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88(42.3%)</w:t>
            </w:r>
          </w:p>
        </w:tc>
        <w:tc>
          <w:tcPr>
            <w:tcW w:w="0" w:type="auto"/>
          </w:tcPr>
          <w:p w14:paraId="288CC50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2.882</w:t>
            </w:r>
          </w:p>
        </w:tc>
        <w:tc>
          <w:tcPr>
            <w:tcW w:w="0" w:type="auto"/>
          </w:tcPr>
          <w:p w14:paraId="0FF945A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0.09</w:t>
            </w:r>
          </w:p>
        </w:tc>
      </w:tr>
      <w:tr w14:paraId="68759F6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420938E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</w:tcPr>
          <w:p w14:paraId="7F1D167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320BB92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12(80.0%)</w:t>
            </w:r>
          </w:p>
        </w:tc>
        <w:tc>
          <w:tcPr>
            <w:tcW w:w="0" w:type="auto"/>
          </w:tcPr>
          <w:p w14:paraId="5A9EFC9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3(20.0%)</w:t>
            </w:r>
          </w:p>
        </w:tc>
        <w:tc>
          <w:tcPr>
            <w:tcW w:w="0" w:type="auto"/>
          </w:tcPr>
          <w:p w14:paraId="677806C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EA2D38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3612DD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2118689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T classification</w:t>
            </w:r>
          </w:p>
        </w:tc>
        <w:tc>
          <w:tcPr>
            <w:tcW w:w="0" w:type="auto"/>
          </w:tcPr>
          <w:p w14:paraId="3C39402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CB5164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B7ACDC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0155C3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BB039C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5486D2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45329F5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T1</w:t>
            </w:r>
          </w:p>
        </w:tc>
        <w:tc>
          <w:tcPr>
            <w:tcW w:w="0" w:type="auto"/>
          </w:tcPr>
          <w:p w14:paraId="21319C4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</w:tcPr>
          <w:p w14:paraId="54EDC29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83(58.5%)</w:t>
            </w:r>
          </w:p>
        </w:tc>
        <w:tc>
          <w:tcPr>
            <w:tcW w:w="0" w:type="auto"/>
          </w:tcPr>
          <w:p w14:paraId="568395D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59(41.5%)</w:t>
            </w:r>
          </w:p>
        </w:tc>
        <w:tc>
          <w:tcPr>
            <w:tcW w:w="0" w:type="auto"/>
          </w:tcPr>
          <w:p w14:paraId="73DC6DF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0.061</w:t>
            </w:r>
          </w:p>
        </w:tc>
        <w:tc>
          <w:tcPr>
            <w:tcW w:w="0" w:type="auto"/>
          </w:tcPr>
          <w:p w14:paraId="3AA9E13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0.970</w:t>
            </w:r>
          </w:p>
        </w:tc>
      </w:tr>
      <w:tr w14:paraId="683ED96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28" w:type="dxa"/>
          </w:tcPr>
          <w:p w14:paraId="5666476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T2</w:t>
            </w:r>
          </w:p>
        </w:tc>
        <w:tc>
          <w:tcPr>
            <w:tcW w:w="0" w:type="auto"/>
          </w:tcPr>
          <w:p w14:paraId="2B6133B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</w:tcPr>
          <w:p w14:paraId="3E42941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41(56.9%)</w:t>
            </w:r>
          </w:p>
        </w:tc>
        <w:tc>
          <w:tcPr>
            <w:tcW w:w="0" w:type="auto"/>
          </w:tcPr>
          <w:p w14:paraId="6F8D168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31(43.1%)</w:t>
            </w:r>
          </w:p>
        </w:tc>
        <w:tc>
          <w:tcPr>
            <w:tcW w:w="0" w:type="auto"/>
          </w:tcPr>
          <w:p w14:paraId="0DFE96A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9E78BC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0CF555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6688FBD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T3、T4</w:t>
            </w:r>
          </w:p>
        </w:tc>
        <w:tc>
          <w:tcPr>
            <w:tcW w:w="0" w:type="auto"/>
          </w:tcPr>
          <w:p w14:paraId="276866B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288C7E6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6(60.0%)</w:t>
            </w:r>
          </w:p>
        </w:tc>
        <w:tc>
          <w:tcPr>
            <w:tcW w:w="0" w:type="auto"/>
          </w:tcPr>
          <w:p w14:paraId="05C52FF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4(40.0%)</w:t>
            </w:r>
          </w:p>
        </w:tc>
        <w:tc>
          <w:tcPr>
            <w:tcW w:w="0" w:type="auto"/>
          </w:tcPr>
          <w:p w14:paraId="3928789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605B11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7969506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003D1953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 xml:space="preserve">N 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classification</w:t>
            </w:r>
          </w:p>
        </w:tc>
        <w:tc>
          <w:tcPr>
            <w:tcW w:w="0" w:type="auto"/>
          </w:tcPr>
          <w:p w14:paraId="136F1A8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7D45C0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DE2E73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41798C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8885EB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2EA48B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30EA4A9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N0</w:t>
            </w:r>
          </w:p>
        </w:tc>
        <w:tc>
          <w:tcPr>
            <w:tcW w:w="0" w:type="auto"/>
          </w:tcPr>
          <w:p w14:paraId="7CC83A0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4EB5F7E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13(68.4%)</w:t>
            </w:r>
          </w:p>
        </w:tc>
        <w:tc>
          <w:tcPr>
            <w:tcW w:w="0" w:type="auto"/>
          </w:tcPr>
          <w:p w14:paraId="6A2AEC7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6(31.6%)</w:t>
            </w:r>
          </w:p>
        </w:tc>
        <w:tc>
          <w:tcPr>
            <w:tcW w:w="0" w:type="auto"/>
          </w:tcPr>
          <w:p w14:paraId="300DFB3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0.873</w:t>
            </w:r>
          </w:p>
        </w:tc>
        <w:tc>
          <w:tcPr>
            <w:tcW w:w="0" w:type="auto"/>
          </w:tcPr>
          <w:p w14:paraId="54097E8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0.646</w:t>
            </w:r>
          </w:p>
        </w:tc>
      </w:tr>
      <w:tr w14:paraId="55BA569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828" w:type="dxa"/>
          </w:tcPr>
          <w:p w14:paraId="2CC3E34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N1a</w:t>
            </w:r>
          </w:p>
        </w:tc>
        <w:tc>
          <w:tcPr>
            <w:tcW w:w="0" w:type="auto"/>
          </w:tcPr>
          <w:p w14:paraId="79A825A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</w:tcPr>
          <w:p w14:paraId="38F25F5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80(58.8%)</w:t>
            </w:r>
          </w:p>
        </w:tc>
        <w:tc>
          <w:tcPr>
            <w:tcW w:w="0" w:type="auto"/>
          </w:tcPr>
          <w:p w14:paraId="7D958B9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56(41.2%)</w:t>
            </w:r>
          </w:p>
        </w:tc>
        <w:tc>
          <w:tcPr>
            <w:tcW w:w="0" w:type="auto"/>
          </w:tcPr>
          <w:p w14:paraId="73AF149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8BA9E4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1F9995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1F66E48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N1b</w:t>
            </w:r>
          </w:p>
        </w:tc>
        <w:tc>
          <w:tcPr>
            <w:tcW w:w="0" w:type="auto"/>
          </w:tcPr>
          <w:p w14:paraId="2A82E1A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</w:tcPr>
          <w:p w14:paraId="065C7BA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39(56.5%)</w:t>
            </w:r>
          </w:p>
        </w:tc>
        <w:tc>
          <w:tcPr>
            <w:tcW w:w="0" w:type="auto"/>
          </w:tcPr>
          <w:p w14:paraId="22C57D1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30(43.5%)</w:t>
            </w:r>
          </w:p>
        </w:tc>
        <w:tc>
          <w:tcPr>
            <w:tcW w:w="0" w:type="auto"/>
          </w:tcPr>
          <w:p w14:paraId="2E3E3E9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2F2522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182914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5828" w:type="dxa"/>
          </w:tcPr>
          <w:p w14:paraId="2CCF01F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Extrathyroidal extension </w:t>
            </w:r>
          </w:p>
        </w:tc>
        <w:tc>
          <w:tcPr>
            <w:tcW w:w="0" w:type="auto"/>
          </w:tcPr>
          <w:p w14:paraId="234601E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77B8ED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6510E6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6C64C9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5913E8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099E06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5828" w:type="dxa"/>
          </w:tcPr>
          <w:p w14:paraId="04B2B1B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</w:tcPr>
          <w:p w14:paraId="29E577C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209</w:t>
            </w:r>
          </w:p>
        </w:tc>
        <w:tc>
          <w:tcPr>
            <w:tcW w:w="0" w:type="auto"/>
          </w:tcPr>
          <w:p w14:paraId="5737353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122(58.4%)</w:t>
            </w:r>
          </w:p>
        </w:tc>
        <w:tc>
          <w:tcPr>
            <w:tcW w:w="0" w:type="auto"/>
          </w:tcPr>
          <w:p w14:paraId="33B9E0D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87(41.6%)</w:t>
            </w:r>
          </w:p>
        </w:tc>
        <w:tc>
          <w:tcPr>
            <w:tcW w:w="0" w:type="auto"/>
          </w:tcPr>
          <w:p w14:paraId="27B5FF8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0.398</w:t>
            </w:r>
          </w:p>
        </w:tc>
        <w:tc>
          <w:tcPr>
            <w:tcW w:w="0" w:type="auto"/>
          </w:tcPr>
          <w:p w14:paraId="6222FAB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0.528</w:t>
            </w:r>
          </w:p>
        </w:tc>
      </w:tr>
      <w:tr w14:paraId="74E6959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2A151FB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</w:tcPr>
          <w:p w14:paraId="5141190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2840F6D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10(66.7%)</w:t>
            </w:r>
          </w:p>
        </w:tc>
        <w:tc>
          <w:tcPr>
            <w:tcW w:w="0" w:type="auto"/>
          </w:tcPr>
          <w:p w14:paraId="3851AA1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5(33.3%)</w:t>
            </w:r>
          </w:p>
        </w:tc>
        <w:tc>
          <w:tcPr>
            <w:tcW w:w="0" w:type="auto"/>
          </w:tcPr>
          <w:p w14:paraId="0ADCFC4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18F50A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C6F860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50B8C0B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Numb of CLNM</w:t>
            </w:r>
          </w:p>
        </w:tc>
        <w:tc>
          <w:tcPr>
            <w:tcW w:w="0" w:type="auto"/>
          </w:tcPr>
          <w:p w14:paraId="42E365C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4B68D8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2FC216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6F560E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FB4CE5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8B01F8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35284D10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≤5</w:t>
            </w:r>
          </w:p>
        </w:tc>
        <w:tc>
          <w:tcPr>
            <w:tcW w:w="0" w:type="auto"/>
          </w:tcPr>
          <w:p w14:paraId="35BDF44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</w:tcPr>
          <w:p w14:paraId="5DD2F0F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62(63.3%)</w:t>
            </w:r>
          </w:p>
        </w:tc>
        <w:tc>
          <w:tcPr>
            <w:tcW w:w="0" w:type="auto"/>
          </w:tcPr>
          <w:p w14:paraId="2305310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36(36.7%)</w:t>
            </w:r>
          </w:p>
        </w:tc>
        <w:tc>
          <w:tcPr>
            <w:tcW w:w="0" w:type="auto"/>
          </w:tcPr>
          <w:p w14:paraId="4BA21B3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1.314</w:t>
            </w:r>
          </w:p>
        </w:tc>
        <w:tc>
          <w:tcPr>
            <w:tcW w:w="0" w:type="auto"/>
          </w:tcPr>
          <w:p w14:paraId="5214CF6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0.252</w:t>
            </w:r>
          </w:p>
        </w:tc>
      </w:tr>
      <w:tr w14:paraId="0B37864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3D19F8F2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&gt;5</w:t>
            </w:r>
          </w:p>
        </w:tc>
        <w:tc>
          <w:tcPr>
            <w:tcW w:w="0" w:type="auto"/>
          </w:tcPr>
          <w:p w14:paraId="5DA8D93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</w:tcPr>
          <w:p w14:paraId="4E90B61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69(55.6%)</w:t>
            </w:r>
          </w:p>
        </w:tc>
        <w:tc>
          <w:tcPr>
            <w:tcW w:w="0" w:type="auto"/>
          </w:tcPr>
          <w:p w14:paraId="3826344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55(44.4%)</w:t>
            </w:r>
          </w:p>
        </w:tc>
        <w:tc>
          <w:tcPr>
            <w:tcW w:w="0" w:type="auto"/>
          </w:tcPr>
          <w:p w14:paraId="5A509B84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D1E8EE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E53A73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6DC39A28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TNM</w:t>
            </w:r>
          </w:p>
        </w:tc>
        <w:tc>
          <w:tcPr>
            <w:tcW w:w="0" w:type="auto"/>
          </w:tcPr>
          <w:p w14:paraId="509CBC0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165B3C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5B2199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22D84B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1CC398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DD6B6B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10171BB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14:paraId="3601F8A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14:paraId="7E7347A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122(61.0%)</w:t>
            </w:r>
          </w:p>
        </w:tc>
        <w:tc>
          <w:tcPr>
            <w:tcW w:w="0" w:type="auto"/>
          </w:tcPr>
          <w:p w14:paraId="0FB4F8E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78(39.0%)</w:t>
            </w:r>
          </w:p>
        </w:tc>
        <w:tc>
          <w:tcPr>
            <w:tcW w:w="0" w:type="auto"/>
          </w:tcPr>
          <w:p w14:paraId="7CED1CB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3.309</w:t>
            </w:r>
          </w:p>
        </w:tc>
        <w:tc>
          <w:tcPr>
            <w:tcW w:w="0" w:type="auto"/>
          </w:tcPr>
          <w:p w14:paraId="70F446D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0.069</w:t>
            </w:r>
          </w:p>
        </w:tc>
      </w:tr>
      <w:tr w14:paraId="369C2BE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31BE6B6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14:paraId="040CBCA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14:paraId="0AC5993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10(41.7%)</w:t>
            </w:r>
          </w:p>
        </w:tc>
        <w:tc>
          <w:tcPr>
            <w:tcW w:w="0" w:type="auto"/>
          </w:tcPr>
          <w:p w14:paraId="35A6894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14(58.3%)</w:t>
            </w:r>
          </w:p>
        </w:tc>
        <w:tc>
          <w:tcPr>
            <w:tcW w:w="0" w:type="auto"/>
          </w:tcPr>
          <w:p w14:paraId="61885E7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7661DA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C6D47F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6F265351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FF"/>
                <w:sz w:val="24"/>
                <w:szCs w:val="24"/>
              </w:rPr>
              <w:t>Risk stratification</w:t>
            </w:r>
            <w:r>
              <w:rPr>
                <w:rFonts w:hint="eastAsia" w:ascii="Times New Roman Regular" w:hAnsi="Times New Roman Regular" w:cs="Times New Roman Regular"/>
                <w:b/>
                <w:bCs/>
                <w:color w:val="0000FF"/>
                <w:sz w:val="24"/>
                <w:szCs w:val="24"/>
                <w:lang w:val="en-US" w:eastAsia="zh-CN"/>
              </w:rPr>
              <w:t xml:space="preserve"> prior to </w:t>
            </w:r>
            <w:r>
              <w:rPr>
                <w:rFonts w:hint="eastAsia" w:ascii="Times New Roman Regular" w:hAnsi="Times New Roman Regular" w:cs="Times New Roman Regular"/>
                <w:b/>
                <w:bCs/>
                <w:color w:val="0000FF"/>
                <w:sz w:val="24"/>
                <w:szCs w:val="24"/>
                <w:vertAlign w:val="superscript"/>
                <w:lang w:val="en-US" w:eastAsia="zh-CN"/>
              </w:rPr>
              <w:t>131</w:t>
            </w:r>
            <w:r>
              <w:rPr>
                <w:rFonts w:hint="eastAsia" w:ascii="Times New Roman Regular" w:hAnsi="Times New Roman Regular" w:cs="Times New Roman Regular"/>
                <w:b/>
                <w:bCs/>
                <w:color w:val="0000FF"/>
                <w:sz w:val="24"/>
                <w:szCs w:val="24"/>
                <w:lang w:val="en-US" w:eastAsia="zh-CN"/>
              </w:rPr>
              <w:t>I treatment</w:t>
            </w:r>
          </w:p>
        </w:tc>
        <w:tc>
          <w:tcPr>
            <w:tcW w:w="0" w:type="auto"/>
          </w:tcPr>
          <w:p w14:paraId="14FB23A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F2743A4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05C8EC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133A76E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C470F7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</w:tr>
      <w:tr w14:paraId="2440D31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63E8661B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Low</w:t>
            </w:r>
          </w:p>
        </w:tc>
        <w:tc>
          <w:tcPr>
            <w:tcW w:w="0" w:type="auto"/>
          </w:tcPr>
          <w:p w14:paraId="36F90F3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</w:tcPr>
          <w:p w14:paraId="79CD49C8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37(66.1%)</w:t>
            </w:r>
          </w:p>
        </w:tc>
        <w:tc>
          <w:tcPr>
            <w:tcW w:w="0" w:type="auto"/>
          </w:tcPr>
          <w:p w14:paraId="29D39869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19(33.9%)</w:t>
            </w:r>
          </w:p>
        </w:tc>
        <w:tc>
          <w:tcPr>
            <w:tcW w:w="0" w:type="auto"/>
          </w:tcPr>
          <w:p w14:paraId="300CC26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1.574</w:t>
            </w:r>
          </w:p>
        </w:tc>
        <w:tc>
          <w:tcPr>
            <w:tcW w:w="0" w:type="auto"/>
          </w:tcPr>
          <w:p w14:paraId="3E7E855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0.21</w:t>
            </w:r>
          </w:p>
        </w:tc>
      </w:tr>
      <w:tr w14:paraId="43ACF0C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09E3E684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Tahoma" w:hAnsi="Tahoma" w:cs="Tahoma"/>
                <w:b w:val="0"/>
                <w:bCs w:val="0"/>
                <w:color w:val="0000FF"/>
                <w:sz w:val="24"/>
                <w:lang w:val="en-US" w:eastAsia="zh-CN"/>
              </w:rPr>
              <w:t>I</w:t>
            </w:r>
            <w:r>
              <w:rPr>
                <w:rFonts w:ascii="Tahoma" w:hAnsi="Tahoma" w:cs="Tahoma"/>
                <w:b w:val="0"/>
                <w:bCs w:val="0"/>
                <w:color w:val="0000FF"/>
                <w:sz w:val="24"/>
              </w:rPr>
              <w:t>ntermediate</w:t>
            </w: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/high</w:t>
            </w:r>
          </w:p>
        </w:tc>
        <w:tc>
          <w:tcPr>
            <w:tcW w:w="0" w:type="auto"/>
          </w:tcPr>
          <w:p w14:paraId="0108835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168</w:t>
            </w:r>
          </w:p>
        </w:tc>
        <w:tc>
          <w:tcPr>
            <w:tcW w:w="0" w:type="auto"/>
          </w:tcPr>
          <w:p w14:paraId="3ED5EDDA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95(56.5%)</w:t>
            </w:r>
          </w:p>
        </w:tc>
        <w:tc>
          <w:tcPr>
            <w:tcW w:w="0" w:type="auto"/>
          </w:tcPr>
          <w:p w14:paraId="7420835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73(43.5%)</w:t>
            </w:r>
          </w:p>
        </w:tc>
        <w:tc>
          <w:tcPr>
            <w:tcW w:w="0" w:type="auto"/>
          </w:tcPr>
          <w:p w14:paraId="0FA9C65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D9948CA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</w:tr>
      <w:tr w14:paraId="0D6E564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332D7361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 xml:space="preserve">I 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 Regular" w:hAnsi="Times New Roman Regular" w:eastAsia="Georgia" w:cs="Times New Roman Regular"/>
                <w:b/>
                <w:bCs/>
                <w:color w:val="212121"/>
                <w:sz w:val="24"/>
                <w:szCs w:val="24"/>
                <w:shd w:val="clear" w:color="auto" w:fill="FFFFFF"/>
              </w:rPr>
              <w:t>ctivities</w:t>
            </w:r>
          </w:p>
        </w:tc>
        <w:tc>
          <w:tcPr>
            <w:tcW w:w="0" w:type="auto"/>
          </w:tcPr>
          <w:p w14:paraId="27502F8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849076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BBCD60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4EE385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EEEE05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4ED4FA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198B100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3.7GBq</w:t>
            </w:r>
          </w:p>
        </w:tc>
        <w:tc>
          <w:tcPr>
            <w:tcW w:w="0" w:type="auto"/>
          </w:tcPr>
          <w:p w14:paraId="71A3D38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</w:tcPr>
          <w:p w14:paraId="68A671D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72(58.5%)</w:t>
            </w:r>
          </w:p>
        </w:tc>
        <w:tc>
          <w:tcPr>
            <w:tcW w:w="0" w:type="auto"/>
          </w:tcPr>
          <w:p w14:paraId="365A33B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51(41.5%)</w:t>
            </w:r>
          </w:p>
        </w:tc>
        <w:tc>
          <w:tcPr>
            <w:tcW w:w="0" w:type="auto"/>
          </w:tcPr>
          <w:p w14:paraId="25B831F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0.017</w:t>
            </w:r>
          </w:p>
        </w:tc>
        <w:tc>
          <w:tcPr>
            <w:tcW w:w="0" w:type="auto"/>
          </w:tcPr>
          <w:p w14:paraId="497A57B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0.895</w:t>
            </w:r>
          </w:p>
        </w:tc>
      </w:tr>
      <w:tr w14:paraId="103FE63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76761A8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5.55GBq</w:t>
            </w:r>
          </w:p>
        </w:tc>
        <w:tc>
          <w:tcPr>
            <w:tcW w:w="0" w:type="auto"/>
          </w:tcPr>
          <w:p w14:paraId="6195F57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</w:tcPr>
          <w:p w14:paraId="7DC314F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60(59.4%)</w:t>
            </w:r>
          </w:p>
        </w:tc>
        <w:tc>
          <w:tcPr>
            <w:tcW w:w="0" w:type="auto"/>
          </w:tcPr>
          <w:p w14:paraId="6183853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41(40.6%)</w:t>
            </w:r>
          </w:p>
        </w:tc>
        <w:tc>
          <w:tcPr>
            <w:tcW w:w="0" w:type="auto"/>
          </w:tcPr>
          <w:p w14:paraId="302F2C5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7F7B54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71AA3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0A9877A7">
            <w:pPr>
              <w:spacing w:line="480" w:lineRule="auto"/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>Post-therapeutic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vertAlign w:val="superscript"/>
              </w:rPr>
              <w:t xml:space="preserve"> 131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>I-WBS</w:t>
            </w:r>
            <w:r>
              <w:rPr>
                <w:rFonts w:hint="eastAsia"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shd w:val="clear"/>
                <w:lang w:val="en-US" w:eastAsia="zh-CN"/>
              </w:rPr>
              <w:t>combined</w:t>
            </w:r>
            <w:r>
              <w:rPr>
                <w:rFonts w:hint="default"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shd w:val="clear"/>
                <w:lang w:val="en-US"/>
              </w:rPr>
              <w:t xml:space="preserve"> with </w:t>
            </w:r>
            <w:r>
              <w:rPr>
                <w:rFonts w:hint="default"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shd w:val="clear"/>
                <w:lang w:val="en-US" w:eastAsia="zh-CN"/>
              </w:rPr>
              <w:t>SPECT/CT</w:t>
            </w:r>
          </w:p>
        </w:tc>
        <w:tc>
          <w:tcPr>
            <w:tcW w:w="0" w:type="auto"/>
          </w:tcPr>
          <w:p w14:paraId="6A5D527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84C2EE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482D4D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3D3CBC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CFE7A9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CD04B0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2BB81CA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57E7197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209</w:t>
            </w:r>
          </w:p>
        </w:tc>
        <w:tc>
          <w:tcPr>
            <w:tcW w:w="0" w:type="auto"/>
          </w:tcPr>
          <w:p w14:paraId="69A6667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122(58.4%)</w:t>
            </w:r>
          </w:p>
        </w:tc>
        <w:tc>
          <w:tcPr>
            <w:tcW w:w="0" w:type="auto"/>
          </w:tcPr>
          <w:p w14:paraId="6567C99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87(41.6%)</w:t>
            </w:r>
          </w:p>
        </w:tc>
        <w:tc>
          <w:tcPr>
            <w:tcW w:w="0" w:type="auto"/>
          </w:tcPr>
          <w:p w14:paraId="7AF8EA2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0.398</w:t>
            </w:r>
          </w:p>
        </w:tc>
        <w:tc>
          <w:tcPr>
            <w:tcW w:w="0" w:type="auto"/>
          </w:tcPr>
          <w:p w14:paraId="6A73A8E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0.528</w:t>
            </w:r>
          </w:p>
        </w:tc>
      </w:tr>
      <w:tr w14:paraId="3D81C7B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8" w:type="dxa"/>
          </w:tcPr>
          <w:p w14:paraId="61A08A0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25BF548E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1A2AE53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10(66.7%)</w:t>
            </w:r>
          </w:p>
        </w:tc>
        <w:tc>
          <w:tcPr>
            <w:tcW w:w="0" w:type="auto"/>
          </w:tcPr>
          <w:p w14:paraId="15AD226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5(33.3%)</w:t>
            </w:r>
          </w:p>
        </w:tc>
        <w:tc>
          <w:tcPr>
            <w:tcW w:w="0" w:type="auto"/>
          </w:tcPr>
          <w:p w14:paraId="4180C08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AB5DE5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</w:tbl>
    <w:p w14:paraId="5AA77D4F">
      <w:pP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</w:pP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Abbreviations: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  <w:lang w:bidi="ar"/>
        </w:rPr>
        <w:t>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I, radioactive iodine;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</w:rPr>
        <w:t>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>I-WBS,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</w:rPr>
        <w:t xml:space="preserve"> 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I whole-body scintigraphy; CLNM, cervical lymph node metastases; FTC, follicular thyroid carcinoma; PTC, papillary thyroid carcinoma </w:t>
      </w:r>
    </w:p>
    <w:p w14:paraId="400E484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vOT569473da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AdvOTf9433e2d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wMTMwMjM4MzlmZTg3MDM5NmMzMzJmYTcxMTM0ZWQifQ=="/>
  </w:docVars>
  <w:rsids>
    <w:rsidRoot w:val="6FBBEFA4"/>
    <w:rsid w:val="00491E53"/>
    <w:rsid w:val="007F58F1"/>
    <w:rsid w:val="00E1391D"/>
    <w:rsid w:val="14073920"/>
    <w:rsid w:val="176FAA62"/>
    <w:rsid w:val="304831AD"/>
    <w:rsid w:val="3F3F7C37"/>
    <w:rsid w:val="61016304"/>
    <w:rsid w:val="6FBBEFA4"/>
    <w:rsid w:val="758D5D25"/>
    <w:rsid w:val="77DD652C"/>
    <w:rsid w:val="BFFE8861"/>
    <w:rsid w:val="CDFFEE19"/>
    <w:rsid w:val="EEF7B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230</Words>
  <Characters>1406</Characters>
  <Lines>12</Lines>
  <Paragraphs>3</Paragraphs>
  <TotalTime>0</TotalTime>
  <ScaleCrop>false</ScaleCrop>
  <LinksUpToDate>false</LinksUpToDate>
  <CharactersWithSpaces>1468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2024-03-07T07:37:00Z</dcterms:created>
  <dc:creator>孙楠</dc:creator>
  <cp:lastModifiedBy>邱忠领  2001级 六院核医学科</cp:lastModifiedBy>
  <dcterms:modified xsi:type="dcterms:W3CDTF">2024-07-30T06:05:16Z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3C267387095F413F9F6747A79DBB607C_13</vt:lpwstr>
  </property>
</Properties>
</file>