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C9AFF" w14:textId="77777777" w:rsidR="00760698" w:rsidRPr="00992937" w:rsidRDefault="00760698" w:rsidP="00760698">
      <w:pPr>
        <w:pStyle w:val="Heading1"/>
        <w:ind w:left="432"/>
        <w:rPr>
          <w:noProof/>
        </w:rPr>
      </w:pPr>
      <w:r w:rsidRPr="00992937">
        <w:rPr>
          <w:noProof/>
        </w:rPr>
        <w:t>Appendix</w:t>
      </w:r>
    </w:p>
    <w:p w14:paraId="5252E6E7" w14:textId="77777777" w:rsidR="00760698" w:rsidRPr="00992937" w:rsidRDefault="00760698" w:rsidP="00760698">
      <w:pPr>
        <w:pStyle w:val="Basictext"/>
        <w:rPr>
          <w:sz w:val="24"/>
          <w:szCs w:val="24"/>
        </w:rPr>
      </w:pPr>
    </w:p>
    <w:p w14:paraId="51710395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 xml:space="preserve">The following </w:t>
      </w:r>
      <w:r>
        <w:rPr>
          <w:sz w:val="24"/>
          <w:szCs w:val="24"/>
        </w:rPr>
        <w:t>six</w:t>
      </w:r>
      <w:r w:rsidRPr="00992937">
        <w:rPr>
          <w:sz w:val="24"/>
          <w:szCs w:val="24"/>
        </w:rPr>
        <w:t xml:space="preserve"> </w:t>
      </w:r>
      <w:r>
        <w:rPr>
          <w:sz w:val="24"/>
          <w:szCs w:val="24"/>
        </w:rPr>
        <w:t>question</w:t>
      </w:r>
      <w:r w:rsidRPr="00992937">
        <w:rPr>
          <w:sz w:val="24"/>
          <w:szCs w:val="24"/>
        </w:rPr>
        <w:t xml:space="preserve"> were presented in the questionnaire to a selected group of experts after the completion of the Delphi rounds. These</w:t>
      </w:r>
      <w:r>
        <w:rPr>
          <w:sz w:val="24"/>
          <w:szCs w:val="24"/>
        </w:rPr>
        <w:t xml:space="preserve"> questions</w:t>
      </w:r>
      <w:r w:rsidRPr="00992937">
        <w:rPr>
          <w:sz w:val="24"/>
          <w:szCs w:val="24"/>
        </w:rPr>
        <w:t xml:space="preserve"> highlight key areas for improvement in the DPIA framework as it relates to BDA, addressing procedural, ethical, societal, and practical considerations:</w:t>
      </w:r>
    </w:p>
    <w:p w14:paraId="77A358E5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sz w:val="24"/>
          <w:szCs w:val="24"/>
        </w:rPr>
      </w:pPr>
      <w:r w:rsidRPr="00992937">
        <w:rPr>
          <w:b/>
          <w:bCs/>
          <w:sz w:val="24"/>
          <w:szCs w:val="24"/>
        </w:rPr>
        <w:t>Procedural Indeterminacy and BDA Complexity</w:t>
      </w:r>
      <w:r w:rsidRPr="0006295E">
        <w:rPr>
          <w:b/>
          <w:sz w:val="24"/>
        </w:rPr>
        <w:t>:</w:t>
      </w:r>
    </w:p>
    <w:p w14:paraId="50964D5D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Focus on addressing the vague and unclear procedures in the current DPIA methodology, particularly in the context of the complexities introduced by BDA.</w:t>
      </w:r>
    </w:p>
    <w:p w14:paraId="3122D283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Enhancing Guidelines for BDA:</w:t>
      </w:r>
    </w:p>
    <w:p w14:paraId="1FF2AA62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Suggestions for improving and tailoring guidelines specifically for assessing privacy risks in BDA environments to make the DPIA more applicable to real-world scenarios.</w:t>
      </w:r>
    </w:p>
    <w:p w14:paraId="3B7F2D52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Expanding the Knowledge Base for DPIA in BDA:</w:t>
      </w:r>
    </w:p>
    <w:p w14:paraId="18FA73B7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Discussion on how the DPIA knowledge base (e.g., case studies, best practices) can be expanded or adapted to better reflect the unique challenges posed by BDA.</w:t>
      </w:r>
    </w:p>
    <w:p w14:paraId="5B35ED8C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Methodological Adaptations for BDA:</w:t>
      </w:r>
    </w:p>
    <w:p w14:paraId="3EE70B4C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Suggestions for modifying the DPIA methodology to better suit the assessment of BDA processes, with a particular emphasis on aligning it with Article 35 of the GDPR.</w:t>
      </w:r>
    </w:p>
    <w:p w14:paraId="40A92A9E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 xml:space="preserve"> Balancing Rigour and Flexibility in DPIA for BDA:</w:t>
      </w:r>
    </w:p>
    <w:p w14:paraId="34D4B83B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Strategies for balancing the need for thorough, rigorous privacy assessments with the flexibility required for diverse and evolving BDA contexts.</w:t>
      </w:r>
    </w:p>
    <w:p w14:paraId="5FAC7830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Incorporating Diverse Stakeholder Perspectives in DPIA for BDA:</w:t>
      </w:r>
    </w:p>
    <w:p w14:paraId="768BB196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The importance of integrating various stakeholder perspectives, particularly in complex BDA projects, to ensure fairness and comprehensive risk assessments.</w:t>
      </w:r>
    </w:p>
    <w:p w14:paraId="6828B3C3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Addressing Ethical and Societal Implications in BDA DPIA:</w:t>
      </w:r>
    </w:p>
    <w:p w14:paraId="7C852BCF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Consideration of the ethical and societal impacts that arise from BDA practices and how these should be incorporated into the DPIA process.</w:t>
      </w:r>
    </w:p>
    <w:p w14:paraId="1BEE9A97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Enhancing Transparency and Accountability in BDA DPIA:</w:t>
      </w:r>
    </w:p>
    <w:p w14:paraId="2BAD4608" w14:textId="77777777" w:rsidR="00760698" w:rsidRPr="00992937" w:rsidRDefault="00760698" w:rsidP="00760698">
      <w:pPr>
        <w:pStyle w:val="Basictext"/>
        <w:rPr>
          <w:sz w:val="24"/>
          <w:szCs w:val="24"/>
        </w:rPr>
      </w:pPr>
      <w:r w:rsidRPr="00992937">
        <w:rPr>
          <w:sz w:val="24"/>
          <w:szCs w:val="24"/>
        </w:rPr>
        <w:t>Focus on improving transparency and accountability in BDA, particularly as part of the DPIA process, to build trust and ensure compliance.</w:t>
      </w:r>
    </w:p>
    <w:p w14:paraId="31647D12" w14:textId="77777777" w:rsidR="00760698" w:rsidRPr="00992937" w:rsidRDefault="00760698" w:rsidP="00760698">
      <w:pPr>
        <w:pStyle w:val="Basictext"/>
        <w:numPr>
          <w:ilvl w:val="0"/>
          <w:numId w:val="1"/>
        </w:numPr>
        <w:rPr>
          <w:b/>
          <w:bCs/>
          <w:sz w:val="24"/>
          <w:szCs w:val="24"/>
        </w:rPr>
      </w:pPr>
      <w:r w:rsidRPr="00992937">
        <w:rPr>
          <w:b/>
          <w:bCs/>
          <w:sz w:val="24"/>
          <w:szCs w:val="24"/>
        </w:rPr>
        <w:t>Future-Proofing DPIA for BDA:</w:t>
      </w:r>
    </w:p>
    <w:p w14:paraId="771EDF0C" w14:textId="77777777" w:rsidR="00760698" w:rsidRPr="00992937" w:rsidRDefault="00760698" w:rsidP="00760698">
      <w:pPr>
        <w:pStyle w:val="Basictext"/>
      </w:pPr>
      <w:r w:rsidRPr="00992937">
        <w:rPr>
          <w:sz w:val="24"/>
          <w:szCs w:val="24"/>
        </w:rPr>
        <w:t>Insights on how the DPIA framework can be designed to remain effective and adaptable in the face of rapid technological advancements in Big Data and ultimately AI.</w:t>
      </w:r>
    </w:p>
    <w:p w14:paraId="2F9B310F" w14:textId="77777777" w:rsidR="00F553FF" w:rsidRDefault="00F553FF"/>
    <w:sectPr w:rsidR="00F553FF" w:rsidSect="0076069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numRestart w:val="eachSect"/>
      </w:footnotePr>
      <w:pgSz w:w="11906" w:h="16838" w:code="9"/>
      <w:pgMar w:top="1701" w:right="1134" w:bottom="1701" w:left="1701" w:header="567" w:footer="0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70E4" w14:textId="77777777" w:rsidR="00000000" w:rsidRPr="00446D84" w:rsidRDefault="00000000" w:rsidP="00523D09">
    <w:pPr>
      <w:pStyle w:val="Footer"/>
      <w:rPr>
        <w:lang w:val="en-GB"/>
      </w:rPr>
    </w:pPr>
    <w:r w:rsidRPr="00EC07C7">
      <w:fldChar w:fldCharType="begin"/>
    </w:r>
    <w:r w:rsidRPr="00446D84">
      <w:rPr>
        <w:lang w:val="en-GB"/>
      </w:rPr>
      <w:instrText xml:space="preserve"> PAGE   \* MERGEFORMAT </w:instrText>
    </w:r>
    <w:r w:rsidRPr="00EC07C7">
      <w:fldChar w:fldCharType="separate"/>
    </w:r>
    <w:r w:rsidRPr="00446D84">
      <w:rPr>
        <w:noProof/>
        <w:lang w:val="en-GB"/>
      </w:rPr>
      <w:t>2</w:t>
    </w:r>
    <w:r w:rsidRPr="00EC07C7">
      <w:fldChar w:fldCharType="end"/>
    </w:r>
    <w:r w:rsidRPr="00446D84">
      <w:rPr>
        <w:lang w:val="en-GB"/>
      </w:rPr>
      <w:t xml:space="preserve"> Twenty Second European Conference on Information Systems, Tel Aviv 2014  </w:t>
    </w:r>
  </w:p>
  <w:p w14:paraId="0D14C9A7" w14:textId="77777777" w:rsidR="00000000" w:rsidRPr="00446D84" w:rsidRDefault="00000000" w:rsidP="00523D09">
    <w:pPr>
      <w:pStyle w:val="Footer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45765" w14:textId="77777777" w:rsidR="00000000" w:rsidRDefault="00000000" w:rsidP="00523D09">
    <w:pPr>
      <w:pStyle w:val="Footer"/>
    </w:pPr>
  </w:p>
  <w:p w14:paraId="3B697DC1" w14:textId="77777777" w:rsidR="00000000" w:rsidRDefault="00000000" w:rsidP="00523D09">
    <w:pPr>
      <w:pStyle w:val="Footer"/>
    </w:pPr>
  </w:p>
  <w:p w14:paraId="590A3A91" w14:textId="77777777" w:rsidR="00000000" w:rsidRPr="00B32E47" w:rsidRDefault="00000000" w:rsidP="00B32E47">
    <w:pPr>
      <w:pStyle w:val="Footer"/>
      <w:tabs>
        <w:tab w:val="clear" w:pos="8306"/>
        <w:tab w:val="right" w:pos="9072"/>
      </w:tabs>
      <w:jc w:val="center"/>
      <w:rPr>
        <w:i/>
        <w:sz w:val="20"/>
      </w:rPr>
    </w:pPr>
    <w:r w:rsidRPr="00B32E47">
      <w:rPr>
        <w:sz w:val="20"/>
      </w:rPr>
      <w:fldChar w:fldCharType="begin"/>
    </w:r>
    <w:r w:rsidRPr="00B32E47">
      <w:rPr>
        <w:sz w:val="20"/>
      </w:rPr>
      <w:instrText xml:space="preserve"> PAGE   \* MERGEFORMAT </w:instrText>
    </w:r>
    <w:r w:rsidRPr="00B32E47">
      <w:rPr>
        <w:sz w:val="20"/>
      </w:rPr>
      <w:fldChar w:fldCharType="separate"/>
    </w:r>
    <w:r>
      <w:rPr>
        <w:noProof/>
        <w:sz w:val="20"/>
      </w:rPr>
      <w:t>22</w:t>
    </w:r>
    <w:r w:rsidRPr="00B32E47">
      <w:rPr>
        <w:sz w:val="20"/>
      </w:rPr>
      <w:fldChar w:fldCharType="end"/>
    </w:r>
  </w:p>
  <w:p w14:paraId="7875A444" w14:textId="77777777" w:rsidR="00000000" w:rsidRPr="00EC07C7" w:rsidRDefault="00000000" w:rsidP="00523D09">
    <w:pPr>
      <w:pStyle w:val="Footer"/>
    </w:pPr>
  </w:p>
  <w:p w14:paraId="542BAB81" w14:textId="77777777" w:rsidR="00000000" w:rsidRDefault="00000000" w:rsidP="00523D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3603" w14:textId="77777777" w:rsidR="00000000" w:rsidRDefault="00000000" w:rsidP="00523D09">
    <w:pPr>
      <w:pStyle w:val="Footer"/>
    </w:pPr>
    <w:r>
      <w:t xml:space="preserve"> </w:t>
    </w:r>
  </w:p>
  <w:p w14:paraId="4CC10681" w14:textId="77777777" w:rsidR="00000000" w:rsidRDefault="00000000" w:rsidP="00523D09">
    <w:pPr>
      <w:pStyle w:val="Footer"/>
    </w:pPr>
  </w:p>
  <w:p w14:paraId="24234E9E" w14:textId="77777777" w:rsidR="00000000" w:rsidRDefault="00000000" w:rsidP="00523D0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C272" w14:textId="77777777" w:rsidR="00000000" w:rsidRPr="00EC07C7" w:rsidRDefault="00000000" w:rsidP="00523D09">
    <w:pPr>
      <w:pStyle w:val="Header"/>
    </w:pPr>
    <w:r w:rsidRPr="00EC07C7">
      <w:t>Track Title</w:t>
    </w:r>
  </w:p>
  <w:p w14:paraId="52B38F9E" w14:textId="77777777" w:rsidR="00000000" w:rsidRDefault="00000000" w:rsidP="00523D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D5CD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3619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E770D"/>
    <w:multiLevelType w:val="hybridMultilevel"/>
    <w:tmpl w:val="ABBCE1C0"/>
    <w:lvl w:ilvl="0" w:tplc="281AC7C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28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8"/>
    <w:rsid w:val="00057302"/>
    <w:rsid w:val="003C2EF4"/>
    <w:rsid w:val="00760698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C867"/>
  <w15:chartTrackingRefBased/>
  <w15:docId w15:val="{8C263692-1D76-43EC-9C6E-FE8539D1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698"/>
    <w:pPr>
      <w:spacing w:before="120" w:after="0" w:line="240" w:lineRule="auto"/>
      <w:jc w:val="both"/>
    </w:pPr>
    <w:rPr>
      <w:rFonts w:ascii="Times New Roman" w:eastAsia="Times New Roman" w:hAnsi="Times New Roman" w:cs="Arial"/>
      <w:color w:val="000000"/>
      <w:kern w:val="0"/>
      <w:sz w:val="24"/>
      <w:szCs w:val="15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0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60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606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606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606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606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698"/>
    <w:rPr>
      <w:b/>
      <w:bCs/>
      <w:smallCaps/>
      <w:color w:val="0F4761" w:themeColor="accent1" w:themeShade="BF"/>
      <w:spacing w:val="5"/>
    </w:rPr>
  </w:style>
  <w:style w:type="paragraph" w:customStyle="1" w:styleId="Basictext">
    <w:name w:val="Basic text"/>
    <w:link w:val="BasictextZchn"/>
    <w:rsid w:val="00760698"/>
    <w:pPr>
      <w:spacing w:after="60" w:line="240" w:lineRule="auto"/>
      <w:jc w:val="both"/>
    </w:pPr>
    <w:rPr>
      <w:rFonts w:ascii="Times New Roman" w:eastAsia="Times New Roman" w:hAnsi="Times New Roman" w:cs="Times New Roman"/>
      <w:color w:val="000000"/>
      <w:kern w:val="0"/>
      <w:szCs w:val="15"/>
      <w:lang w:val="en-GB"/>
      <w14:ligatures w14:val="none"/>
    </w:rPr>
  </w:style>
  <w:style w:type="character" w:customStyle="1" w:styleId="BasictextZchn">
    <w:name w:val="Basic text Zchn"/>
    <w:link w:val="Basictext"/>
    <w:rsid w:val="00760698"/>
    <w:rPr>
      <w:rFonts w:ascii="Times New Roman" w:eastAsia="Times New Roman" w:hAnsi="Times New Roman" w:cs="Times New Roman"/>
      <w:color w:val="000000"/>
      <w:kern w:val="0"/>
      <w:szCs w:val="15"/>
      <w:lang w:val="en-GB"/>
      <w14:ligatures w14:val="none"/>
    </w:rPr>
  </w:style>
  <w:style w:type="paragraph" w:styleId="Header">
    <w:name w:val="header"/>
    <w:basedOn w:val="Normal"/>
    <w:link w:val="HeaderChar"/>
    <w:rsid w:val="007606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60698"/>
    <w:rPr>
      <w:rFonts w:ascii="Times New Roman" w:eastAsia="Times New Roman" w:hAnsi="Times New Roman" w:cs="Arial"/>
      <w:color w:val="000000"/>
      <w:kern w:val="0"/>
      <w:sz w:val="24"/>
      <w:szCs w:val="15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760698"/>
    <w:pPr>
      <w:tabs>
        <w:tab w:val="center" w:pos="4153"/>
        <w:tab w:val="right" w:pos="8306"/>
      </w:tabs>
    </w:pPr>
    <w:rPr>
      <w:rFonts w:cs="Times New Roman"/>
      <w:color w:val="auto"/>
      <w:sz w:val="26"/>
      <w:szCs w:val="20"/>
      <w:lang w:val="fi-FI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60698"/>
    <w:rPr>
      <w:rFonts w:ascii="Times New Roman" w:eastAsia="Times New Roman" w:hAnsi="Times New Roman" w:cs="Times New Roman"/>
      <w:kern w:val="0"/>
      <w:sz w:val="26"/>
      <w:szCs w:val="20"/>
      <w:lang w:val="fi-FI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>Springer Nature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2025-01-15T06:35:00Z</dcterms:created>
  <dcterms:modified xsi:type="dcterms:W3CDTF">2025-01-15T06:35:00Z</dcterms:modified>
</cp:coreProperties>
</file>