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CCE" w:rsidRDefault="00EC76AA">
      <w:pPr>
        <w:jc w:val="center"/>
        <w:rPr>
          <w:rFonts w:ascii="Times New Roman" w:eastAsia="宋体" w:hAnsi="Times New Roman" w:cs="Times New Roman"/>
          <w:b/>
          <w:bCs/>
          <w:snapToGrid w:val="0"/>
          <w:color w:val="000000"/>
          <w:kern w:val="0"/>
          <w:sz w:val="28"/>
          <w:szCs w:val="28"/>
          <w:lang w:eastAsia="en-US"/>
        </w:rPr>
      </w:pPr>
      <w:r>
        <w:rPr>
          <w:rFonts w:ascii="Times New Roman" w:eastAsia="宋体" w:hAnsi="Times New Roman" w:cs="Times New Roman" w:hint="eastAsia"/>
          <w:b/>
          <w:bCs/>
          <w:snapToGrid w:val="0"/>
          <w:color w:val="000000"/>
          <w:kern w:val="0"/>
          <w:sz w:val="28"/>
          <w:szCs w:val="28"/>
        </w:rPr>
        <w:t xml:space="preserve">Construction of The Heterojunction with Basic Bismuth Nitrates and CuCr-Cl-LDH for Enhanced Photocatalytic Degradation of </w:t>
      </w:r>
      <w:r>
        <w:rPr>
          <w:rFonts w:ascii="Times New Roman" w:eastAsia="宋体" w:hAnsi="Times New Roman" w:cs="Times New Roman"/>
          <w:b/>
          <w:bCs/>
          <w:snapToGrid w:val="0"/>
          <w:color w:val="000000"/>
          <w:kern w:val="0"/>
          <w:sz w:val="28"/>
          <w:szCs w:val="28"/>
          <w:lang w:eastAsia="en-US"/>
        </w:rPr>
        <w:t>Tetracycline Under Visible-light</w:t>
      </w:r>
    </w:p>
    <w:p w:rsidR="00975CCE" w:rsidRDefault="00975CCE">
      <w:pPr>
        <w:jc w:val="center"/>
        <w:rPr>
          <w:rFonts w:ascii="Times New Roman" w:eastAsia="宋体" w:hAnsi="Times New Roman" w:cs="Times New Roman"/>
          <w:b/>
          <w:bCs/>
          <w:snapToGrid w:val="0"/>
          <w:color w:val="000000"/>
          <w:kern w:val="0"/>
          <w:sz w:val="28"/>
          <w:szCs w:val="28"/>
          <w:lang w:eastAsia="en-US"/>
        </w:rPr>
      </w:pPr>
    </w:p>
    <w:p w:rsidR="00975CCE" w:rsidRDefault="00EC76AA">
      <w:pPr>
        <w:jc w:val="center"/>
        <w:rPr>
          <w:rFonts w:ascii="Times New Roman" w:eastAsia="宋体" w:hAnsi="Times New Roman" w:cs="Times New Roman"/>
          <w:snapToGrid w:val="0"/>
          <w:color w:val="000000"/>
          <w:kern w:val="0"/>
          <w:sz w:val="28"/>
          <w:szCs w:val="28"/>
          <w:lang w:eastAsia="en-US"/>
        </w:rPr>
      </w:pPr>
      <w:r>
        <w:rPr>
          <w:rFonts w:ascii="Times New Roman" w:eastAsia="宋体" w:hAnsi="Times New Roman" w:cs="Times New Roman" w:hint="eastAsia"/>
          <w:snapToGrid w:val="0"/>
          <w:color w:val="000000"/>
          <w:kern w:val="0"/>
          <w:sz w:val="24"/>
          <w:lang w:eastAsia="en-US"/>
        </w:rPr>
        <w:t>Brazilian Journal of Chemical Engineering</w:t>
      </w:r>
    </w:p>
    <w:p w:rsidR="00975CCE" w:rsidRDefault="00975CCE">
      <w:pPr>
        <w:jc w:val="center"/>
        <w:rPr>
          <w:rFonts w:ascii="Times New Roman" w:eastAsia="宋体" w:hAnsi="Times New Roman" w:cs="Times New Roman"/>
          <w:b/>
          <w:bCs/>
          <w:snapToGrid w:val="0"/>
          <w:color w:val="000000"/>
          <w:kern w:val="0"/>
          <w:sz w:val="28"/>
          <w:szCs w:val="28"/>
          <w:lang w:eastAsia="en-US"/>
        </w:rPr>
      </w:pPr>
    </w:p>
    <w:p w:rsidR="00975CCE" w:rsidRDefault="00EC76AA">
      <w:pPr>
        <w:spacing w:line="360" w:lineRule="auto"/>
        <w:ind w:firstLineChars="200" w:firstLine="482"/>
        <w:jc w:val="center"/>
        <w:rPr>
          <w:rFonts w:ascii="Times New Roman" w:eastAsia="宋体" w:hAnsi="Times New Roman" w:cs="宋体"/>
          <w:sz w:val="24"/>
        </w:rPr>
      </w:pPr>
      <w:r>
        <w:rPr>
          <w:rFonts w:ascii="Times New Roman" w:eastAsia="宋体" w:hAnsi="Times New Roman" w:cs="宋体"/>
          <w:b/>
          <w:bCs/>
          <w:sz w:val="24"/>
        </w:rPr>
        <w:t>Yin</w:t>
      </w:r>
      <w:r>
        <w:rPr>
          <w:rFonts w:ascii="Times New Roman" w:eastAsia="宋体" w:hAnsi="Times New Roman" w:cs="宋体" w:hint="eastAsia"/>
          <w:b/>
          <w:bCs/>
          <w:sz w:val="24"/>
        </w:rPr>
        <w:t>-Y</w:t>
      </w:r>
      <w:r>
        <w:rPr>
          <w:rFonts w:ascii="Times New Roman" w:eastAsia="宋体" w:hAnsi="Times New Roman" w:cs="宋体"/>
          <w:b/>
          <w:bCs/>
          <w:sz w:val="24"/>
        </w:rPr>
        <w:t>an</w:t>
      </w:r>
      <w:r>
        <w:rPr>
          <w:rFonts w:ascii="Times New Roman" w:eastAsia="宋体" w:hAnsi="Times New Roman" w:cs="宋体" w:hint="eastAsia"/>
          <w:b/>
          <w:bCs/>
          <w:sz w:val="24"/>
        </w:rPr>
        <w:t xml:space="preserve"> Dou</w:t>
      </w:r>
      <w:r>
        <w:rPr>
          <w:rFonts w:ascii="Times New Roman" w:hAnsi="Times New Roman" w:cs="Times New Roman"/>
          <w:b/>
          <w:bCs/>
          <w:sz w:val="24"/>
          <w:vertAlign w:val="superscript"/>
        </w:rPr>
        <w:t>1</w:t>
      </w:r>
      <w:r>
        <w:rPr>
          <w:rFonts w:ascii="Times New Roman" w:eastAsia="宋体" w:hAnsi="Times New Roman" w:cs="宋体"/>
          <w:b/>
          <w:bCs/>
          <w:sz w:val="24"/>
        </w:rPr>
        <w:t>, Yan</w:t>
      </w:r>
      <w:r>
        <w:rPr>
          <w:rFonts w:ascii="Times New Roman" w:eastAsia="宋体" w:hAnsi="Times New Roman" w:cs="宋体" w:hint="eastAsia"/>
          <w:b/>
          <w:bCs/>
          <w:sz w:val="24"/>
        </w:rPr>
        <w:t>-M</w:t>
      </w:r>
      <w:r>
        <w:rPr>
          <w:rFonts w:ascii="Times New Roman" w:eastAsia="宋体" w:hAnsi="Times New Roman" w:cs="宋体"/>
          <w:b/>
          <w:bCs/>
          <w:sz w:val="24"/>
        </w:rPr>
        <w:t>ing</w:t>
      </w:r>
      <w:r>
        <w:rPr>
          <w:rFonts w:ascii="Times New Roman" w:eastAsia="宋体" w:hAnsi="Times New Roman" w:cs="宋体" w:hint="eastAsia"/>
          <w:b/>
          <w:bCs/>
          <w:sz w:val="24"/>
        </w:rPr>
        <w:t xml:space="preserve"> Shen</w:t>
      </w:r>
      <w:r>
        <w:rPr>
          <w:rFonts w:ascii="Times New Roman" w:hAnsi="Times New Roman" w:cs="Times New Roman"/>
          <w:b/>
          <w:bCs/>
          <w:sz w:val="24"/>
          <w:vertAlign w:val="superscript"/>
        </w:rPr>
        <w:t>*1</w:t>
      </w:r>
      <w:r>
        <w:rPr>
          <w:rFonts w:ascii="Times New Roman" w:eastAsia="宋体" w:hAnsi="Times New Roman" w:cs="宋体" w:hint="eastAsia"/>
          <w:b/>
          <w:bCs/>
          <w:sz w:val="24"/>
        </w:rPr>
        <w:t>, Jun-Hua Wen</w:t>
      </w:r>
      <w:r>
        <w:rPr>
          <w:rFonts w:ascii="Times New Roman" w:hAnsi="Times New Roman" w:cs="Times New Roman"/>
          <w:b/>
          <w:bCs/>
          <w:sz w:val="24"/>
          <w:vertAlign w:val="superscript"/>
        </w:rPr>
        <w:t>1</w:t>
      </w:r>
      <w:r>
        <w:rPr>
          <w:rFonts w:ascii="Times New Roman" w:eastAsia="宋体" w:hAnsi="Times New Roman" w:cs="宋体" w:hint="eastAsia"/>
          <w:b/>
          <w:bCs/>
          <w:sz w:val="24"/>
        </w:rPr>
        <w:t>, Lei Yang</w:t>
      </w:r>
      <w:r>
        <w:rPr>
          <w:rFonts w:ascii="Times New Roman" w:hAnsi="Times New Roman" w:cs="Times New Roman"/>
          <w:b/>
          <w:bCs/>
          <w:sz w:val="24"/>
          <w:vertAlign w:val="superscript"/>
        </w:rPr>
        <w:t>1</w:t>
      </w:r>
    </w:p>
    <w:p w:rsidR="00975CCE" w:rsidRDefault="00975CCE">
      <w:pPr>
        <w:spacing w:line="360" w:lineRule="auto"/>
        <w:ind w:firstLineChars="200" w:firstLine="480"/>
        <w:jc w:val="center"/>
        <w:rPr>
          <w:rFonts w:ascii="Times New Roman" w:eastAsia="宋体" w:hAnsi="Times New Roman" w:cs="宋体"/>
          <w:sz w:val="24"/>
        </w:rPr>
      </w:pPr>
    </w:p>
    <w:p w:rsidR="00975CCE" w:rsidRDefault="00EC76AA">
      <w:pPr>
        <w:spacing w:line="360" w:lineRule="auto"/>
        <w:ind w:firstLineChars="200" w:firstLine="480"/>
        <w:jc w:val="center"/>
        <w:rPr>
          <w:rFonts w:ascii="Times New Roman" w:eastAsia="宋体" w:hAnsi="Times New Roman" w:cs="宋体"/>
          <w:sz w:val="24"/>
        </w:rPr>
      </w:pPr>
      <w:r>
        <w:rPr>
          <w:rFonts w:ascii="Times New Roman" w:hAnsi="Times New Roman" w:cs="Times New Roman"/>
          <w:iCs/>
          <w:sz w:val="24"/>
          <w:vertAlign w:val="superscript"/>
        </w:rPr>
        <w:t>1</w:t>
      </w:r>
      <w:r>
        <w:rPr>
          <w:rFonts w:ascii="Times New Roman" w:eastAsia="宋体" w:hAnsi="Times New Roman" w:cs="Times New Roman"/>
          <w:i/>
          <w:iCs/>
          <w:sz w:val="24"/>
        </w:rPr>
        <w:t>Department of Chemical Engineering, Shenyang University of Chemical Technology, Shenyang, China</w:t>
      </w:r>
    </w:p>
    <w:p w:rsidR="00975CCE" w:rsidRDefault="00975CCE">
      <w:pPr>
        <w:spacing w:line="360" w:lineRule="auto"/>
        <w:rPr>
          <w:rFonts w:ascii="Times New Roman" w:eastAsia="宋体" w:hAnsi="Times New Roman" w:cs="宋体"/>
          <w:sz w:val="24"/>
        </w:rPr>
      </w:pPr>
    </w:p>
    <w:p w:rsidR="00975CCE" w:rsidRDefault="00EC76AA">
      <w:pPr>
        <w:rPr>
          <w:rStyle w:val="aa"/>
          <w:rFonts w:ascii="Times New Roman" w:hAnsi="Times New Roman" w:cs="Times New Roman"/>
          <w:sz w:val="24"/>
        </w:rPr>
      </w:pPr>
      <w:r>
        <w:rPr>
          <w:rFonts w:ascii="Times New Roman" w:hAnsi="Times New Roman" w:cs="Times New Roman"/>
          <w:b/>
          <w:bCs/>
          <w:caps/>
          <w:sz w:val="24"/>
          <w:vertAlign w:val="superscript"/>
        </w:rPr>
        <w:t>*</w:t>
      </w:r>
      <w:r>
        <w:rPr>
          <w:rFonts w:ascii="Times New Roman" w:hAnsi="Times New Roman" w:cs="Times New Roman"/>
          <w:sz w:val="24"/>
        </w:rPr>
        <w:t xml:space="preserve">Corresponding author, e-mail: </w:t>
      </w:r>
      <w:hyperlink r:id="rId7" w:history="1">
        <w:r>
          <w:rPr>
            <w:rStyle w:val="aa"/>
            <w:rFonts w:ascii="Times New Roman" w:hAnsi="Times New Roman" w:cs="Times New Roman"/>
            <w:sz w:val="24"/>
          </w:rPr>
          <w:t>sym6821@sina.com.cn</w:t>
        </w:r>
      </w:hyperlink>
    </w:p>
    <w:p w:rsidR="00975CCE" w:rsidRDefault="00975CCE">
      <w:pPr>
        <w:spacing w:line="360" w:lineRule="auto"/>
        <w:rPr>
          <w:rFonts w:ascii="Times New Roman" w:hAnsi="Times New Roman" w:cs="Times New Roman"/>
          <w:sz w:val="24"/>
        </w:rPr>
      </w:pPr>
    </w:p>
    <w:p w:rsidR="00975CCE" w:rsidRDefault="00EC76AA">
      <w:pPr>
        <w:widowControl/>
        <w:jc w:val="left"/>
        <w:rPr>
          <w:rFonts w:ascii="Times New Roman" w:hAnsi="Times New Roman" w:cs="Times New Roman"/>
          <w:b/>
          <w:bCs/>
          <w:sz w:val="20"/>
          <w:szCs w:val="20"/>
        </w:rPr>
      </w:pPr>
      <w:r>
        <w:rPr>
          <w:rFonts w:ascii="Times New Roman" w:hAnsi="Times New Roman" w:cs="Times New Roman"/>
          <w:b/>
          <w:bCs/>
          <w:sz w:val="20"/>
          <w:szCs w:val="20"/>
        </w:rPr>
        <w:br w:type="page"/>
      </w:r>
    </w:p>
    <w:p w:rsidR="00975CCE" w:rsidRDefault="00EC76AA">
      <w:pPr>
        <w:spacing w:line="360" w:lineRule="auto"/>
        <w:rPr>
          <w:rFonts w:ascii="Times New Roman" w:hAnsi="Times New Roman" w:cs="Times New Roman"/>
          <w:sz w:val="20"/>
          <w:szCs w:val="20"/>
        </w:rPr>
      </w:pPr>
      <w:r>
        <w:rPr>
          <w:rFonts w:ascii="Times New Roman" w:hAnsi="Times New Roman" w:cs="Times New Roman"/>
          <w:b/>
          <w:bCs/>
          <w:sz w:val="20"/>
          <w:szCs w:val="20"/>
        </w:rPr>
        <w:lastRenderedPageBreak/>
        <w:t>Text S1</w:t>
      </w:r>
      <w:r>
        <w:rPr>
          <w:rFonts w:ascii="Times New Roman" w:hAnsi="Times New Roman" w:cs="Times New Roman"/>
          <w:sz w:val="20"/>
          <w:szCs w:val="20"/>
        </w:rPr>
        <w:t xml:space="preserve"> </w:t>
      </w:r>
    </w:p>
    <w:p w:rsidR="00975CCE" w:rsidRDefault="00EC76AA">
      <w:pPr>
        <w:spacing w:line="360" w:lineRule="auto"/>
        <w:rPr>
          <w:rFonts w:ascii="Times New Roman" w:eastAsia="宋体" w:hAnsi="Times New Roman" w:cs="Times New Roman"/>
          <w:sz w:val="20"/>
          <w:szCs w:val="20"/>
        </w:rPr>
      </w:pPr>
      <w:r>
        <w:rPr>
          <w:rFonts w:ascii="Times New Roman" w:hAnsi="Times New Roman" w:cs="Times New Roman"/>
          <w:b/>
          <w:sz w:val="20"/>
          <w:szCs w:val="20"/>
        </w:rPr>
        <w:t>Stab</w:t>
      </w:r>
      <w:r>
        <w:rPr>
          <w:rFonts w:ascii="Times New Roman" w:hAnsi="Times New Roman" w:cs="Times New Roman" w:hint="eastAsia"/>
          <w:b/>
          <w:sz w:val="20"/>
          <w:szCs w:val="20"/>
        </w:rPr>
        <w:t>i</w:t>
      </w:r>
      <w:r>
        <w:rPr>
          <w:rFonts w:ascii="Times New Roman" w:hAnsi="Times New Roman" w:cs="Times New Roman"/>
          <w:b/>
          <w:sz w:val="20"/>
          <w:szCs w:val="20"/>
        </w:rPr>
        <w:t>lity test for the photocatalyst</w:t>
      </w:r>
    </w:p>
    <w:p w:rsidR="00975CCE" w:rsidRDefault="00EC76AA">
      <w:pPr>
        <w:spacing w:line="360" w:lineRule="auto"/>
        <w:ind w:firstLineChars="200" w:firstLine="400"/>
        <w:rPr>
          <w:rFonts w:ascii="Times New Roman" w:eastAsia="黑体" w:hAnsi="Times New Roman" w:cs="Times New Roman"/>
          <w:sz w:val="20"/>
          <w:szCs w:val="20"/>
        </w:rPr>
      </w:pPr>
      <w:r>
        <w:rPr>
          <w:rFonts w:ascii="Times New Roman" w:hAnsi="Times New Roman" w:cs="Times New Roman"/>
          <w:sz w:val="20"/>
          <w:szCs w:val="20"/>
        </w:rPr>
        <w:t>T</w:t>
      </w:r>
      <w:r>
        <w:rPr>
          <w:rFonts w:ascii="Times New Roman" w:eastAsia="黑体" w:hAnsi="Times New Roman" w:cs="Times New Roman"/>
          <w:sz w:val="20"/>
          <w:szCs w:val="20"/>
        </w:rPr>
        <w:t xml:space="preserve">he </w:t>
      </w:r>
      <w:r>
        <w:rPr>
          <w:rFonts w:ascii="Times New Roman" w:eastAsia="黑体" w:hAnsi="Times New Roman" w:cs="Times New Roman" w:hint="eastAsia"/>
          <w:sz w:val="20"/>
          <w:szCs w:val="20"/>
        </w:rPr>
        <w:t>BBN/LDH-</w:t>
      </w:r>
      <w:r>
        <w:rPr>
          <w:rFonts w:ascii="Times New Roman" w:eastAsia="黑体" w:hAnsi="Times New Roman" w:cs="Times New Roman"/>
          <w:sz w:val="20"/>
          <w:szCs w:val="20"/>
        </w:rPr>
        <w:t xml:space="preserve">2 </w:t>
      </w:r>
      <w:r>
        <w:rPr>
          <w:rFonts w:ascii="Times New Roman" w:eastAsia="黑体" w:hAnsi="Times New Roman" w:cs="Times New Roman" w:hint="eastAsia"/>
          <w:sz w:val="20"/>
          <w:szCs w:val="20"/>
        </w:rPr>
        <w:t>phot</w:t>
      </w:r>
      <w:r>
        <w:rPr>
          <w:rFonts w:ascii="Times New Roman" w:eastAsia="黑体" w:hAnsi="Times New Roman" w:cs="Times New Roman"/>
          <w:sz w:val="20"/>
          <w:szCs w:val="20"/>
        </w:rPr>
        <w:t>ocatalyst was selected to test the stability of photocatalyst. After photocatalytic degradation of TC, the used photocatalyst particles were collected by filtration and separation, and washed with distillated water and ethanol for three times, then dri</w:t>
      </w:r>
      <w:r>
        <w:rPr>
          <w:rFonts w:ascii="Times New Roman" w:eastAsia="黑体" w:hAnsi="Times New Roman" w:cs="Times New Roman"/>
          <w:sz w:val="20"/>
          <w:szCs w:val="20"/>
        </w:rPr>
        <w:t xml:space="preserve">ed at 60 </w:t>
      </w:r>
      <w:r>
        <w:rPr>
          <w:rFonts w:ascii="Times New Roman" w:eastAsia="黑体" w:hAnsi="Times New Roman" w:cs="Times New Roman"/>
          <w:sz w:val="20"/>
          <w:szCs w:val="20"/>
          <w:vertAlign w:val="superscript"/>
        </w:rPr>
        <w:t>o</w:t>
      </w:r>
      <w:r>
        <w:rPr>
          <w:rFonts w:ascii="Times New Roman" w:eastAsia="黑体" w:hAnsi="Times New Roman" w:cs="Times New Roman"/>
          <w:sz w:val="20"/>
          <w:szCs w:val="20"/>
        </w:rPr>
        <w:t xml:space="preserve">C at vacuum for 12 h. The obtained photocatalyst particles were used for the next photcatalytic degradation test. The photocatalytic degradation condition was set as catalyst dosage of </w:t>
      </w:r>
      <w:r>
        <w:rPr>
          <w:rFonts w:ascii="Times New Roman" w:eastAsia="黑体" w:hAnsi="Times New Roman" w:cs="Times New Roman" w:hint="eastAsia"/>
          <w:sz w:val="20"/>
          <w:szCs w:val="20"/>
        </w:rPr>
        <w:t>0.5 g/L</w:t>
      </w:r>
      <w:r>
        <w:rPr>
          <w:rFonts w:ascii="Times New Roman" w:eastAsia="黑体" w:hAnsi="Times New Roman" w:cs="Times New Roman"/>
          <w:sz w:val="20"/>
          <w:szCs w:val="20"/>
        </w:rPr>
        <w:t xml:space="preserve">, TC concention of </w:t>
      </w:r>
      <w:r>
        <w:rPr>
          <w:rFonts w:ascii="Times New Roman" w:eastAsia="黑体" w:hAnsi="Times New Roman" w:cs="Times New Roman" w:hint="eastAsia"/>
          <w:sz w:val="20"/>
          <w:szCs w:val="20"/>
        </w:rPr>
        <w:t>20 mg/L</w:t>
      </w:r>
      <w:r>
        <w:rPr>
          <w:rFonts w:ascii="Times New Roman" w:eastAsia="黑体" w:hAnsi="Times New Roman" w:cs="Times New Roman"/>
          <w:sz w:val="20"/>
          <w:szCs w:val="20"/>
        </w:rPr>
        <w:t>.</w:t>
      </w:r>
    </w:p>
    <w:p w:rsidR="00975CCE" w:rsidRDefault="00975CCE">
      <w:pPr>
        <w:widowControl/>
        <w:jc w:val="left"/>
        <w:rPr>
          <w:rFonts w:ascii="Times New Roman" w:eastAsia="黑体" w:hAnsi="Times New Roman" w:cs="Times New Roman"/>
          <w:sz w:val="24"/>
        </w:rPr>
      </w:pPr>
    </w:p>
    <w:p w:rsidR="00975CCE" w:rsidRDefault="00EC76AA">
      <w:pPr>
        <w:spacing w:line="360" w:lineRule="auto"/>
        <w:rPr>
          <w:rFonts w:ascii="Times New Roman" w:eastAsia="黑体" w:hAnsi="Times New Roman" w:cs="Times New Roman"/>
          <w:b/>
          <w:sz w:val="24"/>
        </w:rPr>
      </w:pPr>
      <w:r>
        <w:rPr>
          <w:rFonts w:ascii="Times New Roman" w:eastAsia="黑体" w:hAnsi="Times New Roman" w:cs="Times New Roman" w:hint="eastAsia"/>
          <w:b/>
          <w:sz w:val="24"/>
        </w:rPr>
        <w:t>F</w:t>
      </w:r>
      <w:r>
        <w:rPr>
          <w:rFonts w:ascii="Times New Roman" w:eastAsia="黑体" w:hAnsi="Times New Roman" w:cs="Times New Roman"/>
          <w:b/>
          <w:sz w:val="24"/>
        </w:rPr>
        <w:t>igures:</w:t>
      </w:r>
    </w:p>
    <w:p w:rsidR="00975CCE" w:rsidRDefault="00EC76AA">
      <w:pPr>
        <w:jc w:val="center"/>
        <w:rPr>
          <w:rStyle w:val="ab"/>
          <w:rFonts w:ascii="Times New Roman" w:hAnsi="Times New Roman" w:cs="Times New Roman"/>
          <w:sz w:val="20"/>
          <w:szCs w:val="20"/>
        </w:rPr>
      </w:pPr>
      <w:r>
        <w:rPr>
          <w:rStyle w:val="ab"/>
          <w:rFonts w:ascii="Times New Roman" w:hAnsi="Times New Roman" w:cs="Times New Roman"/>
          <w:noProof/>
          <w:sz w:val="20"/>
          <w:szCs w:val="20"/>
        </w:rPr>
        <w:lastRenderedPageBreak/>
        <w:drawing>
          <wp:inline distT="0" distB="0" distL="114300" distR="114300">
            <wp:extent cx="4236085" cy="3826510"/>
            <wp:effectExtent l="0" t="0" r="5715" b="8890"/>
            <wp:docPr id="9" name="图片 9" descr="e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ds"/>
                    <pic:cNvPicPr>
                      <a:picLocks noChangeAspect="1"/>
                    </pic:cNvPicPr>
                  </pic:nvPicPr>
                  <pic:blipFill>
                    <a:blip r:embed="rId8"/>
                    <a:stretch>
                      <a:fillRect/>
                    </a:stretch>
                  </pic:blipFill>
                  <pic:spPr>
                    <a:xfrm>
                      <a:off x="0" y="0"/>
                      <a:ext cx="4236085" cy="3826510"/>
                    </a:xfrm>
                    <a:prstGeom prst="rect">
                      <a:avLst/>
                    </a:prstGeom>
                  </pic:spPr>
                </pic:pic>
              </a:graphicData>
            </a:graphic>
          </wp:inline>
        </w:drawing>
      </w:r>
    </w:p>
    <w:p w:rsidR="00975CCE" w:rsidRDefault="00EC76AA">
      <w:pPr>
        <w:rPr>
          <w:rFonts w:ascii="Times New Roman" w:eastAsia="宋体" w:hAnsi="Times New Roman"/>
          <w:sz w:val="20"/>
          <w:szCs w:val="20"/>
        </w:rPr>
      </w:pPr>
      <w:r>
        <w:rPr>
          <w:rFonts w:ascii="Times New Roman" w:eastAsia="宋体" w:hAnsi="Times New Roman" w:hint="eastAsia"/>
          <w:b/>
          <w:bCs/>
          <w:sz w:val="20"/>
          <w:szCs w:val="20"/>
        </w:rPr>
        <w:t>Fig.S1</w:t>
      </w:r>
      <w:r>
        <w:rPr>
          <w:rFonts w:ascii="Times New Roman" w:eastAsia="宋体" w:hAnsi="Times New Roman" w:hint="eastAsia"/>
          <w:sz w:val="20"/>
          <w:szCs w:val="20"/>
        </w:rPr>
        <w:t xml:space="preserve"> EDS element maps and composition of sample BBN/LDH-2.</w:t>
      </w:r>
    </w:p>
    <w:p w:rsidR="00975CCE" w:rsidRDefault="00975CCE">
      <w:pPr>
        <w:jc w:val="center"/>
        <w:rPr>
          <w:rFonts w:ascii="Times New Roman" w:eastAsia="宋体" w:hAnsi="Times New Roman"/>
          <w:sz w:val="20"/>
          <w:szCs w:val="20"/>
        </w:rPr>
      </w:pPr>
    </w:p>
    <w:p w:rsidR="00975CCE" w:rsidRDefault="00EC76AA">
      <w:pPr>
        <w:jc w:val="center"/>
        <w:rPr>
          <w:rFonts w:ascii="Times New Roman" w:eastAsia="宋体" w:hAnsi="Times New Roman"/>
          <w:sz w:val="20"/>
          <w:szCs w:val="20"/>
        </w:rPr>
      </w:pPr>
      <w:r>
        <w:rPr>
          <w:rFonts w:ascii="Times New Roman" w:eastAsia="宋体" w:hAnsi="Times New Roman"/>
          <w:sz w:val="20"/>
          <w:szCs w:val="20"/>
        </w:rPr>
        <w:object w:dxaOrig="6780" w:dyaOrig="51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9pt;height:258.75pt" o:ole="">
            <v:imagedata r:id="rId9" o:title=""/>
            <o:lock v:ext="edit" aspectratio="f"/>
          </v:shape>
          <o:OLEObject Type="Embed" ProgID="Origin95.Graph" ShapeID="_x0000_i1025" DrawAspect="Content" ObjectID="_1803986133" r:id="rId10"/>
        </w:object>
      </w:r>
    </w:p>
    <w:p w:rsidR="00975CCE" w:rsidRDefault="00EC76AA">
      <w:pPr>
        <w:rPr>
          <w:rFonts w:ascii="Times New Roman" w:eastAsia="宋体" w:hAnsi="Times New Roman"/>
          <w:sz w:val="20"/>
          <w:szCs w:val="20"/>
        </w:rPr>
      </w:pPr>
      <w:r>
        <w:rPr>
          <w:rFonts w:ascii="Times New Roman" w:eastAsia="宋体" w:hAnsi="Times New Roman" w:hint="eastAsia"/>
          <w:b/>
          <w:bCs/>
          <w:sz w:val="20"/>
          <w:szCs w:val="20"/>
        </w:rPr>
        <w:t>Fig. S2</w:t>
      </w:r>
      <w:r>
        <w:rPr>
          <w:rFonts w:ascii="Times New Roman" w:eastAsia="宋体" w:hAnsi="Times New Roman" w:hint="eastAsia"/>
          <w:sz w:val="20"/>
          <w:szCs w:val="20"/>
        </w:rPr>
        <w:t xml:space="preserve"> </w:t>
      </w:r>
      <w:r>
        <w:rPr>
          <w:rFonts w:ascii="Times New Roman" w:eastAsia="宋体" w:hAnsi="Times New Roman"/>
          <w:sz w:val="20"/>
          <w:szCs w:val="20"/>
        </w:rPr>
        <w:t>N</w:t>
      </w:r>
      <w:r>
        <w:rPr>
          <w:rFonts w:ascii="Times New Roman" w:eastAsia="宋体" w:hAnsi="Times New Roman"/>
          <w:sz w:val="20"/>
          <w:szCs w:val="20"/>
          <w:vertAlign w:val="subscript"/>
        </w:rPr>
        <w:t>2</w:t>
      </w:r>
      <w:r>
        <w:rPr>
          <w:rFonts w:ascii="Times New Roman" w:eastAsia="宋体" w:hAnsi="Times New Roman"/>
          <w:sz w:val="20"/>
          <w:szCs w:val="20"/>
        </w:rPr>
        <w:t xml:space="preserve"> adsorption-desorption isotherm</w:t>
      </w:r>
      <w:r>
        <w:rPr>
          <w:rFonts w:ascii="Times New Roman" w:eastAsia="宋体" w:hAnsi="Times New Roman" w:hint="eastAsia"/>
          <w:sz w:val="20"/>
          <w:szCs w:val="20"/>
        </w:rPr>
        <w:t>s</w:t>
      </w:r>
      <w:r>
        <w:rPr>
          <w:rFonts w:ascii="Times New Roman" w:eastAsia="宋体" w:hAnsi="Times New Roman"/>
          <w:sz w:val="20"/>
          <w:szCs w:val="20"/>
        </w:rPr>
        <w:t xml:space="preserve"> and pore size distribution</w:t>
      </w:r>
      <w:r>
        <w:rPr>
          <w:rFonts w:ascii="Times New Roman" w:eastAsia="宋体" w:hAnsi="Times New Roman" w:hint="eastAsia"/>
          <w:sz w:val="20"/>
          <w:szCs w:val="20"/>
        </w:rPr>
        <w:t xml:space="preserve"> curves of samples.</w:t>
      </w:r>
    </w:p>
    <w:p w:rsidR="00975CCE" w:rsidRDefault="00975CCE">
      <w:pPr>
        <w:rPr>
          <w:rFonts w:ascii="Times New Roman" w:eastAsia="宋体" w:hAnsi="Times New Roman" w:cs="Times New Roman"/>
          <w:sz w:val="24"/>
        </w:rPr>
      </w:pPr>
    </w:p>
    <w:p w:rsidR="00975CCE" w:rsidRDefault="00EC76AA">
      <w:pPr>
        <w:jc w:val="center"/>
        <w:rPr>
          <w:rFonts w:ascii="Times New Roman" w:eastAsia="宋体" w:hAnsi="Times New Roman"/>
          <w:sz w:val="20"/>
          <w:szCs w:val="20"/>
        </w:rPr>
      </w:pPr>
      <w:r>
        <w:rPr>
          <w:rFonts w:ascii="Times New Roman" w:eastAsia="宋体" w:hAnsi="Times New Roman" w:hint="eastAsia"/>
          <w:sz w:val="20"/>
          <w:szCs w:val="20"/>
        </w:rPr>
        <w:object w:dxaOrig="6780" w:dyaOrig="5175">
          <v:shape id="_x0000_i1026" type="#_x0000_t75" style="width:339pt;height:258.75pt" o:ole="">
            <v:imagedata r:id="rId11" o:title=""/>
            <o:lock v:ext="edit" aspectratio="f"/>
          </v:shape>
          <o:OLEObject Type="Embed" ProgID="Origin95.Graph" ShapeID="_x0000_i1026" DrawAspect="Content" ObjectID="_1803986134" r:id="rId12"/>
        </w:object>
      </w:r>
    </w:p>
    <w:p w:rsidR="00975CCE" w:rsidRDefault="00EC76AA">
      <w:pPr>
        <w:rPr>
          <w:rFonts w:ascii="Times New Roman" w:eastAsia="宋体" w:hAnsi="Times New Roman"/>
          <w:sz w:val="20"/>
          <w:szCs w:val="20"/>
        </w:rPr>
      </w:pPr>
      <w:r>
        <w:rPr>
          <w:rFonts w:ascii="Times New Roman" w:eastAsia="宋体" w:hAnsi="Times New Roman" w:hint="eastAsia"/>
          <w:b/>
          <w:bCs/>
          <w:sz w:val="20"/>
          <w:szCs w:val="20"/>
        </w:rPr>
        <w:t>Fig. S3</w:t>
      </w:r>
      <w:r>
        <w:rPr>
          <w:rFonts w:ascii="Times New Roman" w:eastAsia="宋体" w:hAnsi="Times New Roman" w:hint="eastAsia"/>
          <w:sz w:val="20"/>
          <w:szCs w:val="20"/>
        </w:rPr>
        <w:t xml:space="preserve"> </w:t>
      </w:r>
      <w:r>
        <w:rPr>
          <w:rFonts w:ascii="Times New Roman" w:eastAsia="宋体" w:hAnsi="Times New Roman"/>
          <w:color w:val="000000"/>
          <w:sz w:val="20"/>
          <w:szCs w:val="20"/>
        </w:rPr>
        <w:t>R</w:t>
      </w:r>
      <w:r>
        <w:rPr>
          <w:rFonts w:ascii="Times New Roman" w:eastAsia="宋体" w:hAnsi="Times New Roman" w:hint="eastAsia"/>
          <w:color w:val="000000"/>
          <w:sz w:val="20"/>
          <w:szCs w:val="20"/>
        </w:rPr>
        <w:t xml:space="preserve">esults </w:t>
      </w:r>
      <w:r>
        <w:rPr>
          <w:rFonts w:ascii="Times New Roman" w:eastAsia="宋体" w:hAnsi="Times New Roman"/>
          <w:color w:val="000000"/>
          <w:sz w:val="20"/>
          <w:szCs w:val="20"/>
        </w:rPr>
        <w:t>of s</w:t>
      </w:r>
      <w:r>
        <w:rPr>
          <w:rFonts w:ascii="Times New Roman" w:eastAsia="宋体" w:hAnsi="Times New Roman" w:hint="eastAsia"/>
          <w:color w:val="000000"/>
          <w:sz w:val="20"/>
          <w:szCs w:val="20"/>
        </w:rPr>
        <w:t>tability experiment</w:t>
      </w:r>
    </w:p>
    <w:p w:rsidR="00975CCE" w:rsidRDefault="00975CCE">
      <w:pPr>
        <w:jc w:val="center"/>
        <w:rPr>
          <w:rFonts w:ascii="Times New Roman" w:eastAsia="宋体" w:hAnsi="Times New Roman"/>
          <w:sz w:val="20"/>
          <w:szCs w:val="20"/>
        </w:rPr>
      </w:pPr>
    </w:p>
    <w:p w:rsidR="00975CCE" w:rsidRDefault="00EC76AA">
      <w:pPr>
        <w:jc w:val="center"/>
        <w:rPr>
          <w:rFonts w:ascii="Times New Roman" w:eastAsia="宋体" w:hAnsi="Times New Roman"/>
          <w:sz w:val="20"/>
          <w:szCs w:val="20"/>
        </w:rPr>
      </w:pPr>
      <w:r>
        <w:rPr>
          <w:rFonts w:ascii="Times New Roman" w:eastAsia="宋体" w:hAnsi="Times New Roman" w:hint="eastAsia"/>
          <w:noProof/>
          <w:sz w:val="20"/>
          <w:szCs w:val="20"/>
        </w:rPr>
        <w:drawing>
          <wp:inline distT="0" distB="0" distL="114300" distR="114300">
            <wp:extent cx="3570605" cy="2562225"/>
            <wp:effectExtent l="0" t="0" r="10795" b="3175"/>
            <wp:docPr id="1" name="图片 1" descr="机理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机理图"/>
                    <pic:cNvPicPr>
                      <a:picLocks noChangeAspect="1"/>
                    </pic:cNvPicPr>
                  </pic:nvPicPr>
                  <pic:blipFill>
                    <a:blip r:embed="rId13"/>
                    <a:stretch>
                      <a:fillRect/>
                    </a:stretch>
                  </pic:blipFill>
                  <pic:spPr>
                    <a:xfrm>
                      <a:off x="0" y="0"/>
                      <a:ext cx="3570605" cy="2562225"/>
                    </a:xfrm>
                    <a:prstGeom prst="rect">
                      <a:avLst/>
                    </a:prstGeom>
                  </pic:spPr>
                </pic:pic>
              </a:graphicData>
            </a:graphic>
          </wp:inline>
        </w:drawing>
      </w:r>
    </w:p>
    <w:p w:rsidR="00975CCE" w:rsidRDefault="00EC76AA">
      <w:pPr>
        <w:rPr>
          <w:rFonts w:ascii="Times New Roman" w:eastAsia="宋体" w:hAnsi="Times New Roman"/>
          <w:color w:val="000000"/>
          <w:sz w:val="20"/>
          <w:szCs w:val="20"/>
        </w:rPr>
      </w:pPr>
      <w:r>
        <w:rPr>
          <w:rFonts w:ascii="Times New Roman" w:eastAsia="宋体" w:hAnsi="Times New Roman" w:hint="eastAsia"/>
          <w:b/>
          <w:bCs/>
          <w:sz w:val="20"/>
          <w:szCs w:val="20"/>
        </w:rPr>
        <w:t>Fig. S4</w:t>
      </w:r>
      <w:r>
        <w:rPr>
          <w:rFonts w:ascii="Times New Roman" w:eastAsia="宋体" w:hAnsi="Times New Roman" w:hint="eastAsia"/>
          <w:sz w:val="20"/>
          <w:szCs w:val="20"/>
        </w:rPr>
        <w:t xml:space="preserve"> </w:t>
      </w:r>
      <w:r>
        <w:rPr>
          <w:rFonts w:ascii="Times New Roman" w:eastAsia="宋体" w:hAnsi="Times New Roman" w:hint="eastAsia"/>
          <w:color w:val="000000"/>
          <w:sz w:val="20"/>
          <w:szCs w:val="20"/>
        </w:rPr>
        <w:t xml:space="preserve">The schematic diagram for photocatalytic reaction </w:t>
      </w:r>
      <w:r>
        <w:rPr>
          <w:rFonts w:ascii="Times New Roman" w:eastAsia="宋体" w:hAnsi="Times New Roman"/>
          <w:color w:val="000000"/>
          <w:sz w:val="20"/>
          <w:szCs w:val="20"/>
        </w:rPr>
        <w:t>process</w:t>
      </w:r>
      <w:r>
        <w:rPr>
          <w:rFonts w:ascii="Times New Roman" w:eastAsia="宋体" w:hAnsi="Times New Roman" w:hint="eastAsia"/>
          <w:color w:val="000000"/>
          <w:sz w:val="20"/>
          <w:szCs w:val="20"/>
        </w:rPr>
        <w:t xml:space="preserve"> on BBN/CuCr-Cl-LDH composite.</w:t>
      </w:r>
    </w:p>
    <w:p w:rsidR="00975CCE" w:rsidRDefault="00975CCE">
      <w:pPr>
        <w:rPr>
          <w:rFonts w:ascii="Times New Roman" w:eastAsia="宋体" w:hAnsi="Times New Roman"/>
          <w:color w:val="000000"/>
          <w:sz w:val="20"/>
          <w:szCs w:val="20"/>
        </w:rPr>
      </w:pPr>
    </w:p>
    <w:p w:rsidR="00EC76AA" w:rsidRDefault="00EC76AA">
      <w:pPr>
        <w:rPr>
          <w:rFonts w:ascii="Times New Roman" w:eastAsia="宋体" w:hAnsi="Times New Roman"/>
          <w:color w:val="000000"/>
          <w:sz w:val="20"/>
          <w:szCs w:val="20"/>
        </w:rPr>
      </w:pPr>
    </w:p>
    <w:p w:rsidR="00EC76AA" w:rsidRDefault="00EC76AA">
      <w:pPr>
        <w:rPr>
          <w:rFonts w:ascii="Times New Roman" w:eastAsia="宋体" w:hAnsi="Times New Roman"/>
          <w:color w:val="000000"/>
          <w:sz w:val="20"/>
          <w:szCs w:val="20"/>
        </w:rPr>
      </w:pPr>
    </w:p>
    <w:p w:rsidR="00EC76AA" w:rsidRDefault="00EC76AA">
      <w:pPr>
        <w:rPr>
          <w:rFonts w:ascii="Times New Roman" w:eastAsia="宋体" w:hAnsi="Times New Roman"/>
          <w:color w:val="000000"/>
          <w:sz w:val="20"/>
          <w:szCs w:val="20"/>
        </w:rPr>
      </w:pPr>
    </w:p>
    <w:p w:rsidR="00EC76AA" w:rsidRDefault="00EC76AA">
      <w:pPr>
        <w:rPr>
          <w:rFonts w:ascii="Times New Roman" w:eastAsia="宋体" w:hAnsi="Times New Roman"/>
          <w:color w:val="000000"/>
          <w:sz w:val="20"/>
          <w:szCs w:val="20"/>
        </w:rPr>
      </w:pPr>
    </w:p>
    <w:p w:rsidR="00EC76AA" w:rsidRDefault="00EC76AA">
      <w:pPr>
        <w:rPr>
          <w:rFonts w:ascii="Times New Roman" w:eastAsia="宋体" w:hAnsi="Times New Roman" w:hint="eastAsia"/>
          <w:color w:val="000000"/>
          <w:sz w:val="20"/>
          <w:szCs w:val="20"/>
        </w:rPr>
      </w:pPr>
    </w:p>
    <w:p w:rsidR="00975CCE" w:rsidRDefault="00EC76AA">
      <w:pPr>
        <w:rPr>
          <w:rFonts w:ascii="Times New Roman" w:eastAsia="宋体" w:hAnsi="Times New Roman"/>
          <w:b/>
          <w:color w:val="000000"/>
          <w:sz w:val="24"/>
          <w:szCs w:val="20"/>
        </w:rPr>
      </w:pPr>
      <w:r>
        <w:rPr>
          <w:rFonts w:ascii="Times New Roman" w:eastAsia="宋体" w:hAnsi="Times New Roman" w:hint="eastAsia"/>
          <w:b/>
          <w:color w:val="000000"/>
          <w:sz w:val="24"/>
          <w:szCs w:val="20"/>
        </w:rPr>
        <w:lastRenderedPageBreak/>
        <w:t>T</w:t>
      </w:r>
      <w:r>
        <w:rPr>
          <w:rFonts w:ascii="Times New Roman" w:eastAsia="宋体" w:hAnsi="Times New Roman"/>
          <w:b/>
          <w:color w:val="000000"/>
          <w:sz w:val="24"/>
          <w:szCs w:val="20"/>
        </w:rPr>
        <w:t>ables:</w:t>
      </w:r>
    </w:p>
    <w:p w:rsidR="00975CCE" w:rsidRDefault="00975CCE">
      <w:pPr>
        <w:rPr>
          <w:rFonts w:ascii="Times New Roman" w:eastAsia="宋体" w:hAnsi="Times New Roman"/>
          <w:b/>
          <w:color w:val="000000"/>
          <w:sz w:val="20"/>
          <w:szCs w:val="20"/>
        </w:rPr>
      </w:pPr>
    </w:p>
    <w:p w:rsidR="00975CCE" w:rsidRPr="002E2AEC" w:rsidRDefault="00EC76AA">
      <w:pPr>
        <w:spacing w:line="360" w:lineRule="auto"/>
        <w:rPr>
          <w:rFonts w:ascii="Times New Roman" w:eastAsia="宋体" w:hAnsi="Times New Roman"/>
          <w:b/>
          <w:bCs/>
          <w:sz w:val="20"/>
          <w:szCs w:val="20"/>
          <w:vertAlign w:val="superscript"/>
        </w:rPr>
      </w:pPr>
      <w:r>
        <w:rPr>
          <w:rFonts w:ascii="Times New Roman" w:eastAsia="宋体" w:hAnsi="Times New Roman" w:hint="eastAsia"/>
          <w:b/>
          <w:bCs/>
          <w:sz w:val="20"/>
          <w:szCs w:val="20"/>
        </w:rPr>
        <w:t xml:space="preserve">Table S1 </w:t>
      </w:r>
      <w:r>
        <w:rPr>
          <w:rFonts w:ascii="Times New Roman" w:eastAsia="宋体" w:hAnsi="Times New Roman" w:hint="eastAsia"/>
          <w:sz w:val="20"/>
          <w:szCs w:val="20"/>
        </w:rPr>
        <w:t>TOC degradation effects of different catalysts</w:t>
      </w:r>
      <w:r w:rsidR="002E2AEC">
        <w:rPr>
          <w:rFonts w:ascii="Times New Roman" w:eastAsia="宋体" w:hAnsi="Times New Roman"/>
          <w:sz w:val="20"/>
          <w:szCs w:val="20"/>
          <w:vertAlign w:val="superscript"/>
        </w:rPr>
        <w:t>a</w:t>
      </w:r>
    </w:p>
    <w:tbl>
      <w:tblPr>
        <w:tblW w:w="6096" w:type="dxa"/>
        <w:tblLayout w:type="fixed"/>
        <w:tblLook w:val="04A0" w:firstRow="1" w:lastRow="0" w:firstColumn="1" w:lastColumn="0" w:noHBand="0" w:noVBand="1"/>
      </w:tblPr>
      <w:tblGrid>
        <w:gridCol w:w="1519"/>
        <w:gridCol w:w="2025"/>
        <w:gridCol w:w="2552"/>
      </w:tblGrid>
      <w:tr w:rsidR="00975CCE" w:rsidTr="002E2AEC">
        <w:trPr>
          <w:trHeight w:val="221"/>
        </w:trPr>
        <w:tc>
          <w:tcPr>
            <w:tcW w:w="1519" w:type="dxa"/>
            <w:vMerge w:val="restart"/>
            <w:tcBorders>
              <w:top w:val="single" w:sz="8" w:space="0" w:color="000000"/>
              <w:left w:val="nil"/>
              <w:right w:val="nil"/>
            </w:tcBorders>
            <w:shd w:val="clear" w:color="auto" w:fill="auto"/>
            <w:vAlign w:val="center"/>
          </w:tcPr>
          <w:p w:rsidR="00975CCE" w:rsidRDefault="00EC76AA">
            <w:pPr>
              <w:widowControl/>
              <w:jc w:val="center"/>
              <w:textAlignment w:val="top"/>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Photocatalyst</w:t>
            </w:r>
          </w:p>
        </w:tc>
        <w:tc>
          <w:tcPr>
            <w:tcW w:w="4577" w:type="dxa"/>
            <w:gridSpan w:val="2"/>
            <w:tcBorders>
              <w:top w:val="single" w:sz="8" w:space="0" w:color="000000"/>
              <w:left w:val="nil"/>
              <w:bottom w:val="single" w:sz="8" w:space="0" w:color="000000"/>
              <w:right w:val="nil"/>
            </w:tcBorders>
            <w:shd w:val="clear" w:color="auto" w:fill="auto"/>
            <w:vAlign w:val="center"/>
          </w:tcPr>
          <w:p w:rsidR="00975CCE" w:rsidRDefault="00EC76AA">
            <w:pPr>
              <w:widowControl/>
              <w:jc w:val="center"/>
              <w:textAlignment w:val="top"/>
              <w:rPr>
                <w:rFonts w:ascii="Times New Roman" w:eastAsia="等线" w:hAnsi="Times New Roman" w:cs="Times New Roman"/>
                <w:i/>
                <w:iCs/>
                <w:color w:val="000000"/>
                <w:sz w:val="20"/>
                <w:szCs w:val="20"/>
              </w:rPr>
            </w:pPr>
            <w:r>
              <w:rPr>
                <w:rFonts w:ascii="Times New Roman" w:eastAsia="等线" w:hAnsi="Times New Roman" w:cs="Times New Roman" w:hint="eastAsia"/>
                <w:color w:val="000000"/>
                <w:sz w:val="20"/>
                <w:szCs w:val="20"/>
              </w:rPr>
              <w:t>TOC</w:t>
            </w:r>
            <w:r w:rsidR="002E2AEC">
              <w:rPr>
                <w:rFonts w:ascii="Times New Roman" w:eastAsia="等线" w:hAnsi="Times New Roman" w:cs="Times New Roman"/>
                <w:color w:val="000000"/>
                <w:sz w:val="20"/>
                <w:szCs w:val="20"/>
              </w:rPr>
              <w:t>/mg·L</w:t>
            </w:r>
            <w:r w:rsidR="002E2AEC" w:rsidRPr="002E2AEC">
              <w:rPr>
                <w:rFonts w:ascii="Times New Roman" w:eastAsia="等线" w:hAnsi="Times New Roman" w:cs="Times New Roman"/>
                <w:color w:val="000000"/>
                <w:sz w:val="20"/>
                <w:szCs w:val="20"/>
                <w:vertAlign w:val="superscript"/>
              </w:rPr>
              <w:t>-1</w:t>
            </w:r>
          </w:p>
        </w:tc>
      </w:tr>
      <w:tr w:rsidR="00975CCE" w:rsidTr="002E2AEC">
        <w:trPr>
          <w:trHeight w:val="327"/>
        </w:trPr>
        <w:tc>
          <w:tcPr>
            <w:tcW w:w="1519" w:type="dxa"/>
            <w:vMerge/>
            <w:tcBorders>
              <w:left w:val="nil"/>
              <w:bottom w:val="single" w:sz="4" w:space="0" w:color="auto"/>
              <w:right w:val="nil"/>
            </w:tcBorders>
            <w:shd w:val="clear" w:color="auto" w:fill="auto"/>
            <w:vAlign w:val="center"/>
          </w:tcPr>
          <w:p w:rsidR="00975CCE" w:rsidRDefault="00975CCE">
            <w:pPr>
              <w:widowControl/>
              <w:jc w:val="center"/>
              <w:textAlignment w:val="top"/>
              <w:rPr>
                <w:rFonts w:ascii="Times New Roman" w:eastAsia="等线" w:hAnsi="Times New Roman" w:cs="Times New Roman"/>
                <w:color w:val="000000"/>
                <w:sz w:val="20"/>
                <w:szCs w:val="20"/>
              </w:rPr>
            </w:pPr>
          </w:p>
        </w:tc>
        <w:tc>
          <w:tcPr>
            <w:tcW w:w="2025" w:type="dxa"/>
            <w:tcBorders>
              <w:top w:val="nil"/>
              <w:left w:val="nil"/>
              <w:bottom w:val="single" w:sz="4" w:space="0" w:color="auto"/>
              <w:right w:val="nil"/>
            </w:tcBorders>
            <w:shd w:val="clear" w:color="auto" w:fill="auto"/>
            <w:vAlign w:val="center"/>
          </w:tcPr>
          <w:p w:rsidR="00975CCE" w:rsidRDefault="002E2AEC">
            <w:pPr>
              <w:widowControl/>
              <w:jc w:val="center"/>
              <w:textAlignment w:val="top"/>
              <w:rPr>
                <w:rFonts w:ascii="Times New Roman" w:eastAsia="等线" w:hAnsi="Times New Roman" w:cs="Times New Roman"/>
                <w:i/>
                <w:iCs/>
                <w:color w:val="000000"/>
                <w:sz w:val="20"/>
                <w:szCs w:val="20"/>
              </w:rPr>
            </w:pPr>
            <w:r>
              <w:rPr>
                <w:rFonts w:ascii="Times New Roman" w:eastAsia="等线" w:hAnsi="Times New Roman" w:cs="Times New Roman"/>
                <w:color w:val="000000"/>
                <w:sz w:val="20"/>
                <w:szCs w:val="20"/>
              </w:rPr>
              <w:t>After adsorption</w:t>
            </w:r>
          </w:p>
        </w:tc>
        <w:tc>
          <w:tcPr>
            <w:tcW w:w="2552" w:type="dxa"/>
            <w:tcBorders>
              <w:top w:val="nil"/>
              <w:left w:val="nil"/>
              <w:bottom w:val="single" w:sz="4" w:space="0" w:color="auto"/>
              <w:right w:val="nil"/>
            </w:tcBorders>
            <w:shd w:val="clear" w:color="auto" w:fill="auto"/>
            <w:vAlign w:val="center"/>
          </w:tcPr>
          <w:p w:rsidR="00975CCE" w:rsidRDefault="002E2AEC">
            <w:pPr>
              <w:widowControl/>
              <w:jc w:val="center"/>
              <w:textAlignment w:val="top"/>
              <w:rPr>
                <w:rFonts w:ascii="Times New Roman" w:eastAsia="等线" w:hAnsi="Times New Roman" w:cs="Times New Roman"/>
                <w:i/>
                <w:iCs/>
                <w:color w:val="000000"/>
                <w:sz w:val="20"/>
                <w:szCs w:val="20"/>
              </w:rPr>
            </w:pPr>
            <w:r>
              <w:rPr>
                <w:rFonts w:ascii="Times New Roman" w:eastAsia="等线" w:hAnsi="Times New Roman" w:cs="Times New Roman"/>
                <w:color w:val="000000"/>
                <w:sz w:val="20"/>
                <w:szCs w:val="20"/>
              </w:rPr>
              <w:t>Irradiation time of 120 min</w:t>
            </w:r>
          </w:p>
        </w:tc>
      </w:tr>
      <w:tr w:rsidR="00975CCE" w:rsidTr="002E2AEC">
        <w:trPr>
          <w:trHeight w:val="265"/>
        </w:trPr>
        <w:tc>
          <w:tcPr>
            <w:tcW w:w="1519" w:type="dxa"/>
            <w:tcBorders>
              <w:top w:val="nil"/>
              <w:left w:val="nil"/>
              <w:bottom w:val="nil"/>
              <w:right w:val="nil"/>
            </w:tcBorders>
            <w:shd w:val="clear" w:color="auto" w:fill="auto"/>
            <w:vAlign w:val="center"/>
          </w:tcPr>
          <w:p w:rsidR="00975CCE" w:rsidRDefault="00EC76AA">
            <w:pPr>
              <w:widowControl/>
              <w:jc w:val="center"/>
              <w:textAlignment w:val="top"/>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CuCr-Cl-LDH</w:t>
            </w:r>
          </w:p>
        </w:tc>
        <w:tc>
          <w:tcPr>
            <w:tcW w:w="2025" w:type="dxa"/>
            <w:tcBorders>
              <w:top w:val="nil"/>
              <w:left w:val="nil"/>
              <w:bottom w:val="nil"/>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11.01</w:t>
            </w:r>
          </w:p>
        </w:tc>
        <w:tc>
          <w:tcPr>
            <w:tcW w:w="2552" w:type="dxa"/>
            <w:tcBorders>
              <w:top w:val="nil"/>
              <w:left w:val="nil"/>
              <w:bottom w:val="nil"/>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9.738</w:t>
            </w:r>
          </w:p>
        </w:tc>
      </w:tr>
      <w:tr w:rsidR="00975CCE" w:rsidTr="002E2AEC">
        <w:trPr>
          <w:trHeight w:val="283"/>
        </w:trPr>
        <w:tc>
          <w:tcPr>
            <w:tcW w:w="1519" w:type="dxa"/>
            <w:tcBorders>
              <w:top w:val="nil"/>
              <w:left w:val="nil"/>
              <w:bottom w:val="nil"/>
              <w:right w:val="nil"/>
            </w:tcBorders>
            <w:shd w:val="clear" w:color="auto" w:fill="auto"/>
            <w:vAlign w:val="center"/>
          </w:tcPr>
          <w:p w:rsidR="00975CCE" w:rsidRDefault="00EC76AA">
            <w:pPr>
              <w:widowControl/>
              <w:jc w:val="center"/>
              <w:textAlignment w:val="top"/>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BBN</w:t>
            </w:r>
          </w:p>
        </w:tc>
        <w:tc>
          <w:tcPr>
            <w:tcW w:w="2025" w:type="dxa"/>
            <w:tcBorders>
              <w:top w:val="nil"/>
              <w:left w:val="nil"/>
              <w:bottom w:val="nil"/>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11.04</w:t>
            </w:r>
          </w:p>
        </w:tc>
        <w:tc>
          <w:tcPr>
            <w:tcW w:w="2552" w:type="dxa"/>
            <w:tcBorders>
              <w:top w:val="nil"/>
              <w:left w:val="nil"/>
              <w:bottom w:val="nil"/>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8.712</w:t>
            </w:r>
          </w:p>
        </w:tc>
      </w:tr>
      <w:tr w:rsidR="00975CCE" w:rsidTr="002E2AEC">
        <w:trPr>
          <w:trHeight w:val="349"/>
        </w:trPr>
        <w:tc>
          <w:tcPr>
            <w:tcW w:w="1519" w:type="dxa"/>
            <w:tcBorders>
              <w:top w:val="nil"/>
              <w:left w:val="nil"/>
              <w:bottom w:val="nil"/>
              <w:right w:val="nil"/>
            </w:tcBorders>
            <w:shd w:val="clear" w:color="auto" w:fill="auto"/>
            <w:vAlign w:val="center"/>
          </w:tcPr>
          <w:p w:rsidR="00975CCE" w:rsidRDefault="00EC76AA">
            <w:pPr>
              <w:widowControl/>
              <w:jc w:val="center"/>
              <w:textAlignment w:val="top"/>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BBN/LDH-1</w:t>
            </w:r>
          </w:p>
        </w:tc>
        <w:tc>
          <w:tcPr>
            <w:tcW w:w="2025" w:type="dxa"/>
            <w:tcBorders>
              <w:top w:val="nil"/>
              <w:left w:val="nil"/>
              <w:bottom w:val="nil"/>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8.210</w:t>
            </w:r>
          </w:p>
        </w:tc>
        <w:tc>
          <w:tcPr>
            <w:tcW w:w="2552" w:type="dxa"/>
            <w:tcBorders>
              <w:top w:val="nil"/>
              <w:left w:val="nil"/>
              <w:bottom w:val="nil"/>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2.703</w:t>
            </w:r>
          </w:p>
        </w:tc>
      </w:tr>
      <w:tr w:rsidR="00975CCE" w:rsidTr="002E2AEC">
        <w:trPr>
          <w:trHeight w:val="363"/>
        </w:trPr>
        <w:tc>
          <w:tcPr>
            <w:tcW w:w="1519" w:type="dxa"/>
            <w:tcBorders>
              <w:top w:val="nil"/>
              <w:left w:val="nil"/>
              <w:bottom w:val="nil"/>
              <w:right w:val="nil"/>
            </w:tcBorders>
            <w:shd w:val="clear" w:color="auto" w:fill="auto"/>
            <w:vAlign w:val="center"/>
          </w:tcPr>
          <w:p w:rsidR="00975CCE" w:rsidRDefault="00EC76AA">
            <w:pPr>
              <w:widowControl/>
              <w:jc w:val="center"/>
              <w:textAlignment w:val="top"/>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BBN/LDH-2</w:t>
            </w:r>
          </w:p>
        </w:tc>
        <w:tc>
          <w:tcPr>
            <w:tcW w:w="2025" w:type="dxa"/>
            <w:tcBorders>
              <w:top w:val="nil"/>
              <w:left w:val="nil"/>
              <w:bottom w:val="nil"/>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6.256</w:t>
            </w:r>
          </w:p>
        </w:tc>
        <w:tc>
          <w:tcPr>
            <w:tcW w:w="2552" w:type="dxa"/>
            <w:tcBorders>
              <w:top w:val="nil"/>
              <w:left w:val="nil"/>
              <w:bottom w:val="nil"/>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1.670</w:t>
            </w:r>
          </w:p>
        </w:tc>
      </w:tr>
      <w:tr w:rsidR="00975CCE" w:rsidTr="002E2AEC">
        <w:trPr>
          <w:trHeight w:val="383"/>
        </w:trPr>
        <w:tc>
          <w:tcPr>
            <w:tcW w:w="1519" w:type="dxa"/>
            <w:tcBorders>
              <w:top w:val="nil"/>
              <w:left w:val="nil"/>
              <w:bottom w:val="single" w:sz="8" w:space="0" w:color="000000"/>
              <w:right w:val="nil"/>
            </w:tcBorders>
            <w:shd w:val="clear" w:color="auto" w:fill="auto"/>
            <w:vAlign w:val="center"/>
          </w:tcPr>
          <w:p w:rsidR="00975CCE" w:rsidRDefault="00EC76AA">
            <w:pPr>
              <w:widowControl/>
              <w:jc w:val="center"/>
              <w:textAlignment w:val="top"/>
              <w:rPr>
                <w:rFonts w:ascii="Times New Roman" w:eastAsia="等线" w:hAnsi="Times New Roman" w:cs="Times New Roman"/>
                <w:color w:val="000000"/>
                <w:sz w:val="20"/>
                <w:szCs w:val="20"/>
              </w:rPr>
            </w:pPr>
            <w:r>
              <w:rPr>
                <w:rFonts w:ascii="Times New Roman" w:eastAsia="等线" w:hAnsi="Times New Roman" w:cs="Times New Roman"/>
                <w:color w:val="000000"/>
                <w:kern w:val="0"/>
                <w:sz w:val="20"/>
                <w:szCs w:val="20"/>
                <w:lang w:bidi="ar"/>
              </w:rPr>
              <w:t>BBN/LDH-3</w:t>
            </w:r>
          </w:p>
        </w:tc>
        <w:tc>
          <w:tcPr>
            <w:tcW w:w="2025" w:type="dxa"/>
            <w:tcBorders>
              <w:top w:val="nil"/>
              <w:left w:val="nil"/>
              <w:bottom w:val="single" w:sz="8" w:space="0" w:color="000000"/>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6.465</w:t>
            </w:r>
          </w:p>
        </w:tc>
        <w:tc>
          <w:tcPr>
            <w:tcW w:w="2552" w:type="dxa"/>
            <w:tcBorders>
              <w:top w:val="nil"/>
              <w:left w:val="nil"/>
              <w:bottom w:val="single" w:sz="8" w:space="0" w:color="000000"/>
              <w:right w:val="nil"/>
            </w:tcBorders>
            <w:shd w:val="clear" w:color="auto" w:fill="auto"/>
            <w:vAlign w:val="center"/>
          </w:tcPr>
          <w:p w:rsidR="00975CCE" w:rsidRDefault="00EC76AA">
            <w:pPr>
              <w:widowControl/>
              <w:jc w:val="center"/>
              <w:textAlignment w:val="bottom"/>
              <w:rPr>
                <w:rFonts w:ascii="Times New Roman" w:eastAsia="等线" w:hAnsi="Times New Roman" w:cs="Times New Roman"/>
                <w:color w:val="000000"/>
                <w:sz w:val="20"/>
                <w:szCs w:val="20"/>
              </w:rPr>
            </w:pPr>
            <w:r>
              <w:rPr>
                <w:rFonts w:ascii="Times New Roman" w:eastAsia="等线" w:hAnsi="Times New Roman" w:cs="Times New Roman" w:hint="eastAsia"/>
                <w:color w:val="000000"/>
                <w:sz w:val="20"/>
                <w:szCs w:val="20"/>
              </w:rPr>
              <w:t>1.877</w:t>
            </w:r>
          </w:p>
        </w:tc>
      </w:tr>
    </w:tbl>
    <w:p w:rsidR="00975CCE" w:rsidRPr="002E2AEC" w:rsidRDefault="002E2AEC">
      <w:pPr>
        <w:rPr>
          <w:rFonts w:ascii="Times New Roman" w:eastAsia="宋体" w:hAnsi="Times New Roman"/>
          <w:color w:val="000000"/>
          <w:sz w:val="20"/>
          <w:szCs w:val="20"/>
        </w:rPr>
      </w:pPr>
      <w:r>
        <w:rPr>
          <w:rFonts w:ascii="Times New Roman" w:eastAsia="宋体" w:hAnsi="Times New Roman"/>
          <w:color w:val="000000"/>
          <w:sz w:val="20"/>
          <w:szCs w:val="20"/>
          <w:vertAlign w:val="superscript"/>
        </w:rPr>
        <w:t>a</w:t>
      </w:r>
      <w:r>
        <w:rPr>
          <w:rFonts w:ascii="Times New Roman" w:eastAsia="宋体" w:hAnsi="Times New Roman"/>
          <w:color w:val="000000"/>
          <w:sz w:val="20"/>
          <w:szCs w:val="20"/>
        </w:rPr>
        <w:t xml:space="preserve"> Note: TOC value of initial TC concentration was 11.57 </w:t>
      </w:r>
      <w:r>
        <w:rPr>
          <w:rFonts w:ascii="Times New Roman" w:eastAsia="等线" w:hAnsi="Times New Roman" w:cs="Times New Roman"/>
          <w:color w:val="000000"/>
          <w:sz w:val="20"/>
          <w:szCs w:val="20"/>
        </w:rPr>
        <w:t>mg·L</w:t>
      </w:r>
      <w:r w:rsidRPr="002E2AEC">
        <w:rPr>
          <w:rFonts w:ascii="Times New Roman" w:eastAsia="等线" w:hAnsi="Times New Roman" w:cs="Times New Roman"/>
          <w:color w:val="000000"/>
          <w:sz w:val="20"/>
          <w:szCs w:val="20"/>
          <w:vertAlign w:val="superscript"/>
        </w:rPr>
        <w:t>-1</w:t>
      </w:r>
      <w:r>
        <w:rPr>
          <w:rFonts w:ascii="Times New Roman" w:eastAsia="等线" w:hAnsi="Times New Roman" w:cs="Times New Roman"/>
          <w:color w:val="000000"/>
          <w:sz w:val="20"/>
          <w:szCs w:val="20"/>
        </w:rPr>
        <w:t>.</w:t>
      </w:r>
    </w:p>
    <w:p w:rsidR="00EC76AA" w:rsidRDefault="00EC76AA">
      <w:pPr>
        <w:widowControl/>
        <w:jc w:val="left"/>
        <w:rPr>
          <w:rFonts w:ascii="Times New Roman" w:eastAsia="宋体" w:hAnsi="Times New Roman"/>
          <w:color w:val="000000"/>
          <w:sz w:val="20"/>
          <w:szCs w:val="20"/>
        </w:rPr>
      </w:pPr>
      <w:r>
        <w:rPr>
          <w:rFonts w:ascii="Times New Roman" w:eastAsia="宋体" w:hAnsi="Times New Roman"/>
          <w:color w:val="000000"/>
          <w:sz w:val="20"/>
          <w:szCs w:val="20"/>
        </w:rPr>
        <w:br w:type="page"/>
      </w:r>
    </w:p>
    <w:p w:rsidR="00EC76AA" w:rsidRDefault="00EC76AA">
      <w:pPr>
        <w:rPr>
          <w:rFonts w:ascii="Times New Roman" w:eastAsia="宋体" w:hAnsi="Times New Roman" w:hint="eastAsia"/>
          <w:color w:val="000000"/>
          <w:sz w:val="20"/>
          <w:szCs w:val="20"/>
        </w:rPr>
      </w:pPr>
      <w:bookmarkStart w:id="0" w:name="_GoBack"/>
      <w:bookmarkEnd w:id="0"/>
    </w:p>
    <w:p w:rsidR="00975CCE" w:rsidRDefault="00EC76AA">
      <w:pPr>
        <w:rPr>
          <w:rFonts w:ascii="Times New Roman" w:eastAsia="宋体" w:hAnsi="Times New Roman"/>
          <w:color w:val="000000"/>
          <w:sz w:val="20"/>
          <w:szCs w:val="20"/>
        </w:rPr>
      </w:pPr>
      <w:r>
        <w:rPr>
          <w:rFonts w:ascii="Times New Roman" w:eastAsia="宋体" w:hAnsi="Times New Roman" w:hint="eastAsia"/>
          <w:b/>
          <w:bCs/>
          <w:sz w:val="20"/>
          <w:szCs w:val="20"/>
        </w:rPr>
        <w:t xml:space="preserve">Table S2 </w:t>
      </w:r>
      <w:r>
        <w:rPr>
          <w:rFonts w:ascii="Times New Roman" w:eastAsia="等线" w:hAnsi="Times New Roman" w:cs="Times New Roman" w:hint="eastAsia"/>
          <w:color w:val="000000"/>
          <w:kern w:val="0"/>
          <w:sz w:val="20"/>
          <w:szCs w:val="20"/>
          <w:lang w:bidi="ar"/>
        </w:rPr>
        <w:t>complete list of all acronyms used within the manuscript</w:t>
      </w:r>
    </w:p>
    <w:tbl>
      <w:tblPr>
        <w:tblW w:w="6721" w:type="dxa"/>
        <w:tblLayout w:type="fixed"/>
        <w:tblLook w:val="04A0" w:firstRow="1" w:lastRow="0" w:firstColumn="1" w:lastColumn="0" w:noHBand="0" w:noVBand="1"/>
      </w:tblPr>
      <w:tblGrid>
        <w:gridCol w:w="3628"/>
        <w:gridCol w:w="3093"/>
      </w:tblGrid>
      <w:tr w:rsidR="00975CCE">
        <w:trPr>
          <w:trHeight w:val="253"/>
        </w:trPr>
        <w:tc>
          <w:tcPr>
            <w:tcW w:w="3628" w:type="dxa"/>
            <w:tcBorders>
              <w:top w:val="single" w:sz="8" w:space="0" w:color="000000"/>
              <w:left w:val="nil"/>
              <w:bottom w:val="single" w:sz="8" w:space="0" w:color="000000"/>
              <w:right w:val="nil"/>
            </w:tcBorders>
            <w:shd w:val="clear" w:color="auto" w:fill="auto"/>
            <w:vAlign w:val="center"/>
          </w:tcPr>
          <w:p w:rsidR="00975CCE" w:rsidRDefault="00EC76AA">
            <w:pPr>
              <w:widowControl/>
              <w:jc w:val="center"/>
              <w:textAlignment w:val="top"/>
              <w:rPr>
                <w:rFonts w:ascii="Times New Roman" w:eastAsia="等线" w:hAnsi="Times New Roman" w:cs="Times New Roman"/>
                <w:color w:val="000000"/>
                <w:sz w:val="20"/>
                <w:szCs w:val="20"/>
              </w:rPr>
            </w:pPr>
            <w:r>
              <w:rPr>
                <w:rFonts w:ascii="Times New Roman" w:eastAsia="等线" w:hAnsi="Times New Roman" w:cs="Times New Roman" w:hint="eastAsia"/>
                <w:color w:val="000000"/>
                <w:kern w:val="0"/>
                <w:sz w:val="20"/>
                <w:szCs w:val="20"/>
                <w:lang w:bidi="ar"/>
              </w:rPr>
              <w:t>Full name</w:t>
            </w:r>
          </w:p>
        </w:tc>
        <w:tc>
          <w:tcPr>
            <w:tcW w:w="3093" w:type="dxa"/>
            <w:tcBorders>
              <w:top w:val="single" w:sz="8" w:space="0" w:color="000000"/>
              <w:left w:val="nil"/>
              <w:bottom w:val="single" w:sz="8" w:space="0" w:color="000000"/>
              <w:right w:val="nil"/>
            </w:tcBorders>
            <w:shd w:val="clear" w:color="auto" w:fill="auto"/>
            <w:vAlign w:val="center"/>
          </w:tcPr>
          <w:p w:rsidR="00975CCE" w:rsidRDefault="00EC76AA">
            <w:pPr>
              <w:widowControl/>
              <w:jc w:val="center"/>
              <w:textAlignment w:val="top"/>
              <w:rPr>
                <w:rFonts w:ascii="Times New Roman" w:eastAsia="等线" w:hAnsi="Times New Roman" w:cs="Times New Roman"/>
                <w:i/>
                <w:iCs/>
                <w:color w:val="000000"/>
                <w:sz w:val="20"/>
                <w:szCs w:val="20"/>
              </w:rPr>
            </w:pPr>
            <w:r>
              <w:rPr>
                <w:rFonts w:ascii="Times New Roman" w:eastAsia="等线" w:hAnsi="Times New Roman" w:cs="Times New Roman" w:hint="eastAsia"/>
                <w:color w:val="000000"/>
                <w:kern w:val="0"/>
                <w:sz w:val="20"/>
                <w:szCs w:val="20"/>
                <w:lang w:bidi="ar"/>
              </w:rPr>
              <w:t>acronym</w:t>
            </w:r>
          </w:p>
        </w:tc>
      </w:tr>
      <w:tr w:rsidR="00975CCE">
        <w:trPr>
          <w:trHeight w:val="239"/>
        </w:trPr>
        <w:tc>
          <w:tcPr>
            <w:tcW w:w="3628" w:type="dxa"/>
            <w:tcBorders>
              <w:top w:val="single" w:sz="8" w:space="0" w:color="000000"/>
              <w:left w:val="nil"/>
              <w:bottom w:val="nil"/>
              <w:right w:val="nil"/>
            </w:tcBorders>
            <w:shd w:val="clear" w:color="auto" w:fill="auto"/>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Basic Bismuth Nitrates</w:t>
            </w:r>
          </w:p>
        </w:tc>
        <w:tc>
          <w:tcPr>
            <w:tcW w:w="3093" w:type="dxa"/>
            <w:tcBorders>
              <w:top w:val="single" w:sz="8" w:space="0" w:color="000000"/>
              <w:left w:val="nil"/>
              <w:right w:val="nil"/>
            </w:tcBorders>
            <w:shd w:val="clear" w:color="auto" w:fill="auto"/>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BBN</w:t>
            </w:r>
          </w:p>
        </w:tc>
      </w:tr>
      <w:tr w:rsidR="00975CCE">
        <w:trPr>
          <w:trHeight w:val="80"/>
        </w:trPr>
        <w:tc>
          <w:tcPr>
            <w:tcW w:w="3628" w:type="dxa"/>
            <w:tcBorders>
              <w:top w:val="nil"/>
              <w:left w:val="nil"/>
              <w:bottom w:val="nil"/>
              <w:right w:val="nil"/>
            </w:tcBorders>
            <w:shd w:val="clear" w:color="auto" w:fill="auto"/>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tetracycline</w:t>
            </w:r>
          </w:p>
        </w:tc>
        <w:tc>
          <w:tcPr>
            <w:tcW w:w="3093" w:type="dxa"/>
            <w:tcBorders>
              <w:left w:val="nil"/>
              <w:right w:val="nil"/>
            </w:tcBorders>
            <w:shd w:val="clear" w:color="auto" w:fill="auto"/>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TC</w:t>
            </w:r>
          </w:p>
        </w:tc>
      </w:tr>
      <w:tr w:rsidR="00975CCE">
        <w:trPr>
          <w:trHeight w:val="325"/>
        </w:trPr>
        <w:tc>
          <w:tcPr>
            <w:tcW w:w="3628" w:type="dxa"/>
            <w:tcBorders>
              <w:top w:val="nil"/>
              <w:left w:val="nil"/>
              <w:bottom w:val="nil"/>
              <w:right w:val="nil"/>
            </w:tcBorders>
            <w:shd w:val="clear" w:color="auto" w:fill="auto"/>
          </w:tcPr>
          <w:p w:rsidR="00975CCE" w:rsidRDefault="00EC76AA">
            <w:pPr>
              <w:jc w:val="center"/>
              <w:rPr>
                <w:rFonts w:ascii="Times New Roman" w:eastAsia="宋体" w:hAnsi="Times New Roman" w:cs="宋体"/>
                <w:sz w:val="20"/>
                <w:szCs w:val="20"/>
              </w:rPr>
            </w:pPr>
            <w:r>
              <w:rPr>
                <w:rFonts w:ascii="Times New Roman" w:eastAsia="宋体" w:hAnsi="Times New Roman" w:cs="Times New Roman"/>
                <w:color w:val="000000"/>
                <w:sz w:val="20"/>
                <w:szCs w:val="20"/>
              </w:rPr>
              <w:t>advanced oxidation processes</w:t>
            </w:r>
          </w:p>
        </w:tc>
        <w:tc>
          <w:tcPr>
            <w:tcW w:w="3093" w:type="dxa"/>
            <w:tcBorders>
              <w:left w:val="nil"/>
              <w:right w:val="nil"/>
            </w:tcBorders>
            <w:shd w:val="clear" w:color="auto" w:fill="auto"/>
          </w:tcPr>
          <w:p w:rsidR="00975CCE" w:rsidRDefault="00EC76AA">
            <w:pPr>
              <w:jc w:val="center"/>
              <w:rPr>
                <w:rFonts w:ascii="Times New Roman" w:eastAsia="宋体" w:hAnsi="Times New Roman" w:cs="宋体"/>
                <w:sz w:val="20"/>
                <w:szCs w:val="20"/>
              </w:rPr>
            </w:pPr>
            <w:r>
              <w:rPr>
                <w:rFonts w:ascii="Times New Roman" w:eastAsia="宋体" w:hAnsi="Times New Roman" w:cs="Times New Roman"/>
                <w:color w:val="000000"/>
                <w:sz w:val="20"/>
                <w:szCs w:val="20"/>
              </w:rPr>
              <w:t>AOPs</w:t>
            </w:r>
          </w:p>
        </w:tc>
      </w:tr>
      <w:tr w:rsidR="00975CCE">
        <w:trPr>
          <w:trHeight w:val="263"/>
        </w:trPr>
        <w:tc>
          <w:tcPr>
            <w:tcW w:w="3628" w:type="dxa"/>
            <w:tcBorders>
              <w:top w:val="nil"/>
              <w:left w:val="nil"/>
              <w:bottom w:val="nil"/>
              <w:right w:val="nil"/>
            </w:tcBorders>
            <w:shd w:val="clear" w:color="auto" w:fill="auto"/>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layered doubled hydroxides</w:t>
            </w:r>
          </w:p>
        </w:tc>
        <w:tc>
          <w:tcPr>
            <w:tcW w:w="3093" w:type="dxa"/>
            <w:tcBorders>
              <w:left w:val="nil"/>
              <w:right w:val="nil"/>
            </w:tcBorders>
            <w:shd w:val="clear" w:color="auto" w:fill="auto"/>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LDHs</w:t>
            </w:r>
          </w:p>
        </w:tc>
      </w:tr>
      <w:tr w:rsidR="00975CCE">
        <w:trPr>
          <w:trHeight w:val="177"/>
        </w:trPr>
        <w:tc>
          <w:tcPr>
            <w:tcW w:w="3628" w:type="dxa"/>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sz w:val="20"/>
                <w:szCs w:val="20"/>
              </w:rPr>
              <w:t>Isopropyl alcohol</w:t>
            </w:r>
          </w:p>
        </w:tc>
        <w:tc>
          <w:tcPr>
            <w:tcW w:w="3093" w:type="dxa"/>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sz w:val="20"/>
                <w:szCs w:val="20"/>
              </w:rPr>
              <w:t>IPA</w:t>
            </w:r>
          </w:p>
        </w:tc>
      </w:tr>
      <w:tr w:rsidR="00975CCE">
        <w:trPr>
          <w:trHeight w:val="212"/>
        </w:trPr>
        <w:tc>
          <w:tcPr>
            <w:tcW w:w="3628" w:type="dxa"/>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i/>
                <w:iCs/>
                <w:sz w:val="20"/>
                <w:szCs w:val="20"/>
              </w:rPr>
              <w:t>p</w:t>
            </w:r>
            <w:r>
              <w:rPr>
                <w:rFonts w:ascii="Times New Roman" w:eastAsia="宋体" w:hAnsi="Times New Roman"/>
                <w:sz w:val="20"/>
                <w:szCs w:val="20"/>
              </w:rPr>
              <w:t>-benzoquinone</w:t>
            </w:r>
          </w:p>
        </w:tc>
        <w:tc>
          <w:tcPr>
            <w:tcW w:w="3093" w:type="dxa"/>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sz w:val="20"/>
                <w:szCs w:val="20"/>
              </w:rPr>
              <w:t>BQ</w:t>
            </w:r>
          </w:p>
        </w:tc>
      </w:tr>
      <w:tr w:rsidR="00975CCE">
        <w:trPr>
          <w:trHeight w:val="275"/>
        </w:trPr>
        <w:tc>
          <w:tcPr>
            <w:tcW w:w="3628" w:type="dxa"/>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hint="eastAsia"/>
                <w:sz w:val="20"/>
                <w:szCs w:val="20"/>
              </w:rPr>
              <w:t>d</w:t>
            </w:r>
            <w:r>
              <w:rPr>
                <w:rFonts w:ascii="Times New Roman" w:eastAsia="宋体" w:hAnsi="Times New Roman"/>
                <w:sz w:val="20"/>
                <w:szCs w:val="20"/>
              </w:rPr>
              <w:t>isodium ethylenediaminetetraacetic acid</w:t>
            </w:r>
          </w:p>
        </w:tc>
        <w:tc>
          <w:tcPr>
            <w:tcW w:w="3093" w:type="dxa"/>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hint="eastAsia"/>
                <w:sz w:val="20"/>
                <w:szCs w:val="20"/>
              </w:rPr>
              <w:t>EDTA-2Na</w:t>
            </w:r>
          </w:p>
        </w:tc>
      </w:tr>
      <w:tr w:rsidR="00975CCE">
        <w:trPr>
          <w:trHeight w:val="297"/>
        </w:trPr>
        <w:tc>
          <w:tcPr>
            <w:tcW w:w="3628"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X-ray diffraction</w:t>
            </w:r>
          </w:p>
        </w:tc>
        <w:tc>
          <w:tcPr>
            <w:tcW w:w="3093"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XRD</w:t>
            </w:r>
          </w:p>
        </w:tc>
      </w:tr>
      <w:tr w:rsidR="00975CCE">
        <w:trPr>
          <w:trHeight w:val="285"/>
        </w:trPr>
        <w:tc>
          <w:tcPr>
            <w:tcW w:w="3628"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scanning electron microscope</w:t>
            </w:r>
          </w:p>
        </w:tc>
        <w:tc>
          <w:tcPr>
            <w:tcW w:w="3093"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SEM</w:t>
            </w:r>
          </w:p>
        </w:tc>
      </w:tr>
      <w:tr w:rsidR="00975CCE">
        <w:trPr>
          <w:trHeight w:val="203"/>
        </w:trPr>
        <w:tc>
          <w:tcPr>
            <w:tcW w:w="3628"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transmission electron microscope</w:t>
            </w:r>
          </w:p>
        </w:tc>
        <w:tc>
          <w:tcPr>
            <w:tcW w:w="3093"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TEM</w:t>
            </w:r>
          </w:p>
        </w:tc>
      </w:tr>
      <w:tr w:rsidR="00975CCE">
        <w:trPr>
          <w:trHeight w:val="95"/>
        </w:trPr>
        <w:tc>
          <w:tcPr>
            <w:tcW w:w="3628"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energy dispersive spectrometer</w:t>
            </w:r>
          </w:p>
        </w:tc>
        <w:tc>
          <w:tcPr>
            <w:tcW w:w="3093"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EDS</w:t>
            </w:r>
          </w:p>
        </w:tc>
      </w:tr>
      <w:tr w:rsidR="00975CCE">
        <w:trPr>
          <w:trHeight w:val="155"/>
        </w:trPr>
        <w:tc>
          <w:tcPr>
            <w:tcW w:w="3628"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 xml:space="preserve">UV-vis diffuse reflectance </w:t>
            </w:r>
            <w:r>
              <w:rPr>
                <w:rFonts w:ascii="Times New Roman" w:eastAsia="宋体" w:hAnsi="Times New Roman" w:cs="宋体" w:hint="eastAsia"/>
                <w:sz w:val="20"/>
                <w:szCs w:val="20"/>
              </w:rPr>
              <w:t>spectra</w:t>
            </w:r>
          </w:p>
        </w:tc>
        <w:tc>
          <w:tcPr>
            <w:tcW w:w="3093"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UV-vis DRS</w:t>
            </w:r>
          </w:p>
        </w:tc>
      </w:tr>
      <w:tr w:rsidR="00975CCE">
        <w:trPr>
          <w:trHeight w:val="189"/>
        </w:trPr>
        <w:tc>
          <w:tcPr>
            <w:tcW w:w="3628"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X-ray photoelectron spectroscopy</w:t>
            </w:r>
          </w:p>
        </w:tc>
        <w:tc>
          <w:tcPr>
            <w:tcW w:w="3093"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XPS</w:t>
            </w:r>
          </w:p>
        </w:tc>
      </w:tr>
      <w:tr w:rsidR="00975CCE">
        <w:trPr>
          <w:trHeight w:val="222"/>
        </w:trPr>
        <w:tc>
          <w:tcPr>
            <w:tcW w:w="3628"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electrochemical impedance spectroscopy</w:t>
            </w:r>
          </w:p>
        </w:tc>
        <w:tc>
          <w:tcPr>
            <w:tcW w:w="3093"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EIS</w:t>
            </w:r>
          </w:p>
        </w:tc>
      </w:tr>
      <w:tr w:rsidR="00975CCE">
        <w:trPr>
          <w:trHeight w:val="80"/>
        </w:trPr>
        <w:tc>
          <w:tcPr>
            <w:tcW w:w="3628"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Mott-Schottky</w:t>
            </w:r>
          </w:p>
        </w:tc>
        <w:tc>
          <w:tcPr>
            <w:tcW w:w="3093" w:type="dxa"/>
          </w:tcPr>
          <w:p w:rsidR="00975CCE" w:rsidRDefault="00EC76AA">
            <w:pPr>
              <w:jc w:val="center"/>
              <w:rPr>
                <w:rFonts w:ascii="Times New Roman" w:eastAsia="宋体" w:hAnsi="Times New Roman" w:cs="宋体"/>
                <w:sz w:val="20"/>
                <w:szCs w:val="20"/>
              </w:rPr>
            </w:pPr>
            <w:r>
              <w:rPr>
                <w:rFonts w:ascii="Times New Roman" w:eastAsia="宋体" w:hAnsi="Times New Roman" w:cs="宋体" w:hint="eastAsia"/>
                <w:sz w:val="20"/>
                <w:szCs w:val="20"/>
              </w:rPr>
              <w:t>MS</w:t>
            </w:r>
          </w:p>
        </w:tc>
      </w:tr>
      <w:tr w:rsidR="00975CCE">
        <w:trPr>
          <w:trHeight w:val="80"/>
        </w:trPr>
        <w:tc>
          <w:tcPr>
            <w:tcW w:w="3628" w:type="dxa"/>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Total Organic Carbon</w:t>
            </w:r>
          </w:p>
        </w:tc>
        <w:tc>
          <w:tcPr>
            <w:tcW w:w="3093" w:type="dxa"/>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cs="Times New Roman" w:hint="eastAsia"/>
                <w:color w:val="000000"/>
                <w:sz w:val="20"/>
                <w:szCs w:val="20"/>
              </w:rPr>
              <w:t>TOC</w:t>
            </w:r>
          </w:p>
        </w:tc>
      </w:tr>
      <w:tr w:rsidR="00975CCE">
        <w:trPr>
          <w:trHeight w:val="80"/>
        </w:trPr>
        <w:tc>
          <w:tcPr>
            <w:tcW w:w="3628" w:type="dxa"/>
            <w:tcBorders>
              <w:bottom w:val="single" w:sz="8" w:space="0" w:color="000000"/>
            </w:tcBorders>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cs="Times New Roman"/>
                <w:color w:val="000000"/>
                <w:sz w:val="20"/>
                <w:szCs w:val="20"/>
              </w:rPr>
              <w:t>electron paramagnetic resonance</w:t>
            </w:r>
          </w:p>
        </w:tc>
        <w:tc>
          <w:tcPr>
            <w:tcW w:w="3093" w:type="dxa"/>
            <w:tcBorders>
              <w:bottom w:val="single" w:sz="8" w:space="0" w:color="000000"/>
            </w:tcBorders>
          </w:tcPr>
          <w:p w:rsidR="00975CCE" w:rsidRDefault="00EC76AA">
            <w:pPr>
              <w:jc w:val="center"/>
              <w:rPr>
                <w:rFonts w:ascii="Times New Roman" w:eastAsia="宋体" w:hAnsi="Times New Roman" w:cs="Times New Roman"/>
                <w:color w:val="000000"/>
                <w:sz w:val="20"/>
                <w:szCs w:val="20"/>
              </w:rPr>
            </w:pPr>
            <w:r>
              <w:rPr>
                <w:rFonts w:ascii="Times New Roman" w:eastAsia="宋体" w:hAnsi="Times New Roman" w:cs="Times New Roman" w:hint="eastAsia"/>
                <w:color w:val="000000"/>
                <w:sz w:val="20"/>
                <w:szCs w:val="20"/>
              </w:rPr>
              <w:t>EPR</w:t>
            </w:r>
          </w:p>
        </w:tc>
      </w:tr>
    </w:tbl>
    <w:p w:rsidR="00975CCE" w:rsidRDefault="00975CCE">
      <w:pPr>
        <w:jc w:val="center"/>
        <w:rPr>
          <w:rFonts w:ascii="Times New Roman" w:eastAsia="宋体" w:hAnsi="Times New Roman"/>
          <w:color w:val="000000"/>
          <w:sz w:val="20"/>
          <w:szCs w:val="20"/>
        </w:rPr>
      </w:pPr>
    </w:p>
    <w:p w:rsidR="00975CCE" w:rsidRDefault="00975CCE">
      <w:pPr>
        <w:jc w:val="center"/>
        <w:rPr>
          <w:rFonts w:ascii="Times New Roman" w:eastAsia="宋体" w:hAnsi="Times New Roman"/>
          <w:color w:val="000000"/>
          <w:sz w:val="20"/>
          <w:szCs w:val="20"/>
        </w:rPr>
      </w:pPr>
    </w:p>
    <w:p w:rsidR="00975CCE" w:rsidRDefault="00975CCE">
      <w:pPr>
        <w:rPr>
          <w:rFonts w:ascii="Times New Roman" w:eastAsia="宋体" w:hAnsi="Times New Roman"/>
          <w:color w:val="000000"/>
          <w:sz w:val="20"/>
          <w:szCs w:val="20"/>
        </w:rPr>
      </w:pPr>
    </w:p>
    <w:sectPr w:rsidR="00975CCE">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5CCE" w:rsidRDefault="00975CCE"/>
  </w:endnote>
  <w:endnote w:type="continuationSeparator" w:id="0">
    <w:p w:rsidR="00975CCE" w:rsidRDefault="00975C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5CCE" w:rsidRDefault="00975CCE"/>
  </w:footnote>
  <w:footnote w:type="continuationSeparator" w:id="0">
    <w:p w:rsidR="00975CCE" w:rsidRDefault="00975CCE"/>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zMTQ1NjBiNjliYjQzZTA1MzdlNjg4NTNlNzZjZjQifQ=="/>
  </w:docVars>
  <w:rsids>
    <w:rsidRoot w:val="009D3552"/>
    <w:rsid w:val="000D15A0"/>
    <w:rsid w:val="001B0554"/>
    <w:rsid w:val="002207D2"/>
    <w:rsid w:val="00230AEB"/>
    <w:rsid w:val="002E2AEC"/>
    <w:rsid w:val="00337574"/>
    <w:rsid w:val="004A5103"/>
    <w:rsid w:val="004F3F1A"/>
    <w:rsid w:val="0053509C"/>
    <w:rsid w:val="00856B9D"/>
    <w:rsid w:val="008771C8"/>
    <w:rsid w:val="008B6562"/>
    <w:rsid w:val="00975CCE"/>
    <w:rsid w:val="00982491"/>
    <w:rsid w:val="009D3552"/>
    <w:rsid w:val="00BC3ADF"/>
    <w:rsid w:val="00DB7D7C"/>
    <w:rsid w:val="00EC76AA"/>
    <w:rsid w:val="00FF5E7C"/>
    <w:rsid w:val="01115B19"/>
    <w:rsid w:val="0887011A"/>
    <w:rsid w:val="0A982E07"/>
    <w:rsid w:val="0B723658"/>
    <w:rsid w:val="0D26294C"/>
    <w:rsid w:val="0D457211"/>
    <w:rsid w:val="13F84916"/>
    <w:rsid w:val="167767E3"/>
    <w:rsid w:val="16AB3EC2"/>
    <w:rsid w:val="198C7FDB"/>
    <w:rsid w:val="204A64FA"/>
    <w:rsid w:val="213A031C"/>
    <w:rsid w:val="23DB1D7D"/>
    <w:rsid w:val="24EC4023"/>
    <w:rsid w:val="26D01553"/>
    <w:rsid w:val="270E64D3"/>
    <w:rsid w:val="27702CEA"/>
    <w:rsid w:val="27806CA5"/>
    <w:rsid w:val="27CF4657"/>
    <w:rsid w:val="289B3D96"/>
    <w:rsid w:val="2AC46EA9"/>
    <w:rsid w:val="2DA53A20"/>
    <w:rsid w:val="318323E0"/>
    <w:rsid w:val="33E34843"/>
    <w:rsid w:val="36062A6B"/>
    <w:rsid w:val="37C4498C"/>
    <w:rsid w:val="39B90520"/>
    <w:rsid w:val="39E11825"/>
    <w:rsid w:val="3AA7481D"/>
    <w:rsid w:val="4AC70F74"/>
    <w:rsid w:val="4D534390"/>
    <w:rsid w:val="517B5C63"/>
    <w:rsid w:val="545F3EC4"/>
    <w:rsid w:val="5A551748"/>
    <w:rsid w:val="5FCB7637"/>
    <w:rsid w:val="6618187B"/>
    <w:rsid w:val="663743F7"/>
    <w:rsid w:val="676A6F0F"/>
    <w:rsid w:val="679A4779"/>
    <w:rsid w:val="67D30150"/>
    <w:rsid w:val="6F394D3C"/>
    <w:rsid w:val="70230F84"/>
    <w:rsid w:val="7116526B"/>
    <w:rsid w:val="73395617"/>
    <w:rsid w:val="752244C4"/>
    <w:rsid w:val="7A5E7D4D"/>
    <w:rsid w:val="7AF700C8"/>
    <w:rsid w:val="7CEC1640"/>
    <w:rsid w:val="7D2A5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87B2C7"/>
  <w15:docId w15:val="{37F779F5-1CDA-43C8-8A20-4FC33C677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qFormat="1"/>
    <w:lsdException w:name="caption" w:semiHidden="1" w:unhideWhenUsed="1" w:qFormat="1"/>
    <w:lsdException w:name="annotation reference" w:qFormat="1"/>
    <w:lsdException w:name="line number"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link w:val="a5"/>
    <w:qFormat/>
    <w:pPr>
      <w:tabs>
        <w:tab w:val="center" w:pos="4153"/>
        <w:tab w:val="right" w:pos="8306"/>
      </w:tabs>
      <w:snapToGrid w:val="0"/>
      <w:jc w:val="left"/>
    </w:pPr>
    <w:rPr>
      <w:sz w:val="18"/>
      <w:szCs w:val="18"/>
    </w:rPr>
  </w:style>
  <w:style w:type="paragraph" w:styleId="a6">
    <w:name w:val="header"/>
    <w:basedOn w:val="a"/>
    <w:link w:val="a7"/>
    <w:pPr>
      <w:tabs>
        <w:tab w:val="center" w:pos="4153"/>
        <w:tab w:val="right" w:pos="8306"/>
      </w:tabs>
      <w:snapToGrid w:val="0"/>
      <w:jc w:val="center"/>
    </w:pPr>
    <w:rPr>
      <w:sz w:val="18"/>
      <w:szCs w:val="18"/>
    </w:rPr>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line number"/>
    <w:basedOn w:val="a0"/>
    <w:qFormat/>
  </w:style>
  <w:style w:type="character" w:styleId="aa">
    <w:name w:val="Hyperlink"/>
    <w:basedOn w:val="a0"/>
    <w:qFormat/>
    <w:rPr>
      <w:color w:val="0000FF"/>
      <w:u w:val="single"/>
    </w:rPr>
  </w:style>
  <w:style w:type="character" w:styleId="ab">
    <w:name w:val="annotation reference"/>
    <w:basedOn w:val="a0"/>
    <w:qFormat/>
    <w:rPr>
      <w:sz w:val="21"/>
      <w:szCs w:val="21"/>
    </w:rPr>
  </w:style>
  <w:style w:type="character" w:customStyle="1" w:styleId="a7">
    <w:name w:val="页眉 字符"/>
    <w:basedOn w:val="a0"/>
    <w:link w:val="a6"/>
    <w:rPr>
      <w:rFonts w:asciiTheme="minorHAnsi" w:eastAsiaTheme="minorEastAsia" w:hAnsiTheme="minorHAnsi" w:cstheme="minorBidi"/>
      <w:kern w:val="2"/>
      <w:sz w:val="18"/>
      <w:szCs w:val="18"/>
    </w:rPr>
  </w:style>
  <w:style w:type="character" w:customStyle="1" w:styleId="a5">
    <w:name w:val="页脚 字符"/>
    <w:basedOn w:val="a0"/>
    <w:link w:val="a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4.tiff"/><Relationship Id="rId3" Type="http://schemas.openxmlformats.org/officeDocument/2006/relationships/settings" Target="settings.xml"/><Relationship Id="rId7" Type="http://schemas.openxmlformats.org/officeDocument/2006/relationships/hyperlink" Target="mailto:sym6821@sina.com.cn" TargetMode="External"/><Relationship Id="rId12"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E4E9EE-A05A-4E82-BF17-598E8C6B25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288</Words>
  <Characters>2023</Characters>
  <Application>Microsoft Office Word</Application>
  <DocSecurity>0</DocSecurity>
  <Lines>16</Lines>
  <Paragraphs>4</Paragraphs>
  <ScaleCrop>false</ScaleCrop>
  <Company/>
  <LinksUpToDate>false</LinksUpToDate>
  <CharactersWithSpaces>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窦</dc:creator>
  <cp:lastModifiedBy>申延明</cp:lastModifiedBy>
  <cp:revision>4</cp:revision>
  <dcterms:created xsi:type="dcterms:W3CDTF">2025-03-20T06:20:00Z</dcterms:created>
  <dcterms:modified xsi:type="dcterms:W3CDTF">2025-03-20T06:26:00Z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6E38C20AE47A45B3969241CA07DC9A7E_12</vt:lpwstr>
  </property>
</Properties>
</file>