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drawing>
          <wp:inline distT="0" distB="0" distL="114300" distR="114300">
            <wp:extent cx="5266690" cy="6306185"/>
            <wp:effectExtent l="0" t="0" r="0" b="18415"/>
            <wp:docPr id="1" name="Picture 1" descr="batch_c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atch_c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30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Figure S1:</w:t>
      </w:r>
      <w:r>
        <w:rPr>
          <w:rFonts w:hint="default" w:ascii="Times New Roman" w:hAnsi="Times New Roman" w:cs="Times New Roman"/>
          <w:sz w:val="22"/>
          <w:szCs w:val="22"/>
        </w:rPr>
        <w:t xml:space="preserve"> The NCBI batch </w:t>
      </w:r>
      <w:bookmarkStart w:id="0" w:name="_GoBack"/>
      <w:bookmarkEnd w:id="0"/>
      <w:r>
        <w:rPr>
          <w:rFonts w:hint="default" w:ascii="Times New Roman" w:hAnsi="Times New Roman" w:cs="Times New Roman"/>
          <w:sz w:val="22"/>
          <w:szCs w:val="22"/>
        </w:rPr>
        <w:t xml:space="preserve">CD analysis reflects the conservation of the functional domains in the HKGs from </w:t>
      </w:r>
      <w:r>
        <w:rPr>
          <w:rFonts w:hint="default" w:ascii="Times New Roman" w:hAnsi="Times New Roman" w:cs="Times New Roman"/>
          <w:i/>
          <w:iCs/>
          <w:sz w:val="22"/>
          <w:szCs w:val="22"/>
        </w:rPr>
        <w:t xml:space="preserve">Vigna mungo </w:t>
      </w:r>
      <w:r>
        <w:rPr>
          <w:rFonts w:hint="default" w:ascii="Times New Roman" w:hAnsi="Times New Roman" w:cs="Times New Roman"/>
          <w:i w:val="0"/>
          <w:iCs w:val="0"/>
          <w:sz w:val="22"/>
          <w:szCs w:val="22"/>
        </w:rPr>
        <w:t>(Vm)</w:t>
      </w:r>
      <w:r>
        <w:rPr>
          <w:rFonts w:hint="default" w:ascii="Times New Roman" w:hAnsi="Times New Roman" w:cs="Times New Roman"/>
          <w:sz w:val="22"/>
          <w:szCs w:val="22"/>
        </w:rPr>
        <w:t xml:space="preserve"> and their Arabidopsis (At) homologs besides having variable percent similarity among them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drawing>
                <wp:inline distT="0" distB="0" distL="114300" distR="114300">
                  <wp:extent cx="5271135" cy="2834005"/>
                  <wp:effectExtent l="0" t="0" r="5715" b="4445"/>
                  <wp:docPr id="3" name="Picture 3" descr="genorm_st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genorm_stress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135" cy="283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Figure S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>Gene stability analysis using the geN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orm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 algorithm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identifies RPS34 and USB1 as most suitable gene for normalization of qRT-PCR data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under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different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stress conditions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drawing>
                <wp:inline distT="0" distB="0" distL="114300" distR="114300">
                  <wp:extent cx="5269230" cy="2767330"/>
                  <wp:effectExtent l="0" t="0" r="7620" b="13970"/>
                  <wp:docPr id="4" name="Picture 4" descr="delta_CT_st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elta_CT_stress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230" cy="2767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Figure S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Gene stability analysis using the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rtl w:val="0"/>
              </w:rPr>
              <w:t>ΔCt comparison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 algorithm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identifies ACT2 and RPS34 as most suitable gene for normalization of qRT-PCR data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under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different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stress conditions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drawing>
                <wp:inline distT="0" distB="0" distL="114300" distR="114300">
                  <wp:extent cx="5274310" cy="2740660"/>
                  <wp:effectExtent l="0" t="0" r="2540" b="2540"/>
                  <wp:docPr id="5" name="Picture 5" descr="bestkeeper_st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bestkeeper_stress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74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Figure S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Gene stability analysis using the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BestKeeper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 algorithm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suggest USB1 and DNAJ as most suitable for normalization of qRT-PCR data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under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different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stress conditions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drawing>
                <wp:inline distT="0" distB="0" distL="114300" distR="114300">
                  <wp:extent cx="5175250" cy="2712720"/>
                  <wp:effectExtent l="0" t="0" r="6350" b="11430"/>
                  <wp:docPr id="6" name="Picture 6" descr="normfinder_st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normfinder_stress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250" cy="271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Figure S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Gene stability analysis using the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NormFinder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 algorithm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>infers ACT2 and DNAJ as most suitable for normalization of qRT-PCR data under different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stress conditions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drawing>
                <wp:inline distT="0" distB="0" distL="114300" distR="114300">
                  <wp:extent cx="5200015" cy="3066415"/>
                  <wp:effectExtent l="0" t="0" r="635" b="635"/>
                  <wp:docPr id="7" name="Picture 7" descr="comprehensive_st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omprehensive_stress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015" cy="306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left="0" w:leftChars="0" w:right="0" w:righ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Figure S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  <w:t>:</w:t>
            </w: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>Gene stability analysis using the RefF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>inder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 xml:space="preserve"> algorithm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</w:rPr>
              <w:t>infers ACT2 and RPS34 as most suitable for normalization of qRT-PCR data under different</w:t>
            </w:r>
            <w:r>
              <w:rPr>
                <w:rFonts w:hint="default" w:ascii="Times New Roman" w:hAnsi="Times New Roman" w:eastAsia="Times New Roman" w:cs="Times New Roman"/>
                <w:sz w:val="22"/>
                <w:szCs w:val="22"/>
                <w:rtl w:val="0"/>
                <w:lang w:val="en-US"/>
              </w:rPr>
              <w:t xml:space="preserve"> stress conditions</w:t>
            </w:r>
          </w:p>
        </w:tc>
      </w:tr>
    </w:tbl>
    <w:p>
      <w:pPr>
        <w:rPr>
          <w:rFonts w:hint="default" w:ascii="Times New Roman" w:hAnsi="Times New Roman" w:cs="Times New Roman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Wingdings">
    <w:altName w:val="Andale Mono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575BDAAD"/>
    <w:rsid w:val="5CBF6A9A"/>
    <w:rsid w:val="5F7D628C"/>
    <w:rsid w:val="677F6946"/>
    <w:rsid w:val="6EF357B8"/>
    <w:rsid w:val="6F6FDA8B"/>
    <w:rsid w:val="7BAFA578"/>
    <w:rsid w:val="7BCFD375"/>
    <w:rsid w:val="AF7700D9"/>
    <w:rsid w:val="BED9D27D"/>
    <w:rsid w:val="BFFFDF16"/>
    <w:rsid w:val="CEF1CC0C"/>
    <w:rsid w:val="E0DB4821"/>
    <w:rsid w:val="ED9D2582"/>
    <w:rsid w:val="EF248E7B"/>
    <w:rsid w:val="F57E0021"/>
    <w:rsid w:val="FABE488D"/>
    <w:rsid w:val="FE9E61CE"/>
    <w:rsid w:val="FEB9F9F9"/>
    <w:rsid w:val="FFFFB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2018-07-12T10:41:00Z</dcterms:created>
  <dc:creator>d</dc:creator>
  <cp:lastModifiedBy>kd</cp:lastModifiedBy>
  <dcterms:modified xsi:type="dcterms:W3CDTF">2025-03-27T16:37:42Z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1033-11.1.0.11720</vt:lpwstr>
  </property>
</Properties>
</file>