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5F5BC" w14:textId="77777777" w:rsidR="004C4E0B" w:rsidRPr="004C4E0B" w:rsidRDefault="004C4E0B" w:rsidP="004C4E0B">
      <w:pPr>
        <w:rPr>
          <w:b/>
          <w:bCs/>
        </w:rPr>
      </w:pPr>
      <w:r w:rsidRPr="004C4E0B">
        <w:rPr>
          <w:b/>
          <w:bCs/>
        </w:rPr>
        <w:t>Supplementary figures</w:t>
      </w:r>
    </w:p>
    <w:p w14:paraId="4191246F" w14:textId="77777777" w:rsidR="004C4E0B" w:rsidRPr="004C4E0B" w:rsidRDefault="004C4E0B" w:rsidP="004C4E0B">
      <w:r w:rsidRPr="004C4E0B">
        <w:rPr>
          <w:b/>
        </w:rPr>
        <w:t>Figure S1</w:t>
      </w:r>
    </w:p>
    <w:p w14:paraId="782F88F8" w14:textId="351C36A6" w:rsidR="004C4E0B" w:rsidRPr="004C4E0B" w:rsidRDefault="004C4E0B" w:rsidP="004C4E0B">
      <w:pPr>
        <w:rPr>
          <w:bCs/>
        </w:rPr>
      </w:pPr>
      <w:r w:rsidRPr="004C4E0B">
        <w:rPr>
          <w:lang w:val="fr-FR"/>
        </w:rPr>
        <w:drawing>
          <wp:inline distT="0" distB="0" distL="0" distR="0" wp14:anchorId="434C241E" wp14:editId="3C9B83CD">
            <wp:extent cx="5943600" cy="3736975"/>
            <wp:effectExtent l="0" t="0" r="0" b="0"/>
            <wp:docPr id="145280336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" r="-43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67958" w14:textId="77777777" w:rsidR="004C4E0B" w:rsidRPr="004C4E0B" w:rsidRDefault="004C4E0B" w:rsidP="004C4E0B">
      <w:r w:rsidRPr="004C4E0B">
        <w:rPr>
          <w:b/>
        </w:rPr>
        <w:t xml:space="preserve">Figure S1. Experimental design for </w:t>
      </w:r>
      <w:r w:rsidRPr="004C4E0B">
        <w:rPr>
          <w:b/>
          <w:iCs/>
        </w:rPr>
        <w:t>postprandial experiments</w:t>
      </w:r>
      <w:r w:rsidRPr="004C4E0B">
        <w:t xml:space="preserve">. </w:t>
      </w:r>
    </w:p>
    <w:p w14:paraId="578A0A7F" w14:textId="77777777" w:rsidR="004C4E0B" w:rsidRPr="004C4E0B" w:rsidRDefault="004C4E0B" w:rsidP="004C4E0B">
      <w:pPr>
        <w:rPr>
          <w:bCs/>
        </w:rPr>
      </w:pPr>
      <w:r w:rsidRPr="004C4E0B">
        <w:rPr>
          <w:bCs/>
        </w:rPr>
        <w:t>See associated Figure 1.</w:t>
      </w:r>
    </w:p>
    <w:p w14:paraId="65C188B2" w14:textId="77777777" w:rsidR="004C4E0B" w:rsidRPr="004C4E0B" w:rsidRDefault="004C4E0B" w:rsidP="004C4E0B">
      <w:r w:rsidRPr="004C4E0B">
        <w:br w:type="page"/>
      </w:r>
    </w:p>
    <w:p w14:paraId="4CA5F758" w14:textId="77777777" w:rsidR="004C4E0B" w:rsidRPr="004C4E0B" w:rsidRDefault="004C4E0B" w:rsidP="004C4E0B">
      <w:r w:rsidRPr="004C4E0B">
        <w:rPr>
          <w:b/>
        </w:rPr>
        <w:lastRenderedPageBreak/>
        <w:t>Figure S2</w:t>
      </w:r>
      <w:r w:rsidRPr="004C4E0B">
        <w:rPr>
          <w:b/>
          <w:bCs/>
        </w:rPr>
        <w:t xml:space="preserve"> </w:t>
      </w:r>
    </w:p>
    <w:p w14:paraId="160ECD47" w14:textId="04F43E0B" w:rsidR="004C4E0B" w:rsidRPr="004C4E0B" w:rsidRDefault="004C4E0B" w:rsidP="004C4E0B">
      <w:r w:rsidRPr="004C4E0B">
        <w:drawing>
          <wp:inline distT="0" distB="0" distL="0" distR="0" wp14:anchorId="5B12647E" wp14:editId="77C2BDB2">
            <wp:extent cx="5943600" cy="3159125"/>
            <wp:effectExtent l="0" t="0" r="0" b="0"/>
            <wp:docPr id="43737376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5DC42" w14:textId="77777777" w:rsidR="004C4E0B" w:rsidRPr="004C4E0B" w:rsidRDefault="004C4E0B" w:rsidP="004C4E0B">
      <w:r w:rsidRPr="004C4E0B">
        <w:rPr>
          <w:b/>
        </w:rPr>
        <w:t xml:space="preserve">Figure S2. </w:t>
      </w:r>
      <w:r w:rsidRPr="004C4E0B">
        <w:rPr>
          <w:b/>
          <w:bCs/>
        </w:rPr>
        <w:t xml:space="preserve">Experimental design for </w:t>
      </w:r>
      <w:r w:rsidRPr="004C4E0B">
        <w:rPr>
          <w:b/>
          <w:bCs/>
          <w:i/>
        </w:rPr>
        <w:t>in vivo</w:t>
      </w:r>
      <w:r w:rsidRPr="004C4E0B">
        <w:rPr>
          <w:b/>
          <w:bCs/>
        </w:rPr>
        <w:t xml:space="preserve"> chronic exposure intervention. </w:t>
      </w:r>
    </w:p>
    <w:p w14:paraId="1D3FA40C" w14:textId="77777777" w:rsidR="004C4E0B" w:rsidRPr="004C4E0B" w:rsidRDefault="004C4E0B" w:rsidP="004C4E0B">
      <w:pPr>
        <w:rPr>
          <w:bCs/>
        </w:rPr>
      </w:pPr>
      <w:r w:rsidRPr="004C4E0B">
        <w:rPr>
          <w:bCs/>
        </w:rPr>
        <w:t>See associated Figures 2-6.</w:t>
      </w:r>
    </w:p>
    <w:p w14:paraId="2D85328F" w14:textId="77777777" w:rsidR="004C4E0B" w:rsidRPr="004C4E0B" w:rsidRDefault="004C4E0B" w:rsidP="004C4E0B">
      <w:r w:rsidRPr="004C4E0B">
        <w:br w:type="page"/>
      </w:r>
    </w:p>
    <w:p w14:paraId="69F15563" w14:textId="77777777" w:rsidR="004C4E0B" w:rsidRPr="004C4E0B" w:rsidRDefault="004C4E0B" w:rsidP="004C4E0B">
      <w:pPr>
        <w:rPr>
          <w:b/>
        </w:rPr>
      </w:pPr>
      <w:r w:rsidRPr="004C4E0B">
        <w:rPr>
          <w:b/>
        </w:rPr>
        <w:lastRenderedPageBreak/>
        <w:t>Figure S3</w:t>
      </w:r>
    </w:p>
    <w:p w14:paraId="6A65B511" w14:textId="1B7EE269" w:rsidR="004C4E0B" w:rsidRPr="004C4E0B" w:rsidRDefault="004C4E0B" w:rsidP="004C4E0B">
      <w:pPr>
        <w:rPr>
          <w:b/>
        </w:rPr>
      </w:pPr>
      <w:r w:rsidRPr="004C4E0B">
        <w:rPr>
          <w:b/>
          <w:lang w:val="fr-FR"/>
        </w:rPr>
        <w:drawing>
          <wp:inline distT="0" distB="0" distL="0" distR="0" wp14:anchorId="6BA62E8E" wp14:editId="2AAF2082">
            <wp:extent cx="5943600" cy="3257550"/>
            <wp:effectExtent l="0" t="0" r="0" b="0"/>
            <wp:docPr id="76769950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041EA" w14:textId="77777777" w:rsidR="004C4E0B" w:rsidRPr="004C4E0B" w:rsidRDefault="004C4E0B" w:rsidP="004C4E0B">
      <w:r w:rsidRPr="004C4E0B">
        <w:rPr>
          <w:b/>
        </w:rPr>
        <w:t>Figure S3.</w:t>
      </w:r>
      <w:r w:rsidRPr="004C4E0B">
        <w:t xml:space="preserve"> </w:t>
      </w:r>
      <w:r w:rsidRPr="004C4E0B">
        <w:rPr>
          <w:b/>
          <w:bCs/>
        </w:rPr>
        <w:t>Mice weight gain and food intake during the chronic exposure intervention.</w:t>
      </w:r>
      <w:r w:rsidRPr="004C4E0B">
        <w:t xml:space="preserve"> </w:t>
      </w:r>
    </w:p>
    <w:p w14:paraId="684D87B2" w14:textId="77777777" w:rsidR="004C4E0B" w:rsidRPr="004C4E0B" w:rsidRDefault="004C4E0B" w:rsidP="004C4E0B">
      <w:r w:rsidRPr="004C4E0B">
        <w:t xml:space="preserve">Control group (Control, diamonds), 2% Tween80 group (T80, circles), 4%PPI (PPI, squares), 4%PPI+0.9%CAX (PPI+CAX, triangles). </w:t>
      </w:r>
    </w:p>
    <w:p w14:paraId="015BA1C4" w14:textId="77777777" w:rsidR="004C4E0B" w:rsidRPr="004C4E0B" w:rsidRDefault="004C4E0B" w:rsidP="004C4E0B">
      <w:r w:rsidRPr="004C4E0B">
        <w:t xml:space="preserve">Growth of A) male and B) female mice from week 0 (W0) to week 11 (W11). Food intake (g/ mouse) of C) male and D) female mice from W0 to W11. </w:t>
      </w:r>
    </w:p>
    <w:p w14:paraId="33599779" w14:textId="77777777" w:rsidR="004C4E0B" w:rsidRPr="004C4E0B" w:rsidRDefault="004C4E0B" w:rsidP="004C4E0B">
      <w:pPr>
        <w:rPr>
          <w:bCs/>
        </w:rPr>
      </w:pPr>
      <w:r w:rsidRPr="004C4E0B">
        <w:t xml:space="preserve">All graphic values are represented as mean ± SEM with n=10 mice/group including 5 males and 5 females. An asterisk indicates significant differences between groups (* p&lt;0.05). </w:t>
      </w:r>
    </w:p>
    <w:p w14:paraId="0F14CA70" w14:textId="77777777" w:rsidR="004C4E0B" w:rsidRPr="004C4E0B" w:rsidRDefault="004C4E0B" w:rsidP="004C4E0B">
      <w:pPr>
        <w:rPr>
          <w:b/>
        </w:rPr>
      </w:pPr>
      <w:r w:rsidRPr="004C4E0B">
        <w:rPr>
          <w:b/>
        </w:rPr>
        <w:br w:type="page"/>
      </w:r>
    </w:p>
    <w:p w14:paraId="2BA6E29F" w14:textId="77777777" w:rsidR="004C4E0B" w:rsidRPr="004C4E0B" w:rsidRDefault="004C4E0B" w:rsidP="004C4E0B">
      <w:pPr>
        <w:rPr>
          <w:b/>
        </w:rPr>
      </w:pPr>
      <w:r w:rsidRPr="004C4E0B">
        <w:rPr>
          <w:b/>
        </w:rPr>
        <w:lastRenderedPageBreak/>
        <w:t>Figure S4</w:t>
      </w:r>
    </w:p>
    <w:p w14:paraId="3C50CB3C" w14:textId="5C113D78" w:rsidR="004C4E0B" w:rsidRPr="004C4E0B" w:rsidRDefault="004C4E0B" w:rsidP="004C4E0B">
      <w:pPr>
        <w:rPr>
          <w:b/>
        </w:rPr>
      </w:pPr>
      <w:r w:rsidRPr="004C4E0B">
        <w:rPr>
          <w:b/>
        </w:rPr>
        <w:drawing>
          <wp:inline distT="0" distB="0" distL="0" distR="0" wp14:anchorId="6154F64B" wp14:editId="0542F8D6">
            <wp:extent cx="5943600" cy="6447790"/>
            <wp:effectExtent l="0" t="0" r="0" b="0"/>
            <wp:docPr id="116197029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" t="806" r="578" b="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4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19A59" w14:textId="77777777" w:rsidR="004C4E0B" w:rsidRPr="004C4E0B" w:rsidRDefault="004C4E0B" w:rsidP="004C4E0B">
      <w:r w:rsidRPr="004C4E0B">
        <w:rPr>
          <w:b/>
        </w:rPr>
        <w:t>Figure S4.</w:t>
      </w:r>
      <w:r w:rsidRPr="004C4E0B">
        <w:t xml:space="preserve"> </w:t>
      </w:r>
      <w:r w:rsidRPr="004C4E0B">
        <w:rPr>
          <w:b/>
        </w:rPr>
        <w:t xml:space="preserve">Plasma cytokine profiles after </w:t>
      </w:r>
      <w:r w:rsidRPr="004C4E0B">
        <w:rPr>
          <w:b/>
          <w:bCs/>
        </w:rPr>
        <w:t xml:space="preserve">chronic exposure of mice to </w:t>
      </w:r>
      <w:r w:rsidRPr="004C4E0B">
        <w:rPr>
          <w:b/>
        </w:rPr>
        <w:t xml:space="preserve">emulsifier-stabilized emulsions </w:t>
      </w:r>
      <w:r w:rsidRPr="004C4E0B">
        <w:rPr>
          <w:b/>
          <w:bCs/>
        </w:rPr>
        <w:t>at dietary doses.</w:t>
      </w:r>
      <w:r w:rsidRPr="004C4E0B">
        <w:t xml:space="preserve"> </w:t>
      </w:r>
    </w:p>
    <w:p w14:paraId="26DB0686" w14:textId="77777777" w:rsidR="004C4E0B" w:rsidRPr="004C4E0B" w:rsidRDefault="004C4E0B" w:rsidP="004C4E0B">
      <w:r w:rsidRPr="004C4E0B">
        <w:t xml:space="preserve">Normalized levels of plasmatic cytokines compared to control group including both males and females from weeks 0 to 11. Control group (dashed line), 2% Tween80 group (T80, circles), 4%PPI (PPI, squares), 4%PPI+0.9%CAX (PPI+CAX, triangles). </w:t>
      </w:r>
    </w:p>
    <w:p w14:paraId="3B961361" w14:textId="77777777" w:rsidR="004C4E0B" w:rsidRPr="004C4E0B" w:rsidRDefault="004C4E0B" w:rsidP="004C4E0B">
      <w:r w:rsidRPr="004C4E0B">
        <w:lastRenderedPageBreak/>
        <w:t xml:space="preserve">All graphic values are represented as mean ± SEM with n=10 mice/group including 5 males and 5 females. An asterisk indicates significant differences between groups (* p&lt;0.05; ** p&lt;0.01). </w:t>
      </w:r>
    </w:p>
    <w:p w14:paraId="077252C6" w14:textId="77777777" w:rsidR="004C4E0B" w:rsidRPr="004C4E0B" w:rsidRDefault="004C4E0B" w:rsidP="004C4E0B">
      <w:pPr>
        <w:rPr>
          <w:bCs/>
        </w:rPr>
      </w:pPr>
      <w:r w:rsidRPr="004C4E0B">
        <w:rPr>
          <w:bCs/>
        </w:rPr>
        <w:t>See associated Figure 3.</w:t>
      </w:r>
      <w:r w:rsidRPr="004C4E0B">
        <w:rPr>
          <w:bCs/>
        </w:rPr>
        <w:br w:type="page"/>
      </w:r>
    </w:p>
    <w:p w14:paraId="47DE23EF" w14:textId="77777777" w:rsidR="004C4E0B" w:rsidRPr="004C4E0B" w:rsidRDefault="004C4E0B" w:rsidP="004C4E0B">
      <w:pPr>
        <w:rPr>
          <w:b/>
        </w:rPr>
      </w:pPr>
      <w:r w:rsidRPr="004C4E0B">
        <w:rPr>
          <w:b/>
        </w:rPr>
        <w:lastRenderedPageBreak/>
        <w:t>Figure S5</w:t>
      </w:r>
    </w:p>
    <w:p w14:paraId="301575E5" w14:textId="2FE77F61" w:rsidR="004C4E0B" w:rsidRPr="004C4E0B" w:rsidRDefault="004C4E0B" w:rsidP="004C4E0B">
      <w:pPr>
        <w:rPr>
          <w:b/>
        </w:rPr>
      </w:pPr>
      <w:r w:rsidRPr="004C4E0B">
        <w:rPr>
          <w:b/>
          <w:lang w:val="fr-FR"/>
        </w:rPr>
        <w:drawing>
          <wp:inline distT="0" distB="0" distL="0" distR="0" wp14:anchorId="13798D11" wp14:editId="6A39365D">
            <wp:extent cx="5943600" cy="2614295"/>
            <wp:effectExtent l="0" t="0" r="0" b="0"/>
            <wp:docPr id="177989252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8A583" w14:textId="77777777" w:rsidR="004C4E0B" w:rsidRPr="004C4E0B" w:rsidRDefault="004C4E0B" w:rsidP="004C4E0B">
      <w:pPr>
        <w:rPr>
          <w:b/>
          <w:bCs/>
        </w:rPr>
      </w:pPr>
      <w:r w:rsidRPr="004C4E0B">
        <w:rPr>
          <w:b/>
        </w:rPr>
        <w:t xml:space="preserve">Figure S5. Jejunal characteristic and </w:t>
      </w:r>
      <w:r w:rsidRPr="004C4E0B">
        <w:rPr>
          <w:b/>
          <w:bCs/>
        </w:rPr>
        <w:t xml:space="preserve">intestinal gene expression analyses related to mucosal defense systems </w:t>
      </w:r>
      <w:r w:rsidRPr="004C4E0B">
        <w:rPr>
          <w:b/>
        </w:rPr>
        <w:t>after chronic exposure of mice to emulsifier-stabilized emulsions at dietary doses.</w:t>
      </w:r>
      <w:r w:rsidRPr="004C4E0B">
        <w:rPr>
          <w:b/>
          <w:bCs/>
        </w:rPr>
        <w:t xml:space="preserve"> </w:t>
      </w:r>
    </w:p>
    <w:p w14:paraId="5DD26BD4" w14:textId="77777777" w:rsidR="004C4E0B" w:rsidRPr="004C4E0B" w:rsidRDefault="004C4E0B" w:rsidP="004C4E0B">
      <w:pPr>
        <w:rPr>
          <w:b/>
          <w:bCs/>
        </w:rPr>
      </w:pPr>
      <w:r w:rsidRPr="004C4E0B">
        <w:rPr>
          <w:bCs/>
        </w:rPr>
        <w:t>Representative images of median jejunum from week 11 mice stained by</w:t>
      </w:r>
      <w:r w:rsidRPr="004C4E0B">
        <w:t xml:space="preserve"> hematoxylin and eosin stain (HE).  Mice were euthanized at fast.</w:t>
      </w:r>
    </w:p>
    <w:p w14:paraId="6C7F8AAA" w14:textId="77777777" w:rsidR="004C4E0B" w:rsidRPr="004C4E0B" w:rsidRDefault="004C4E0B" w:rsidP="004C4E0B">
      <w:pPr>
        <w:rPr>
          <w:bCs/>
        </w:rPr>
      </w:pPr>
      <w:r w:rsidRPr="004C4E0B">
        <w:rPr>
          <w:bCs/>
        </w:rPr>
        <w:t>See associated Figures 4 and 5.</w:t>
      </w:r>
    </w:p>
    <w:p w14:paraId="73F7961D" w14:textId="77777777" w:rsidR="004C4E0B" w:rsidRPr="004C4E0B" w:rsidRDefault="004C4E0B" w:rsidP="004C4E0B">
      <w:pPr>
        <w:rPr>
          <w:bCs/>
        </w:rPr>
      </w:pPr>
      <w:r w:rsidRPr="004C4E0B">
        <w:rPr>
          <w:bCs/>
        </w:rPr>
        <w:br w:type="page"/>
      </w:r>
    </w:p>
    <w:p w14:paraId="7C46C833" w14:textId="77777777" w:rsidR="004C4E0B" w:rsidRPr="004C4E0B" w:rsidRDefault="004C4E0B" w:rsidP="004C4E0B">
      <w:pPr>
        <w:rPr>
          <w:b/>
        </w:rPr>
      </w:pPr>
      <w:r w:rsidRPr="004C4E0B">
        <w:rPr>
          <w:b/>
        </w:rPr>
        <w:lastRenderedPageBreak/>
        <w:t>Figure S6</w:t>
      </w:r>
    </w:p>
    <w:p w14:paraId="427B3B7F" w14:textId="70C58046" w:rsidR="004C4E0B" w:rsidRPr="004C4E0B" w:rsidRDefault="004C4E0B" w:rsidP="004C4E0B">
      <w:pPr>
        <w:rPr>
          <w:b/>
        </w:rPr>
      </w:pPr>
      <w:r w:rsidRPr="004C4E0B">
        <w:rPr>
          <w:b/>
          <w:lang w:val="fr-FR"/>
        </w:rPr>
        <w:drawing>
          <wp:inline distT="0" distB="0" distL="0" distR="0" wp14:anchorId="39257548" wp14:editId="150B6244">
            <wp:extent cx="5943600" cy="6156325"/>
            <wp:effectExtent l="0" t="0" r="0" b="0"/>
            <wp:docPr id="63703822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5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6516E" w14:textId="77777777" w:rsidR="004C4E0B" w:rsidRPr="004C4E0B" w:rsidRDefault="004C4E0B" w:rsidP="004C4E0B">
      <w:pPr>
        <w:rPr>
          <w:bCs/>
        </w:rPr>
      </w:pPr>
    </w:p>
    <w:p w14:paraId="638E97B7" w14:textId="77777777" w:rsidR="004C4E0B" w:rsidRPr="004C4E0B" w:rsidRDefault="004C4E0B" w:rsidP="004C4E0B">
      <w:r w:rsidRPr="004C4E0B">
        <w:rPr>
          <w:b/>
        </w:rPr>
        <w:t>Figure S6.</w:t>
      </w:r>
      <w:r w:rsidRPr="004C4E0B">
        <w:rPr>
          <w:bCs/>
        </w:rPr>
        <w:t xml:space="preserve"> </w:t>
      </w:r>
      <w:r w:rsidRPr="004C4E0B">
        <w:rPr>
          <w:b/>
        </w:rPr>
        <w:t>Jejunal characteristics of MUC2 and VVA after chronic exposure of mice to emulsifier-stabilized emulsions at dietary doses</w:t>
      </w:r>
      <w:r w:rsidRPr="004C4E0B">
        <w:rPr>
          <w:b/>
          <w:bCs/>
        </w:rPr>
        <w:t>.</w:t>
      </w:r>
      <w:r w:rsidRPr="004C4E0B">
        <w:t xml:space="preserve"> </w:t>
      </w:r>
    </w:p>
    <w:p w14:paraId="705F2E81" w14:textId="77777777" w:rsidR="004C4E0B" w:rsidRPr="004C4E0B" w:rsidRDefault="004C4E0B" w:rsidP="004C4E0B">
      <w:pPr>
        <w:rPr>
          <w:bCs/>
        </w:rPr>
      </w:pPr>
      <w:r w:rsidRPr="004C4E0B">
        <w:rPr>
          <w:bCs/>
        </w:rPr>
        <w:t xml:space="preserve">Representative spectral confocal imaging projections of median jejunum from week 11 mice stained by Fluorescence in situ Hybridization (FISH) for MUC2 (magenta) and Vicia Villosa Agglutinin (VVA, cyan). </w:t>
      </w:r>
      <w:r w:rsidRPr="004C4E0B">
        <w:t xml:space="preserve">Mice were euthanized at fast. </w:t>
      </w:r>
      <w:r w:rsidRPr="004C4E0B">
        <w:rPr>
          <w:bCs/>
        </w:rPr>
        <w:t xml:space="preserve">Bars, 50 µm separated by sex. </w:t>
      </w:r>
    </w:p>
    <w:p w14:paraId="0E8801B4" w14:textId="77777777" w:rsidR="004C4E0B" w:rsidRPr="004C4E0B" w:rsidRDefault="004C4E0B" w:rsidP="004C4E0B">
      <w:pPr>
        <w:rPr>
          <w:bCs/>
        </w:rPr>
      </w:pPr>
      <w:r w:rsidRPr="004C4E0B">
        <w:rPr>
          <w:bCs/>
        </w:rPr>
        <w:t>See associated Figure 4.</w:t>
      </w:r>
      <w:r w:rsidRPr="004C4E0B">
        <w:rPr>
          <w:bCs/>
        </w:rPr>
        <w:br w:type="page"/>
      </w:r>
    </w:p>
    <w:p w14:paraId="12B60D2B" w14:textId="77777777" w:rsidR="004C4E0B" w:rsidRPr="004C4E0B" w:rsidRDefault="004C4E0B" w:rsidP="004C4E0B">
      <w:pPr>
        <w:rPr>
          <w:b/>
        </w:rPr>
      </w:pPr>
      <w:r w:rsidRPr="004C4E0B">
        <w:rPr>
          <w:b/>
        </w:rPr>
        <w:lastRenderedPageBreak/>
        <w:t>Figure S7</w:t>
      </w:r>
    </w:p>
    <w:p w14:paraId="6D23D5A1" w14:textId="4C0F1199" w:rsidR="004C4E0B" w:rsidRPr="004C4E0B" w:rsidRDefault="004C4E0B" w:rsidP="004C4E0B">
      <w:pPr>
        <w:rPr>
          <w:bCs/>
        </w:rPr>
      </w:pPr>
      <w:r w:rsidRPr="004C4E0B">
        <w:rPr>
          <w:lang w:val="fr-FR"/>
        </w:rPr>
        <w:drawing>
          <wp:inline distT="0" distB="0" distL="0" distR="0" wp14:anchorId="6D111628" wp14:editId="77F34E48">
            <wp:extent cx="5943600" cy="3916680"/>
            <wp:effectExtent l="0" t="0" r="0" b="0"/>
            <wp:docPr id="100033792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1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7655F" w14:textId="77777777" w:rsidR="004C4E0B" w:rsidRPr="004C4E0B" w:rsidRDefault="004C4E0B" w:rsidP="004C4E0B">
      <w:pPr>
        <w:rPr>
          <w:bCs/>
        </w:rPr>
      </w:pPr>
    </w:p>
    <w:p w14:paraId="0688A5F0" w14:textId="77777777" w:rsidR="004C4E0B" w:rsidRPr="004C4E0B" w:rsidRDefault="004C4E0B" w:rsidP="004C4E0B">
      <w:r w:rsidRPr="004C4E0B">
        <w:rPr>
          <w:b/>
        </w:rPr>
        <w:t>Figure S7. Intestinal gene expression analyses of selected genes related to mucosal defense.</w:t>
      </w:r>
      <w:r w:rsidRPr="004C4E0B">
        <w:t xml:space="preserve"> </w:t>
      </w:r>
    </w:p>
    <w:p w14:paraId="4352930C" w14:textId="77777777" w:rsidR="004C4E0B" w:rsidRPr="004C4E0B" w:rsidRDefault="004C4E0B" w:rsidP="004C4E0B">
      <w:pPr>
        <w:rPr>
          <w:bCs/>
        </w:rPr>
      </w:pPr>
      <w:r w:rsidRPr="004C4E0B">
        <w:t>Control group (Control, diamonds), 2% Tween80 group (T80, circles), 4%PPI (PPI, squares), 4%PPI+0.9%CAX (PPI+CAX, triangles). Mice were euthanized at fast. Males are represented by full symbols and females by empty symbols. All graphic values are represented as mean ± SEM with n=10 mice/group including 5 males and 5 females. An asterisk indicates significant differences between groups (* p&lt;0.05).</w:t>
      </w:r>
    </w:p>
    <w:p w14:paraId="51E0094D" w14:textId="77777777" w:rsidR="004C4E0B" w:rsidRPr="004C4E0B" w:rsidRDefault="004C4E0B" w:rsidP="004C4E0B">
      <w:pPr>
        <w:rPr>
          <w:bCs/>
        </w:rPr>
      </w:pPr>
      <w:r w:rsidRPr="004C4E0B">
        <w:rPr>
          <w:bCs/>
        </w:rPr>
        <w:t>See associated Figure 5.</w:t>
      </w:r>
    </w:p>
    <w:p w14:paraId="1AD1B5ED" w14:textId="77777777" w:rsidR="004C4E0B" w:rsidRPr="004C4E0B" w:rsidRDefault="004C4E0B" w:rsidP="004C4E0B">
      <w:pPr>
        <w:rPr>
          <w:bCs/>
        </w:rPr>
      </w:pPr>
      <w:r w:rsidRPr="004C4E0B">
        <w:rPr>
          <w:bCs/>
        </w:rPr>
        <w:br w:type="page"/>
      </w:r>
    </w:p>
    <w:p w14:paraId="7A3D0E99" w14:textId="77777777" w:rsidR="004C4E0B" w:rsidRPr="004C4E0B" w:rsidRDefault="004C4E0B" w:rsidP="004C4E0B">
      <w:pPr>
        <w:rPr>
          <w:b/>
        </w:rPr>
      </w:pPr>
      <w:r w:rsidRPr="004C4E0B">
        <w:rPr>
          <w:b/>
        </w:rPr>
        <w:lastRenderedPageBreak/>
        <w:t>Figure S8</w:t>
      </w:r>
    </w:p>
    <w:p w14:paraId="13660B0E" w14:textId="6FDF5CDF" w:rsidR="004C4E0B" w:rsidRPr="004C4E0B" w:rsidRDefault="004C4E0B" w:rsidP="004C4E0B">
      <w:pPr>
        <w:rPr>
          <w:bCs/>
        </w:rPr>
      </w:pPr>
      <w:r w:rsidRPr="004C4E0B">
        <w:drawing>
          <wp:inline distT="0" distB="0" distL="0" distR="0" wp14:anchorId="438BF5EA" wp14:editId="10D8FFF0">
            <wp:extent cx="5943600" cy="5421630"/>
            <wp:effectExtent l="0" t="0" r="0" b="7620"/>
            <wp:docPr id="98669449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2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2DB25" w14:textId="77777777" w:rsidR="004C4E0B" w:rsidRPr="004C4E0B" w:rsidRDefault="004C4E0B" w:rsidP="004C4E0B">
      <w:pPr>
        <w:rPr>
          <w:b/>
          <w:bCs/>
        </w:rPr>
      </w:pPr>
      <w:r w:rsidRPr="004C4E0B">
        <w:rPr>
          <w:b/>
        </w:rPr>
        <w:t xml:space="preserve">Figure S8. Individual fecal microbiota analyses </w:t>
      </w:r>
      <w:r w:rsidRPr="004C4E0B">
        <w:rPr>
          <w:b/>
          <w:bCs/>
        </w:rPr>
        <w:t xml:space="preserve">after chronic exposure of mice to </w:t>
      </w:r>
      <w:r w:rsidRPr="004C4E0B">
        <w:rPr>
          <w:b/>
        </w:rPr>
        <w:t xml:space="preserve">emulsifier-stabilized emulsions </w:t>
      </w:r>
      <w:r w:rsidRPr="004C4E0B">
        <w:rPr>
          <w:b/>
          <w:bCs/>
        </w:rPr>
        <w:t xml:space="preserve">at dietary doses by sex. </w:t>
      </w:r>
    </w:p>
    <w:p w14:paraId="6A5E0A15" w14:textId="77777777" w:rsidR="004C4E0B" w:rsidRPr="004C4E0B" w:rsidRDefault="004C4E0B" w:rsidP="004C4E0B">
      <w:r w:rsidRPr="004C4E0B">
        <w:t>Feces were collected at week 11 in ARN-free tubes.</w:t>
      </w:r>
    </w:p>
    <w:p w14:paraId="34B5BA32" w14:textId="77777777" w:rsidR="004C4E0B" w:rsidRPr="004C4E0B" w:rsidRDefault="004C4E0B" w:rsidP="004C4E0B">
      <w:r w:rsidRPr="004C4E0B">
        <w:t>Bar plot representation of individual composition of fecal content at the phylum level for females (top) and males (bottom).</w:t>
      </w:r>
    </w:p>
    <w:p w14:paraId="3AB4DF97" w14:textId="77777777" w:rsidR="004C4E0B" w:rsidRPr="004C4E0B" w:rsidRDefault="004C4E0B" w:rsidP="004C4E0B">
      <w:pPr>
        <w:rPr>
          <w:bCs/>
        </w:rPr>
      </w:pPr>
      <w:r w:rsidRPr="004C4E0B">
        <w:rPr>
          <w:bCs/>
        </w:rPr>
        <w:t>See associated Figure 6.</w:t>
      </w:r>
    </w:p>
    <w:p w14:paraId="47F26C03" w14:textId="77777777" w:rsidR="004C4E0B" w:rsidRPr="004C4E0B" w:rsidRDefault="004C4E0B" w:rsidP="004C4E0B">
      <w:pPr>
        <w:rPr>
          <w:b/>
          <w:bCs/>
        </w:rPr>
      </w:pPr>
    </w:p>
    <w:p w14:paraId="6524862C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0B"/>
    <w:rsid w:val="004C4E0B"/>
    <w:rsid w:val="00732981"/>
    <w:rsid w:val="00AC0449"/>
    <w:rsid w:val="00AD604E"/>
    <w:rsid w:val="00ED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CC03C"/>
  <w15:chartTrackingRefBased/>
  <w15:docId w15:val="{75EE9400-8F70-4A81-AE57-D45F35C0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4E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E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E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E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E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E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E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E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E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E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E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E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E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E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E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E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E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E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E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4E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E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4E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E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4E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E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4E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E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E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E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6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459</Words>
  <Characters>2619</Characters>
  <Application>Microsoft Office Word</Application>
  <DocSecurity>0</DocSecurity>
  <Lines>21</Lines>
  <Paragraphs>6</Paragraphs>
  <ScaleCrop>false</ScaleCrop>
  <Company>Springer Nature</Company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2025-02-24T07:04:00Z</dcterms:created>
  <dcterms:modified xsi:type="dcterms:W3CDTF">2025-02-24T07:04:00Z</dcterms:modified>
</cp:coreProperties>
</file>