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3C" w:rsidRPr="0099743C" w:rsidRDefault="0099743C" w:rsidP="0099743C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9743C">
        <w:rPr>
          <w:rFonts w:asciiTheme="majorBidi" w:hAnsiTheme="majorBidi" w:cstheme="majorBidi"/>
          <w:b/>
          <w:bCs/>
          <w:sz w:val="24"/>
          <w:szCs w:val="24"/>
        </w:rPr>
        <w:t xml:space="preserve">Supplemental Table 1: </w:t>
      </w:r>
      <w:r>
        <w:rPr>
          <w:rFonts w:asciiTheme="majorBidi" w:hAnsiTheme="majorBidi" w:cstheme="majorBidi"/>
          <w:b/>
          <w:bCs/>
          <w:sz w:val="24"/>
          <w:szCs w:val="24"/>
        </w:rPr>
        <w:t>D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istribution of s</w:t>
      </w:r>
      <w:r w:rsidRPr="0099743C">
        <w:rPr>
          <w:rFonts w:asciiTheme="majorBidi" w:hAnsiTheme="majorBidi" w:cstheme="majorBidi"/>
          <w:b/>
          <w:bCs/>
          <w:sz w:val="24"/>
          <w:szCs w:val="24"/>
        </w:rPr>
        <w:t>equence types of isolates belong to the "others" group</w:t>
      </w:r>
    </w:p>
    <w:tbl>
      <w:tblPr>
        <w:tblStyle w:val="4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855"/>
        <w:gridCol w:w="429"/>
        <w:gridCol w:w="1124"/>
      </w:tblGrid>
      <w:tr w:rsidR="0099743C" w:rsidRPr="00DB5823" w:rsidTr="00997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</w:tcPr>
          <w:p w:rsidR="0099743C" w:rsidRPr="00DB5823" w:rsidRDefault="0099743C" w:rsidP="0060326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B5823">
              <w:rPr>
                <w:rFonts w:asciiTheme="majorBidi" w:hAnsiTheme="majorBidi" w:cstheme="majorBidi"/>
                <w:sz w:val="24"/>
                <w:szCs w:val="24"/>
              </w:rPr>
              <w:t xml:space="preserve">% </w:t>
            </w:r>
          </w:p>
        </w:tc>
        <w:tc>
          <w:tcPr>
            <w:tcW w:w="429" w:type="dxa"/>
          </w:tcPr>
          <w:p w:rsidR="0099743C" w:rsidRPr="00DB5823" w:rsidRDefault="0099743C" w:rsidP="006032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B5823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1124" w:type="dxa"/>
          </w:tcPr>
          <w:p w:rsidR="0099743C" w:rsidRPr="00DB5823" w:rsidRDefault="0099743C" w:rsidP="006032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ST1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ST4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ST5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ST6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ST7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ST8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ST12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ST14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ST16</w:t>
            </w:r>
          </w:p>
        </w:tc>
      </w:tr>
      <w:tr w:rsidR="0099743C" w:rsidRPr="00DB5823" w:rsidTr="0099743C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ST17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ST21</w:t>
            </w:r>
          </w:p>
        </w:tc>
      </w:tr>
      <w:tr w:rsidR="0099743C" w:rsidRPr="00DB5823" w:rsidTr="0099743C">
        <w:trPr>
          <w:trHeight w:val="30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ST28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ST35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ST36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ST39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ST43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ST48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ST49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ST51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58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ST53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ST59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ST63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ST69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1.60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ST76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ST82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1.28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ST92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ST98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ST102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ST103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1.60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ST110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ST129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ST139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ST149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1.92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ST153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ST160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ST237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ST239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ST301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ST325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1.60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ST421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0.96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ST429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0.64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ST564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ST578</w:t>
            </w:r>
          </w:p>
        </w:tc>
      </w:tr>
      <w:tr w:rsidR="0099743C" w:rsidRPr="00DB5823" w:rsidTr="0099743C">
        <w:trPr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ST604</w:t>
            </w:r>
          </w:p>
        </w:tc>
      </w:tr>
      <w:tr w:rsidR="0099743C" w:rsidRPr="00DB5823" w:rsidTr="0099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DB5823">
              <w:rPr>
                <w:rFonts w:ascii="Calibri" w:eastAsia="Times New Roman" w:hAnsi="Calibri" w:cs="Calibri"/>
                <w:b w:val="0"/>
                <w:bCs w:val="0"/>
                <w:color w:val="000000"/>
              </w:rPr>
              <w:lastRenderedPageBreak/>
              <w:t>0.32</w:t>
            </w:r>
          </w:p>
        </w:tc>
        <w:tc>
          <w:tcPr>
            <w:tcW w:w="429" w:type="dxa"/>
            <w:noWrap/>
            <w:hideMark/>
          </w:tcPr>
          <w:p w:rsidR="0099743C" w:rsidRPr="00DB5823" w:rsidRDefault="0099743C" w:rsidP="00603269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24" w:type="dxa"/>
            <w:noWrap/>
            <w:hideMark/>
          </w:tcPr>
          <w:p w:rsidR="0099743C" w:rsidRPr="00DB5823" w:rsidRDefault="0099743C" w:rsidP="0060326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58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ST1024</w:t>
            </w:r>
          </w:p>
        </w:tc>
      </w:tr>
    </w:tbl>
    <w:p w:rsidR="0099743C" w:rsidRDefault="0099743C" w:rsidP="0099743C">
      <w:pPr>
        <w:bidi w:val="0"/>
      </w:pPr>
    </w:p>
    <w:sectPr w:rsidR="0099743C" w:rsidSect="004958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3C"/>
    <w:rsid w:val="0049582D"/>
    <w:rsid w:val="0099743C"/>
    <w:rsid w:val="00F4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E238"/>
  <w15:chartTrackingRefBased/>
  <w15:docId w15:val="{19B4CD75-C829-4B50-B690-7C913F83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9974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אזרד</dc:creator>
  <cp:keywords/>
  <dc:description/>
  <cp:lastModifiedBy>מאיה אזרד</cp:lastModifiedBy>
  <cp:revision>1</cp:revision>
  <dcterms:created xsi:type="dcterms:W3CDTF">2024-07-30T08:25:00Z</dcterms:created>
  <dcterms:modified xsi:type="dcterms:W3CDTF">2024-07-30T08:26:00Z</dcterms:modified>
</cp:coreProperties>
</file>