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2F25E" w14:textId="77777777" w:rsidR="004F2924" w:rsidRPr="00F44756" w:rsidRDefault="004F2924" w:rsidP="00F44756">
      <w:pPr>
        <w:spacing w:line="360" w:lineRule="auto"/>
        <w:jc w:val="both"/>
        <w:rPr>
          <w:rFonts w:ascii="Times New Roman" w:eastAsia="Times New Roman" w:hAnsi="Times New Roman" w:cs="Times New Roman"/>
          <w:b/>
          <w:sz w:val="24"/>
          <w:szCs w:val="24"/>
        </w:rPr>
      </w:pPr>
    </w:p>
    <w:p w14:paraId="353E1761" w14:textId="77777777" w:rsidR="006A4E9F" w:rsidRPr="00F44756" w:rsidRDefault="006A4E9F" w:rsidP="00F44756">
      <w:pPr>
        <w:spacing w:line="360" w:lineRule="auto"/>
        <w:jc w:val="both"/>
        <w:rPr>
          <w:rFonts w:ascii="Times New Roman" w:eastAsia="Times New Roman" w:hAnsi="Times New Roman" w:cs="Times New Roman"/>
          <w:b/>
          <w:sz w:val="24"/>
          <w:szCs w:val="24"/>
        </w:rPr>
      </w:pPr>
    </w:p>
    <w:p w14:paraId="038B5D95" w14:textId="4DC41948" w:rsidR="00A1170A" w:rsidRPr="00F44756" w:rsidRDefault="006A4E9F" w:rsidP="00F44756">
      <w:pPr>
        <w:spacing w:line="360" w:lineRule="auto"/>
        <w:jc w:val="both"/>
        <w:rPr>
          <w:rFonts w:ascii="Times New Roman" w:eastAsia="Times New Roman" w:hAnsi="Times New Roman" w:cs="Times New Roman"/>
          <w:sz w:val="24"/>
          <w:szCs w:val="24"/>
        </w:rPr>
      </w:pPr>
      <w:r w:rsidRPr="00F44756">
        <w:rPr>
          <w:rFonts w:ascii="Times New Roman" w:eastAsia="Times New Roman" w:hAnsi="Times New Roman" w:cs="Times New Roman"/>
          <w:b/>
          <w:sz w:val="24"/>
          <w:szCs w:val="24"/>
        </w:rPr>
        <w:t>Background</w:t>
      </w:r>
      <w:r w:rsidR="00A1170A" w:rsidRPr="00F44756">
        <w:rPr>
          <w:rFonts w:ascii="Times New Roman" w:eastAsia="Times New Roman" w:hAnsi="Times New Roman" w:cs="Times New Roman"/>
          <w:sz w:val="24"/>
          <w:szCs w:val="24"/>
        </w:rPr>
        <w:t xml:space="preserve"> </w:t>
      </w:r>
    </w:p>
    <w:p w14:paraId="1491C571" w14:textId="77777777" w:rsidR="00A1170A" w:rsidRPr="00F44756" w:rsidRDefault="00A1170A" w:rsidP="00F44756">
      <w:pPr>
        <w:spacing w:line="360" w:lineRule="auto"/>
        <w:jc w:val="both"/>
        <w:rPr>
          <w:rFonts w:ascii="Times New Roman" w:eastAsia="Times New Roman" w:hAnsi="Times New Roman" w:cs="Times New Roman"/>
          <w:sz w:val="24"/>
          <w:szCs w:val="24"/>
        </w:rPr>
      </w:pPr>
      <w:r w:rsidRPr="00F44756">
        <w:rPr>
          <w:rFonts w:ascii="Times New Roman" w:eastAsia="Times New Roman" w:hAnsi="Times New Roman" w:cs="Times New Roman"/>
          <w:sz w:val="24"/>
          <w:szCs w:val="24"/>
        </w:rPr>
        <w:t xml:space="preserve">Globally, 2.6 million neonates die every year, with 90% of these deaths occurring in Low and Middle-Income Countries. The top three causes of neonatal deaths are </w:t>
      </w:r>
      <w:sdt>
        <w:sdtPr>
          <w:rPr>
            <w:rFonts w:ascii="Times New Roman" w:hAnsi="Times New Roman" w:cs="Times New Roman"/>
            <w:sz w:val="24"/>
            <w:szCs w:val="24"/>
          </w:rPr>
          <w:tag w:val="goog_rdk_25"/>
          <w:id w:val="2027371391"/>
        </w:sdtPr>
        <w:sdtContent>
          <w:r w:rsidRPr="00F44756">
            <w:rPr>
              <w:rFonts w:ascii="Times New Roman" w:eastAsia="Times New Roman" w:hAnsi="Times New Roman" w:cs="Times New Roman"/>
              <w:sz w:val="24"/>
              <w:szCs w:val="24"/>
            </w:rPr>
            <w:t>b</w:t>
          </w:r>
        </w:sdtContent>
      </w:sdt>
      <w:r w:rsidRPr="00F44756">
        <w:rPr>
          <w:rFonts w:ascii="Times New Roman" w:eastAsia="Times New Roman" w:hAnsi="Times New Roman" w:cs="Times New Roman"/>
          <w:sz w:val="24"/>
          <w:szCs w:val="24"/>
        </w:rPr>
        <w:t xml:space="preserve">irth asphyxia </w:t>
      </w:r>
      <w:sdt>
        <w:sdtPr>
          <w:rPr>
            <w:rFonts w:ascii="Times New Roman" w:hAnsi="Times New Roman" w:cs="Times New Roman"/>
            <w:sz w:val="24"/>
            <w:szCs w:val="24"/>
          </w:rPr>
          <w:tag w:val="goog_rdk_26"/>
          <w:id w:val="-774555955"/>
        </w:sdtPr>
        <w:sdtContent>
          <w:r w:rsidRPr="00F44756">
            <w:rPr>
              <w:rFonts w:ascii="Times New Roman" w:eastAsia="Times New Roman" w:hAnsi="Times New Roman" w:cs="Times New Roman"/>
              <w:sz w:val="24"/>
              <w:szCs w:val="24"/>
            </w:rPr>
            <w:t>at</w:t>
          </w:r>
        </w:sdtContent>
      </w:sdt>
      <w:r w:rsidRPr="00F44756">
        <w:rPr>
          <w:rFonts w:ascii="Times New Roman" w:eastAsia="Times New Roman" w:hAnsi="Times New Roman" w:cs="Times New Roman"/>
          <w:sz w:val="24"/>
          <w:szCs w:val="24"/>
        </w:rPr>
        <w:t xml:space="preserve"> 31%, preterm complications at 25% and infection </w:t>
      </w:r>
      <w:sdt>
        <w:sdtPr>
          <w:rPr>
            <w:rFonts w:ascii="Times New Roman" w:hAnsi="Times New Roman" w:cs="Times New Roman"/>
            <w:sz w:val="24"/>
            <w:szCs w:val="24"/>
          </w:rPr>
          <w:tag w:val="goog_rdk_32"/>
          <w:id w:val="170924404"/>
        </w:sdtPr>
        <w:sdtContent>
          <w:r w:rsidRPr="00F44756">
            <w:rPr>
              <w:rFonts w:ascii="Times New Roman" w:eastAsia="Times New Roman" w:hAnsi="Times New Roman" w:cs="Times New Roman"/>
              <w:sz w:val="24"/>
              <w:szCs w:val="24"/>
            </w:rPr>
            <w:t>at</w:t>
          </w:r>
        </w:sdtContent>
      </w:sdt>
      <w:r w:rsidRPr="00F44756">
        <w:rPr>
          <w:rFonts w:ascii="Times New Roman" w:eastAsia="Times New Roman" w:hAnsi="Times New Roman" w:cs="Times New Roman"/>
          <w:sz w:val="24"/>
          <w:szCs w:val="24"/>
        </w:rPr>
        <w:t xml:space="preserve"> 23%. Infection is the third leading cause of neonatal mortality, which can be acquired during the course of care. Healthcare-acquired infections among neonates are well known to be due to contaminated healthcare facility environments and the hands of healthcare providers. However, information on healthcare providers' adherence to standard guidelines for the prevention and control of neonatal infections has not yet been established in our settings. Therefore, the purpose of this study was to assess HCWs adherence to standard guidelines and HCFs preparedness on prevention and control of neonatal infections.</w:t>
      </w:r>
    </w:p>
    <w:p w14:paraId="37504F40" w14:textId="77777777" w:rsidR="00A1170A" w:rsidRPr="00F44756" w:rsidRDefault="00A1170A" w:rsidP="00F44756">
      <w:pPr>
        <w:spacing w:line="360" w:lineRule="auto"/>
        <w:jc w:val="both"/>
        <w:rPr>
          <w:rFonts w:ascii="Times New Roman" w:eastAsia="Times New Roman" w:hAnsi="Times New Roman" w:cs="Times New Roman"/>
          <w:sz w:val="24"/>
          <w:szCs w:val="24"/>
        </w:rPr>
      </w:pPr>
      <w:r w:rsidRPr="00F44756">
        <w:rPr>
          <w:rFonts w:ascii="Times New Roman" w:eastAsia="Times New Roman" w:hAnsi="Times New Roman" w:cs="Times New Roman"/>
          <w:b/>
          <w:sz w:val="24"/>
          <w:szCs w:val="24"/>
        </w:rPr>
        <w:t>Methods:</w:t>
      </w:r>
      <w:r w:rsidRPr="00F44756">
        <w:rPr>
          <w:rFonts w:ascii="Times New Roman" w:eastAsia="Times New Roman" w:hAnsi="Times New Roman" w:cs="Times New Roman"/>
          <w:sz w:val="24"/>
          <w:szCs w:val="24"/>
        </w:rPr>
        <w:t xml:space="preserve"> This study was an analytical cross-sectional study using a quantitative approach and enrolled 203 healthcare workers working in primary and secondary healthcare facilities in Dodoma Region. The study used standardized self-administered questionnaires, observation checklists and documentary review checklists to collect data from participants. The data analysis was performed using IBM SPSS version 27 whereby descriptive statistics were employed to describe the frequency distribution of the study variables, while a Chi – square were used to describe the relationship between the variables and logistics regression model predict factors associated with HCWs adherence to standard guidelines on prevention and control of neonatal infection. The odds ratio and 95% confidence interval were reported and P-value of 0.05 considered statistically significant</w:t>
      </w:r>
      <w:r w:rsidRPr="00F44756">
        <w:rPr>
          <w:rFonts w:ascii="Times New Roman" w:hAnsi="Times New Roman" w:cs="Times New Roman"/>
          <w:sz w:val="24"/>
          <w:szCs w:val="24"/>
        </w:rPr>
        <w:t xml:space="preserve">. </w:t>
      </w:r>
      <w:r w:rsidRPr="00F44756">
        <w:rPr>
          <w:rFonts w:ascii="Times New Roman" w:eastAsia="Times New Roman" w:hAnsi="Times New Roman" w:cs="Times New Roman"/>
          <w:sz w:val="24"/>
          <w:szCs w:val="24"/>
        </w:rPr>
        <w:t xml:space="preserve">The study was conducted for eight months within primary and secondary healthcare facilities in Dodoma Region. The high prevalence of neonatal infection and lack of studies focusing on this population, raised the need to conduct this study.  </w:t>
      </w:r>
    </w:p>
    <w:p w14:paraId="1EFD23DE" w14:textId="77777777" w:rsidR="00A1170A" w:rsidRPr="00F44756" w:rsidRDefault="00A1170A" w:rsidP="00F44756">
      <w:pPr>
        <w:spacing w:line="360" w:lineRule="auto"/>
        <w:jc w:val="both"/>
        <w:rPr>
          <w:rFonts w:ascii="Times New Roman" w:eastAsia="Times New Roman" w:hAnsi="Times New Roman" w:cs="Times New Roman"/>
          <w:b/>
          <w:sz w:val="24"/>
          <w:szCs w:val="24"/>
        </w:rPr>
      </w:pPr>
      <w:r w:rsidRPr="00F44756">
        <w:rPr>
          <w:rFonts w:ascii="Times New Roman" w:eastAsia="Times New Roman" w:hAnsi="Times New Roman" w:cs="Times New Roman"/>
          <w:b/>
          <w:sz w:val="24"/>
          <w:szCs w:val="24"/>
        </w:rPr>
        <w:t xml:space="preserve">Results: </w:t>
      </w:r>
      <w:r w:rsidRPr="00F44756">
        <w:rPr>
          <w:rFonts w:ascii="Times New Roman" w:eastAsia="Times New Roman" w:hAnsi="Times New Roman" w:cs="Times New Roman"/>
          <w:sz w:val="24"/>
          <w:szCs w:val="24"/>
        </w:rPr>
        <w:t>A total of 203 HCWs were recruited from</w:t>
      </w:r>
      <w:r w:rsidRPr="00F44756">
        <w:rPr>
          <w:rFonts w:ascii="Times New Roman" w:hAnsi="Times New Roman" w:cs="Times New Roman"/>
          <w:sz w:val="24"/>
          <w:szCs w:val="24"/>
        </w:rPr>
        <w:t xml:space="preserve"> </w:t>
      </w:r>
      <w:r w:rsidRPr="00F44756">
        <w:rPr>
          <w:rFonts w:ascii="Times New Roman" w:eastAsia="Times New Roman" w:hAnsi="Times New Roman" w:cs="Times New Roman"/>
          <w:sz w:val="24"/>
          <w:szCs w:val="24"/>
        </w:rPr>
        <w:t>7 healthcare facilities.</w:t>
      </w:r>
      <w:r w:rsidRPr="00F44756">
        <w:rPr>
          <w:rFonts w:ascii="Times New Roman" w:eastAsia="Times New Roman" w:hAnsi="Times New Roman" w:cs="Times New Roman"/>
          <w:b/>
          <w:sz w:val="24"/>
          <w:szCs w:val="24"/>
        </w:rPr>
        <w:t xml:space="preserve"> </w:t>
      </w:r>
      <w:r w:rsidRPr="00F44756">
        <w:rPr>
          <w:rFonts w:ascii="Times New Roman" w:eastAsia="Times New Roman" w:hAnsi="Times New Roman" w:cs="Times New Roman"/>
          <w:sz w:val="24"/>
          <w:szCs w:val="24"/>
        </w:rPr>
        <w:t xml:space="preserve">The prevalence of healthcare adherence to standard guidelines on prevention and control of neonatal infection was 58%. </w:t>
      </w:r>
      <w:sdt>
        <w:sdtPr>
          <w:rPr>
            <w:rFonts w:ascii="Times New Roman" w:hAnsi="Times New Roman" w:cs="Times New Roman"/>
            <w:sz w:val="24"/>
            <w:szCs w:val="24"/>
          </w:rPr>
          <w:tag w:val="goog_rdk_54"/>
          <w:id w:val="471104521"/>
        </w:sdtPr>
        <w:sdtContent>
          <w:r w:rsidRPr="00F44756">
            <w:rPr>
              <w:rFonts w:ascii="Times New Roman" w:eastAsia="Times New Roman" w:hAnsi="Times New Roman" w:cs="Times New Roman"/>
              <w:sz w:val="24"/>
              <w:szCs w:val="24"/>
            </w:rPr>
            <w:t>A</w:t>
          </w:r>
        </w:sdtContent>
      </w:sdt>
      <w:r w:rsidRPr="00F44756">
        <w:rPr>
          <w:rFonts w:ascii="Times New Roman" w:hAnsi="Times New Roman" w:cs="Times New Roman"/>
          <w:sz w:val="24"/>
          <w:szCs w:val="24"/>
        </w:rPr>
        <w:t xml:space="preserve"> </w:t>
      </w:r>
      <w:r w:rsidRPr="00F44756">
        <w:rPr>
          <w:rFonts w:ascii="Times New Roman" w:eastAsia="Times New Roman" w:hAnsi="Times New Roman" w:cs="Times New Roman"/>
          <w:sz w:val="24"/>
          <w:szCs w:val="24"/>
        </w:rPr>
        <w:t>large percent of the HCW’s demonstrated good knowledge at 87% on prevention and control of neonatal infection, while</w:t>
      </w:r>
      <w:sdt>
        <w:sdtPr>
          <w:rPr>
            <w:rFonts w:ascii="Times New Roman" w:hAnsi="Times New Roman" w:cs="Times New Roman"/>
            <w:sz w:val="24"/>
            <w:szCs w:val="24"/>
          </w:rPr>
          <w:tag w:val="goog_rdk_57"/>
          <w:id w:val="1762564589"/>
        </w:sdtPr>
        <w:sdtContent>
          <w:r w:rsidRPr="00F44756">
            <w:rPr>
              <w:rFonts w:ascii="Times New Roman" w:eastAsia="Times New Roman" w:hAnsi="Times New Roman" w:cs="Times New Roman"/>
              <w:sz w:val="24"/>
              <w:szCs w:val="24"/>
            </w:rPr>
            <w:t xml:space="preserve"> </w:t>
          </w:r>
        </w:sdtContent>
      </w:sdt>
      <w:r w:rsidRPr="00F44756">
        <w:rPr>
          <w:rFonts w:ascii="Times New Roman" w:eastAsia="Times New Roman" w:hAnsi="Times New Roman" w:cs="Times New Roman"/>
          <w:sz w:val="24"/>
          <w:szCs w:val="24"/>
        </w:rPr>
        <w:t xml:space="preserve">the facility’s availability of leadership support and equipment were insufficient at 45% and 65% respectively. The odds of adhering to standard guidelines on </w:t>
      </w:r>
      <w:r w:rsidRPr="00F44756">
        <w:rPr>
          <w:rFonts w:ascii="Times New Roman" w:eastAsia="Times New Roman" w:hAnsi="Times New Roman" w:cs="Times New Roman"/>
          <w:sz w:val="24"/>
          <w:szCs w:val="24"/>
        </w:rPr>
        <w:lastRenderedPageBreak/>
        <w:t>prevention and control of neonatal infection were significantly higher among HCWs aged between 36 to 50 years old (AOR=2.563;95%CI:4.897,11.093), among midwi</w:t>
      </w:r>
      <w:sdt>
        <w:sdtPr>
          <w:rPr>
            <w:rFonts w:ascii="Times New Roman" w:hAnsi="Times New Roman" w:cs="Times New Roman"/>
            <w:sz w:val="24"/>
            <w:szCs w:val="24"/>
          </w:rPr>
          <w:tag w:val="goog_rdk_65"/>
          <w:id w:val="1300027083"/>
        </w:sdtPr>
        <w:sdtContent>
          <w:r w:rsidRPr="00F44756">
            <w:rPr>
              <w:rFonts w:ascii="Times New Roman" w:eastAsia="Times New Roman" w:hAnsi="Times New Roman" w:cs="Times New Roman"/>
              <w:sz w:val="24"/>
              <w:szCs w:val="24"/>
            </w:rPr>
            <w:t>v</w:t>
          </w:r>
        </w:sdtContent>
      </w:sdt>
      <w:r w:rsidRPr="00F44756">
        <w:rPr>
          <w:rFonts w:ascii="Times New Roman" w:eastAsia="Times New Roman" w:hAnsi="Times New Roman" w:cs="Times New Roman"/>
          <w:sz w:val="24"/>
          <w:szCs w:val="24"/>
        </w:rPr>
        <w:t xml:space="preserve">es or nurses (AOR=3.456;95%CI:7.902,24.280), and having adequate knowledge on IPC (AOR=4.017;95%CI:1.420,11.359). </w:t>
      </w:r>
    </w:p>
    <w:p w14:paraId="7055B86A" w14:textId="77777777" w:rsidR="00A1170A" w:rsidRPr="00F44756" w:rsidRDefault="00A1170A" w:rsidP="00F44756">
      <w:pPr>
        <w:spacing w:line="360" w:lineRule="auto"/>
        <w:jc w:val="both"/>
        <w:rPr>
          <w:rFonts w:ascii="Times New Roman" w:eastAsia="Times New Roman" w:hAnsi="Times New Roman" w:cs="Times New Roman"/>
          <w:sz w:val="24"/>
          <w:szCs w:val="24"/>
        </w:rPr>
      </w:pPr>
      <w:r w:rsidRPr="00F44756">
        <w:rPr>
          <w:rFonts w:ascii="Times New Roman" w:eastAsia="Times New Roman" w:hAnsi="Times New Roman" w:cs="Times New Roman"/>
          <w:b/>
          <w:sz w:val="24"/>
          <w:szCs w:val="24"/>
        </w:rPr>
        <w:t xml:space="preserve">Conclusion: </w:t>
      </w:r>
      <w:r w:rsidRPr="00F44756">
        <w:rPr>
          <w:rFonts w:ascii="Times New Roman" w:eastAsia="Times New Roman" w:hAnsi="Times New Roman" w:cs="Times New Roman"/>
          <w:sz w:val="24"/>
          <w:szCs w:val="24"/>
        </w:rPr>
        <w:t xml:space="preserve">This study demonstrated that HCWs adherence to standard guideline but healthcare facilities’ availability of equipment and leadership support were insufficient. HCWs’ exposure to IPC training and being a midwife or nurse, were significantly associated with adherence to IPC standard guidelines on prevention of neonatal infection. In order to bridge this gap, </w:t>
      </w:r>
      <w:sdt>
        <w:sdtPr>
          <w:rPr>
            <w:rFonts w:ascii="Times New Roman" w:hAnsi="Times New Roman" w:cs="Times New Roman"/>
            <w:sz w:val="24"/>
            <w:szCs w:val="24"/>
          </w:rPr>
          <w:tag w:val="goog_rdk_79"/>
          <w:id w:val="-327056903"/>
        </w:sdtPr>
        <w:sdtContent>
          <w:r w:rsidRPr="00F44756">
            <w:rPr>
              <w:rFonts w:ascii="Times New Roman" w:eastAsia="Times New Roman" w:hAnsi="Times New Roman" w:cs="Times New Roman"/>
              <w:sz w:val="24"/>
              <w:szCs w:val="24"/>
            </w:rPr>
            <w:t xml:space="preserve">the </w:t>
          </w:r>
        </w:sdtContent>
      </w:sdt>
      <w:r w:rsidRPr="00F44756">
        <w:rPr>
          <w:rFonts w:ascii="Times New Roman" w:eastAsia="Times New Roman" w:hAnsi="Times New Roman" w:cs="Times New Roman"/>
          <w:sz w:val="24"/>
          <w:szCs w:val="24"/>
        </w:rPr>
        <w:t>healthcare system should be enhance adherence to standard IPC guideline</w:t>
      </w:r>
      <w:sdt>
        <w:sdtPr>
          <w:rPr>
            <w:rFonts w:ascii="Times New Roman" w:hAnsi="Times New Roman" w:cs="Times New Roman"/>
            <w:sz w:val="24"/>
            <w:szCs w:val="24"/>
          </w:rPr>
          <w:tag w:val="goog_rdk_84"/>
          <w:id w:val="-1925563717"/>
        </w:sdtPr>
        <w:sdtContent>
          <w:r w:rsidRPr="00F44756">
            <w:rPr>
              <w:rFonts w:ascii="Times New Roman" w:eastAsia="Times New Roman" w:hAnsi="Times New Roman" w:cs="Times New Roman"/>
              <w:sz w:val="24"/>
              <w:szCs w:val="24"/>
            </w:rPr>
            <w:t>s</w:t>
          </w:r>
        </w:sdtContent>
      </w:sdt>
      <w:r w:rsidRPr="00F44756">
        <w:rPr>
          <w:rFonts w:ascii="Times New Roman" w:eastAsia="Times New Roman" w:hAnsi="Times New Roman" w:cs="Times New Roman"/>
          <w:sz w:val="24"/>
          <w:szCs w:val="24"/>
        </w:rPr>
        <w:t xml:space="preserve"> by ensuring availability of key items like equipment, supplies and leadership support. Quality improvement initiatives including monitoring, mentorship and use of data for decision making to  ensure sustainable quality of care among th</w:t>
      </w:r>
      <w:sdt>
        <w:sdtPr>
          <w:rPr>
            <w:rFonts w:ascii="Times New Roman" w:hAnsi="Times New Roman" w:cs="Times New Roman"/>
            <w:sz w:val="24"/>
            <w:szCs w:val="24"/>
          </w:rPr>
          <w:tag w:val="goog_rdk_91"/>
          <w:id w:val="829110664"/>
        </w:sdtPr>
        <w:sdtContent>
          <w:r w:rsidRPr="00F44756">
            <w:rPr>
              <w:rFonts w:ascii="Times New Roman" w:eastAsia="Times New Roman" w:hAnsi="Times New Roman" w:cs="Times New Roman"/>
              <w:sz w:val="24"/>
              <w:szCs w:val="24"/>
            </w:rPr>
            <w:t>e</w:t>
          </w:r>
        </w:sdtContent>
      </w:sdt>
      <w:r w:rsidRPr="00F44756">
        <w:rPr>
          <w:rFonts w:ascii="Times New Roman" w:hAnsi="Times New Roman" w:cs="Times New Roman"/>
          <w:sz w:val="24"/>
          <w:szCs w:val="24"/>
        </w:rPr>
        <w:t xml:space="preserve"> </w:t>
      </w:r>
      <w:r w:rsidRPr="00F44756">
        <w:rPr>
          <w:rFonts w:ascii="Times New Roman" w:eastAsia="Times New Roman" w:hAnsi="Times New Roman" w:cs="Times New Roman"/>
          <w:sz w:val="24"/>
          <w:szCs w:val="24"/>
        </w:rPr>
        <w:t xml:space="preserve">vulnerable population of newborn babies.  </w:t>
      </w:r>
    </w:p>
    <w:p w14:paraId="24BB63F8" w14:textId="77777777" w:rsidR="006A4E9F" w:rsidRPr="00F44756" w:rsidRDefault="006A4E9F" w:rsidP="00F44756">
      <w:pPr>
        <w:pStyle w:val="Heading1"/>
        <w:rPr>
          <w:rFonts w:eastAsiaTheme="minorHAnsi" w:cs="Times New Roman"/>
          <w:b w:val="0"/>
          <w:kern w:val="2"/>
          <w:szCs w:val="24"/>
          <w:lang w:eastAsia="en-US"/>
          <w14:ligatures w14:val="standardContextual"/>
        </w:rPr>
      </w:pPr>
    </w:p>
    <w:sectPr w:rsidR="006A4E9F" w:rsidRPr="00F4475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BEAF3" w14:textId="77777777" w:rsidR="008F67AA" w:rsidRDefault="008F67AA">
      <w:pPr>
        <w:spacing w:after="0" w:line="240" w:lineRule="auto"/>
      </w:pPr>
      <w:r>
        <w:separator/>
      </w:r>
    </w:p>
  </w:endnote>
  <w:endnote w:type="continuationSeparator" w:id="0">
    <w:p w14:paraId="32641DDE" w14:textId="77777777" w:rsidR="008F67AA" w:rsidRDefault="008F67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9E615" w14:textId="183C9C3B" w:rsidR="00955F71" w:rsidRDefault="00955F71">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216E85">
      <w:rPr>
        <w:rFonts w:ascii="Times New Roman" w:eastAsia="Times New Roman" w:hAnsi="Times New Roman" w:cs="Times New Roman"/>
        <w:noProof/>
        <w:color w:val="000000"/>
        <w:sz w:val="24"/>
        <w:szCs w:val="24"/>
      </w:rPr>
      <w:t>11</w:t>
    </w:r>
    <w:r>
      <w:rPr>
        <w:rFonts w:ascii="Times New Roman" w:eastAsia="Times New Roman" w:hAnsi="Times New Roman" w:cs="Times New Roman"/>
        <w:color w:val="00000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4BC40" w14:textId="77777777" w:rsidR="008F67AA" w:rsidRDefault="008F67AA">
      <w:pPr>
        <w:spacing w:after="0" w:line="240" w:lineRule="auto"/>
      </w:pPr>
      <w:r>
        <w:separator/>
      </w:r>
    </w:p>
  </w:footnote>
  <w:footnote w:type="continuationSeparator" w:id="0">
    <w:p w14:paraId="12EDE7CD" w14:textId="77777777" w:rsidR="008F67AA" w:rsidRDefault="008F67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7FD7"/>
    <w:multiLevelType w:val="multilevel"/>
    <w:tmpl w:val="7F541F3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1CE59CB"/>
    <w:multiLevelType w:val="multilevel"/>
    <w:tmpl w:val="F746BE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3E75867"/>
    <w:multiLevelType w:val="multilevel"/>
    <w:tmpl w:val="78CCA9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2039D6"/>
    <w:multiLevelType w:val="multilevel"/>
    <w:tmpl w:val="EB5CC4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6D60042"/>
    <w:multiLevelType w:val="multilevel"/>
    <w:tmpl w:val="18A840FA"/>
    <w:lvl w:ilvl="0">
      <w:start w:val="4"/>
      <w:numFmt w:val="decimal"/>
      <w:lvlText w:val="%1."/>
      <w:lvlJc w:val="left"/>
      <w:pPr>
        <w:ind w:left="360" w:hanging="360"/>
      </w:pPr>
      <w:rPr>
        <w:color w:val="FF0000"/>
      </w:rPr>
    </w:lvl>
    <w:lvl w:ilvl="1">
      <w:start w:val="2"/>
      <w:numFmt w:val="decimal"/>
      <w:lvlText w:val="%1.%2."/>
      <w:lvlJc w:val="left"/>
      <w:pPr>
        <w:ind w:left="644" w:hanging="359"/>
      </w:pPr>
      <w:rPr>
        <w:color w:val="000000"/>
      </w:rPr>
    </w:lvl>
    <w:lvl w:ilvl="2">
      <w:start w:val="1"/>
      <w:numFmt w:val="decimal"/>
      <w:lvlText w:val="%1.%2.%3."/>
      <w:lvlJc w:val="left"/>
      <w:pPr>
        <w:ind w:left="1440" w:hanging="720"/>
      </w:pPr>
      <w:rPr>
        <w:color w:val="000000"/>
      </w:rPr>
    </w:lvl>
    <w:lvl w:ilvl="3">
      <w:start w:val="1"/>
      <w:numFmt w:val="decimal"/>
      <w:lvlText w:val="%1.%2.%3.%4."/>
      <w:lvlJc w:val="left"/>
      <w:pPr>
        <w:ind w:left="1800" w:hanging="720"/>
      </w:pPr>
      <w:rPr>
        <w:color w:val="FF0000"/>
      </w:rPr>
    </w:lvl>
    <w:lvl w:ilvl="4">
      <w:start w:val="1"/>
      <w:numFmt w:val="decimal"/>
      <w:lvlText w:val="%1.%2.%3.%4.%5."/>
      <w:lvlJc w:val="left"/>
      <w:pPr>
        <w:ind w:left="2520" w:hanging="1080"/>
      </w:pPr>
      <w:rPr>
        <w:color w:val="FF0000"/>
      </w:rPr>
    </w:lvl>
    <w:lvl w:ilvl="5">
      <w:start w:val="1"/>
      <w:numFmt w:val="decimal"/>
      <w:lvlText w:val="%1.%2.%3.%4.%5.%6."/>
      <w:lvlJc w:val="left"/>
      <w:pPr>
        <w:ind w:left="2880" w:hanging="1080"/>
      </w:pPr>
      <w:rPr>
        <w:color w:val="FF0000"/>
      </w:rPr>
    </w:lvl>
    <w:lvl w:ilvl="6">
      <w:start w:val="1"/>
      <w:numFmt w:val="decimal"/>
      <w:lvlText w:val="%1.%2.%3.%4.%5.%6.%7."/>
      <w:lvlJc w:val="left"/>
      <w:pPr>
        <w:ind w:left="3600" w:hanging="1440"/>
      </w:pPr>
      <w:rPr>
        <w:color w:val="FF0000"/>
      </w:rPr>
    </w:lvl>
    <w:lvl w:ilvl="7">
      <w:start w:val="1"/>
      <w:numFmt w:val="decimal"/>
      <w:lvlText w:val="%1.%2.%3.%4.%5.%6.%7.%8."/>
      <w:lvlJc w:val="left"/>
      <w:pPr>
        <w:ind w:left="3960" w:hanging="1440"/>
      </w:pPr>
      <w:rPr>
        <w:color w:val="FF0000"/>
      </w:rPr>
    </w:lvl>
    <w:lvl w:ilvl="8">
      <w:start w:val="1"/>
      <w:numFmt w:val="decimal"/>
      <w:lvlText w:val="%1.%2.%3.%4.%5.%6.%7.%8.%9."/>
      <w:lvlJc w:val="left"/>
      <w:pPr>
        <w:ind w:left="4680" w:hanging="1800"/>
      </w:pPr>
      <w:rPr>
        <w:color w:val="FF0000"/>
      </w:rPr>
    </w:lvl>
  </w:abstractNum>
  <w:abstractNum w:abstractNumId="5" w15:restartNumberingAfterBreak="0">
    <w:nsid w:val="0A7C6FB6"/>
    <w:multiLevelType w:val="multilevel"/>
    <w:tmpl w:val="C57CD89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C64199A"/>
    <w:multiLevelType w:val="multilevel"/>
    <w:tmpl w:val="A1D627F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CF7235D"/>
    <w:multiLevelType w:val="multilevel"/>
    <w:tmpl w:val="A19C8C84"/>
    <w:lvl w:ilvl="0">
      <w:start w:val="1"/>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130255C6"/>
    <w:multiLevelType w:val="multilevel"/>
    <w:tmpl w:val="A4609C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3DD34F9"/>
    <w:multiLevelType w:val="multilevel"/>
    <w:tmpl w:val="D046C5AC"/>
    <w:lvl w:ilvl="0">
      <w:start w:val="1"/>
      <w:numFmt w:val="decimal"/>
      <w:lvlText w:val="%1."/>
      <w:lvlJc w:val="left"/>
      <w:pPr>
        <w:ind w:left="502"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14EC654F"/>
    <w:multiLevelType w:val="multilevel"/>
    <w:tmpl w:val="9D101B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ED14B2"/>
    <w:multiLevelType w:val="multilevel"/>
    <w:tmpl w:val="30EA0C7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1F647114"/>
    <w:multiLevelType w:val="multilevel"/>
    <w:tmpl w:val="C3182610"/>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25DF179B"/>
    <w:multiLevelType w:val="multilevel"/>
    <w:tmpl w:val="A76204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6DB4DEB"/>
    <w:multiLevelType w:val="multilevel"/>
    <w:tmpl w:val="08B8FA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73F5A22"/>
    <w:multiLevelType w:val="multilevel"/>
    <w:tmpl w:val="154E983E"/>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15:restartNumberingAfterBreak="0">
    <w:nsid w:val="2FFF7C9D"/>
    <w:multiLevelType w:val="multilevel"/>
    <w:tmpl w:val="B09249B8"/>
    <w:lvl w:ilvl="0">
      <w:start w:val="1"/>
      <w:numFmt w:val="decimal"/>
      <w:lvlText w:val="%1."/>
      <w:lvlJc w:val="left"/>
      <w:pPr>
        <w:ind w:left="502"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33145606"/>
    <w:multiLevelType w:val="multilevel"/>
    <w:tmpl w:val="C332F1D0"/>
    <w:lvl w:ilvl="0">
      <w:start w:val="5"/>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15:restartNumberingAfterBreak="0">
    <w:nsid w:val="36DA03C8"/>
    <w:multiLevelType w:val="multilevel"/>
    <w:tmpl w:val="9620EE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79224A0"/>
    <w:multiLevelType w:val="multilevel"/>
    <w:tmpl w:val="6DA4981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A8131B0"/>
    <w:multiLevelType w:val="multilevel"/>
    <w:tmpl w:val="BDA2759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C583899"/>
    <w:multiLevelType w:val="multilevel"/>
    <w:tmpl w:val="21DAFDB2"/>
    <w:lvl w:ilvl="0">
      <w:start w:val="1"/>
      <w:numFmt w:val="decimal"/>
      <w:lvlText w:val="%1."/>
      <w:lvlJc w:val="left"/>
      <w:pPr>
        <w:ind w:left="500" w:hanging="360"/>
      </w:pPr>
      <w:rPr>
        <w:sz w:val="24"/>
        <w:szCs w:val="24"/>
      </w:rPr>
    </w:lvl>
    <w:lvl w:ilvl="1">
      <w:numFmt w:val="bullet"/>
      <w:lvlText w:val="•"/>
      <w:lvlJc w:val="left"/>
      <w:pPr>
        <w:ind w:left="1344" w:hanging="360"/>
      </w:pPr>
    </w:lvl>
    <w:lvl w:ilvl="2">
      <w:numFmt w:val="bullet"/>
      <w:lvlText w:val="•"/>
      <w:lvlJc w:val="left"/>
      <w:pPr>
        <w:ind w:left="2189" w:hanging="360"/>
      </w:pPr>
    </w:lvl>
    <w:lvl w:ilvl="3">
      <w:numFmt w:val="bullet"/>
      <w:lvlText w:val="•"/>
      <w:lvlJc w:val="left"/>
      <w:pPr>
        <w:ind w:left="3033" w:hanging="360"/>
      </w:pPr>
    </w:lvl>
    <w:lvl w:ilvl="4">
      <w:numFmt w:val="bullet"/>
      <w:lvlText w:val="•"/>
      <w:lvlJc w:val="left"/>
      <w:pPr>
        <w:ind w:left="3878" w:hanging="360"/>
      </w:pPr>
    </w:lvl>
    <w:lvl w:ilvl="5">
      <w:numFmt w:val="bullet"/>
      <w:lvlText w:val="•"/>
      <w:lvlJc w:val="left"/>
      <w:pPr>
        <w:ind w:left="4723" w:hanging="360"/>
      </w:pPr>
    </w:lvl>
    <w:lvl w:ilvl="6">
      <w:numFmt w:val="bullet"/>
      <w:lvlText w:val="•"/>
      <w:lvlJc w:val="left"/>
      <w:pPr>
        <w:ind w:left="5567" w:hanging="360"/>
      </w:pPr>
    </w:lvl>
    <w:lvl w:ilvl="7">
      <w:numFmt w:val="bullet"/>
      <w:lvlText w:val="•"/>
      <w:lvlJc w:val="left"/>
      <w:pPr>
        <w:ind w:left="6412" w:hanging="360"/>
      </w:pPr>
    </w:lvl>
    <w:lvl w:ilvl="8">
      <w:numFmt w:val="bullet"/>
      <w:lvlText w:val="•"/>
      <w:lvlJc w:val="left"/>
      <w:pPr>
        <w:ind w:left="7257" w:hanging="360"/>
      </w:pPr>
    </w:lvl>
  </w:abstractNum>
  <w:abstractNum w:abstractNumId="22" w15:restartNumberingAfterBreak="0">
    <w:nsid w:val="3DDC6EF3"/>
    <w:multiLevelType w:val="multilevel"/>
    <w:tmpl w:val="6C488E2C"/>
    <w:lvl w:ilvl="0">
      <w:start w:val="2"/>
      <w:numFmt w:val="decimal"/>
      <w:lvlText w:val="%1."/>
      <w:lvlJc w:val="left"/>
      <w:pPr>
        <w:ind w:left="540" w:hanging="540"/>
      </w:pPr>
    </w:lvl>
    <w:lvl w:ilvl="1">
      <w:start w:val="1"/>
      <w:numFmt w:val="decimal"/>
      <w:lvlText w:val="%1.%2."/>
      <w:lvlJc w:val="left"/>
      <w:pPr>
        <w:ind w:left="540" w:hanging="540"/>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15:restartNumberingAfterBreak="0">
    <w:nsid w:val="416033AA"/>
    <w:multiLevelType w:val="multilevel"/>
    <w:tmpl w:val="7A14AED4"/>
    <w:lvl w:ilvl="0">
      <w:start w:val="3"/>
      <w:numFmt w:val="decimal"/>
      <w:lvlText w:val="%1."/>
      <w:lvlJc w:val="left"/>
      <w:pPr>
        <w:ind w:left="480" w:hanging="480"/>
      </w:pPr>
      <w:rPr>
        <w:color w:val="000000"/>
      </w:rPr>
    </w:lvl>
    <w:lvl w:ilvl="1">
      <w:start w:val="11"/>
      <w:numFmt w:val="decimal"/>
      <w:lvlText w:val="%1.%2."/>
      <w:lvlJc w:val="left"/>
      <w:pPr>
        <w:ind w:left="480" w:hanging="48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24" w15:restartNumberingAfterBreak="0">
    <w:nsid w:val="49F157B5"/>
    <w:multiLevelType w:val="multilevel"/>
    <w:tmpl w:val="1472C382"/>
    <w:lvl w:ilvl="0">
      <w:start w:val="20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A920E08"/>
    <w:multiLevelType w:val="multilevel"/>
    <w:tmpl w:val="FB1E5C7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4BB35A06"/>
    <w:multiLevelType w:val="multilevel"/>
    <w:tmpl w:val="A972EE2E"/>
    <w:lvl w:ilvl="0">
      <w:start w:val="1"/>
      <w:numFmt w:val="upperLetter"/>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4C5068A9"/>
    <w:multiLevelType w:val="multilevel"/>
    <w:tmpl w:val="E430B5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4D127905"/>
    <w:multiLevelType w:val="multilevel"/>
    <w:tmpl w:val="0B201B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0627390"/>
    <w:multiLevelType w:val="multilevel"/>
    <w:tmpl w:val="3FF4D558"/>
    <w:lvl w:ilvl="0">
      <w:start w:val="1"/>
      <w:numFmt w:val="decimal"/>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0" w15:restartNumberingAfterBreak="0">
    <w:nsid w:val="53EF4362"/>
    <w:multiLevelType w:val="multilevel"/>
    <w:tmpl w:val="B078948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1" w15:restartNumberingAfterBreak="0">
    <w:nsid w:val="548A788D"/>
    <w:multiLevelType w:val="multilevel"/>
    <w:tmpl w:val="F9327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4A040D6"/>
    <w:multiLevelType w:val="multilevel"/>
    <w:tmpl w:val="2C643F48"/>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55381C6D"/>
    <w:multiLevelType w:val="multilevel"/>
    <w:tmpl w:val="4CE8DF4E"/>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5BC27D29"/>
    <w:multiLevelType w:val="multilevel"/>
    <w:tmpl w:val="A20ADBC8"/>
    <w:lvl w:ilvl="0">
      <w:start w:val="1"/>
      <w:numFmt w:val="lowerRoman"/>
      <w:lvlText w:val="%1."/>
      <w:lvlJc w:val="right"/>
      <w:pPr>
        <w:ind w:left="502"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652E6D56"/>
    <w:multiLevelType w:val="multilevel"/>
    <w:tmpl w:val="78E4406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D150D21"/>
    <w:multiLevelType w:val="multilevel"/>
    <w:tmpl w:val="9EB2B118"/>
    <w:lvl w:ilvl="0">
      <w:start w:val="1"/>
      <w:numFmt w:val="lowerLetter"/>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E7B3C0A"/>
    <w:multiLevelType w:val="multilevel"/>
    <w:tmpl w:val="301E53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8" w15:restartNumberingAfterBreak="0">
    <w:nsid w:val="71B27D95"/>
    <w:multiLevelType w:val="multilevel"/>
    <w:tmpl w:val="0C3E2436"/>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741F0886"/>
    <w:multiLevelType w:val="multilevel"/>
    <w:tmpl w:val="49C80D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52969EB"/>
    <w:multiLevelType w:val="multilevel"/>
    <w:tmpl w:val="5B7AC37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7B344FF6"/>
    <w:multiLevelType w:val="multilevel"/>
    <w:tmpl w:val="C6FAFCE6"/>
    <w:lvl w:ilvl="0">
      <w:start w:val="2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3741804">
    <w:abstractNumId w:val="30"/>
  </w:num>
  <w:num w:numId="2" w16cid:durableId="2146578366">
    <w:abstractNumId w:val="24"/>
  </w:num>
  <w:num w:numId="3" w16cid:durableId="2142653532">
    <w:abstractNumId w:val="38"/>
  </w:num>
  <w:num w:numId="4" w16cid:durableId="18434423">
    <w:abstractNumId w:val="29"/>
  </w:num>
  <w:num w:numId="5" w16cid:durableId="323242470">
    <w:abstractNumId w:val="13"/>
  </w:num>
  <w:num w:numId="6" w16cid:durableId="512381403">
    <w:abstractNumId w:val="22"/>
  </w:num>
  <w:num w:numId="7" w16cid:durableId="268388992">
    <w:abstractNumId w:val="27"/>
  </w:num>
  <w:num w:numId="8" w16cid:durableId="912928535">
    <w:abstractNumId w:val="19"/>
  </w:num>
  <w:num w:numId="9" w16cid:durableId="151525514">
    <w:abstractNumId w:val="0"/>
  </w:num>
  <w:num w:numId="10" w16cid:durableId="1724712257">
    <w:abstractNumId w:val="25"/>
  </w:num>
  <w:num w:numId="11" w16cid:durableId="1080249893">
    <w:abstractNumId w:val="6"/>
  </w:num>
  <w:num w:numId="12" w16cid:durableId="597912081">
    <w:abstractNumId w:val="9"/>
  </w:num>
  <w:num w:numId="13" w16cid:durableId="1148860602">
    <w:abstractNumId w:val="37"/>
  </w:num>
  <w:num w:numId="14" w16cid:durableId="1980257962">
    <w:abstractNumId w:val="20"/>
  </w:num>
  <w:num w:numId="15" w16cid:durableId="1824201804">
    <w:abstractNumId w:val="16"/>
  </w:num>
  <w:num w:numId="16" w16cid:durableId="361633028">
    <w:abstractNumId w:val="31"/>
  </w:num>
  <w:num w:numId="17" w16cid:durableId="319777399">
    <w:abstractNumId w:val="23"/>
  </w:num>
  <w:num w:numId="18" w16cid:durableId="311177679">
    <w:abstractNumId w:val="21"/>
  </w:num>
  <w:num w:numId="19" w16cid:durableId="718942530">
    <w:abstractNumId w:val="8"/>
  </w:num>
  <w:num w:numId="20" w16cid:durableId="1161000222">
    <w:abstractNumId w:val="32"/>
  </w:num>
  <w:num w:numId="21" w16cid:durableId="805245114">
    <w:abstractNumId w:val="3"/>
  </w:num>
  <w:num w:numId="22" w16cid:durableId="26762210">
    <w:abstractNumId w:val="5"/>
  </w:num>
  <w:num w:numId="23" w16cid:durableId="85883721">
    <w:abstractNumId w:val="35"/>
  </w:num>
  <w:num w:numId="24" w16cid:durableId="1507938892">
    <w:abstractNumId w:val="36"/>
  </w:num>
  <w:num w:numId="25" w16cid:durableId="1680960853">
    <w:abstractNumId w:val="17"/>
  </w:num>
  <w:num w:numId="26" w16cid:durableId="162821939">
    <w:abstractNumId w:val="15"/>
  </w:num>
  <w:num w:numId="27" w16cid:durableId="1079057219">
    <w:abstractNumId w:val="7"/>
  </w:num>
  <w:num w:numId="28" w16cid:durableId="402682632">
    <w:abstractNumId w:val="14"/>
  </w:num>
  <w:num w:numId="29" w16cid:durableId="800151557">
    <w:abstractNumId w:val="1"/>
  </w:num>
  <w:num w:numId="30" w16cid:durableId="1648049802">
    <w:abstractNumId w:val="39"/>
  </w:num>
  <w:num w:numId="31" w16cid:durableId="902326232">
    <w:abstractNumId w:val="2"/>
  </w:num>
  <w:num w:numId="32" w16cid:durableId="1604605015">
    <w:abstractNumId w:val="33"/>
  </w:num>
  <w:num w:numId="33" w16cid:durableId="1977643544">
    <w:abstractNumId w:val="18"/>
  </w:num>
  <w:num w:numId="34" w16cid:durableId="26638337">
    <w:abstractNumId w:val="34"/>
  </w:num>
  <w:num w:numId="35" w16cid:durableId="1375160327">
    <w:abstractNumId w:val="4"/>
  </w:num>
  <w:num w:numId="36" w16cid:durableId="885021111">
    <w:abstractNumId w:val="11"/>
  </w:num>
  <w:num w:numId="37" w16cid:durableId="991980110">
    <w:abstractNumId w:val="12"/>
  </w:num>
  <w:num w:numId="38" w16cid:durableId="1378357739">
    <w:abstractNumId w:val="28"/>
  </w:num>
  <w:num w:numId="39" w16cid:durableId="100758858">
    <w:abstractNumId w:val="41"/>
  </w:num>
  <w:num w:numId="40" w16cid:durableId="1778795660">
    <w:abstractNumId w:val="26"/>
  </w:num>
  <w:num w:numId="41" w16cid:durableId="1545026382">
    <w:abstractNumId w:val="40"/>
  </w:num>
  <w:num w:numId="42" w16cid:durableId="11453909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822"/>
    <w:rsid w:val="000207B8"/>
    <w:rsid w:val="0003624E"/>
    <w:rsid w:val="000824DE"/>
    <w:rsid w:val="000C07F0"/>
    <w:rsid w:val="00126B90"/>
    <w:rsid w:val="00144160"/>
    <w:rsid w:val="00183DA2"/>
    <w:rsid w:val="001A2848"/>
    <w:rsid w:val="001A376F"/>
    <w:rsid w:val="001F3F9E"/>
    <w:rsid w:val="00216E85"/>
    <w:rsid w:val="00233495"/>
    <w:rsid w:val="002510EA"/>
    <w:rsid w:val="00257A0B"/>
    <w:rsid w:val="002812D4"/>
    <w:rsid w:val="002C117A"/>
    <w:rsid w:val="002F2FD0"/>
    <w:rsid w:val="00354B8F"/>
    <w:rsid w:val="00374822"/>
    <w:rsid w:val="003A4EF9"/>
    <w:rsid w:val="003B23E3"/>
    <w:rsid w:val="003B6BB3"/>
    <w:rsid w:val="003D206B"/>
    <w:rsid w:val="003F4E3B"/>
    <w:rsid w:val="00403F5D"/>
    <w:rsid w:val="00415A67"/>
    <w:rsid w:val="00467078"/>
    <w:rsid w:val="00474922"/>
    <w:rsid w:val="004D7DE4"/>
    <w:rsid w:val="004F2924"/>
    <w:rsid w:val="00547E55"/>
    <w:rsid w:val="00555BB8"/>
    <w:rsid w:val="005C11B3"/>
    <w:rsid w:val="005C5114"/>
    <w:rsid w:val="005C7329"/>
    <w:rsid w:val="005D3113"/>
    <w:rsid w:val="00647D11"/>
    <w:rsid w:val="00657930"/>
    <w:rsid w:val="00675127"/>
    <w:rsid w:val="006A13D1"/>
    <w:rsid w:val="006A4E9F"/>
    <w:rsid w:val="006B4BF3"/>
    <w:rsid w:val="006E4E56"/>
    <w:rsid w:val="006F1703"/>
    <w:rsid w:val="007139CA"/>
    <w:rsid w:val="00724174"/>
    <w:rsid w:val="00744E3E"/>
    <w:rsid w:val="00764F40"/>
    <w:rsid w:val="007C2618"/>
    <w:rsid w:val="007E5FED"/>
    <w:rsid w:val="008108A2"/>
    <w:rsid w:val="00817008"/>
    <w:rsid w:val="00823715"/>
    <w:rsid w:val="00823A91"/>
    <w:rsid w:val="008E1A3D"/>
    <w:rsid w:val="008F67AA"/>
    <w:rsid w:val="00911CBE"/>
    <w:rsid w:val="00937E66"/>
    <w:rsid w:val="00955F71"/>
    <w:rsid w:val="00973E9D"/>
    <w:rsid w:val="00984A1E"/>
    <w:rsid w:val="009F47F7"/>
    <w:rsid w:val="00A10FD5"/>
    <w:rsid w:val="00A1170A"/>
    <w:rsid w:val="00A213C8"/>
    <w:rsid w:val="00A50ADF"/>
    <w:rsid w:val="00A51845"/>
    <w:rsid w:val="00A568CB"/>
    <w:rsid w:val="00A64D75"/>
    <w:rsid w:val="00A951B2"/>
    <w:rsid w:val="00AD23EC"/>
    <w:rsid w:val="00B079EF"/>
    <w:rsid w:val="00B2617E"/>
    <w:rsid w:val="00B4032B"/>
    <w:rsid w:val="00B51C3C"/>
    <w:rsid w:val="00B668AB"/>
    <w:rsid w:val="00B82C92"/>
    <w:rsid w:val="00CA46F1"/>
    <w:rsid w:val="00CB7F9B"/>
    <w:rsid w:val="00CE6AE2"/>
    <w:rsid w:val="00D30AD5"/>
    <w:rsid w:val="00D4024C"/>
    <w:rsid w:val="00D57D4F"/>
    <w:rsid w:val="00DF57FA"/>
    <w:rsid w:val="00E01B3B"/>
    <w:rsid w:val="00E20862"/>
    <w:rsid w:val="00E23A30"/>
    <w:rsid w:val="00E42A13"/>
    <w:rsid w:val="00E504A0"/>
    <w:rsid w:val="00E7258C"/>
    <w:rsid w:val="00E96319"/>
    <w:rsid w:val="00ED58A5"/>
    <w:rsid w:val="00F44756"/>
    <w:rsid w:val="00F53BCB"/>
    <w:rsid w:val="00F84406"/>
    <w:rsid w:val="00F949AC"/>
    <w:rsid w:val="00F9794F"/>
    <w:rsid w:val="00FB24EE"/>
    <w:rsid w:val="00FF02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616F0"/>
  <w15:chartTrackingRefBased/>
  <w15:docId w15:val="{F5074CF7-9AF1-4FFF-A77E-A79A14841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822"/>
    <w:rPr>
      <w:rFonts w:eastAsiaTheme="minorHAnsi"/>
      <w:kern w:val="2"/>
      <w:lang w:eastAsia="en-US"/>
      <w14:ligatures w14:val="standardContextual"/>
    </w:rPr>
  </w:style>
  <w:style w:type="paragraph" w:styleId="Heading1">
    <w:name w:val="heading 1"/>
    <w:basedOn w:val="Normal"/>
    <w:next w:val="Normal"/>
    <w:link w:val="Heading1Char"/>
    <w:rsid w:val="00A1170A"/>
    <w:pPr>
      <w:keepNext/>
      <w:keepLines/>
      <w:spacing w:after="0" w:line="360" w:lineRule="auto"/>
      <w:jc w:val="both"/>
      <w:outlineLvl w:val="0"/>
    </w:pPr>
    <w:rPr>
      <w:rFonts w:ascii="Times New Roman" w:eastAsia="Calibri" w:hAnsi="Times New Roman" w:cs="Calibri"/>
      <w:b/>
      <w:kern w:val="0"/>
      <w:sz w:val="24"/>
      <w:szCs w:val="32"/>
      <w:lang w:eastAsia="ko-KR"/>
      <w14:ligatures w14:val="none"/>
    </w:rPr>
  </w:style>
  <w:style w:type="paragraph" w:styleId="Heading2">
    <w:name w:val="heading 2"/>
    <w:basedOn w:val="Normal"/>
    <w:next w:val="Normal"/>
    <w:link w:val="Heading2Char"/>
    <w:rsid w:val="00A1170A"/>
    <w:pPr>
      <w:keepNext/>
      <w:keepLines/>
      <w:spacing w:before="40" w:after="0"/>
      <w:outlineLvl w:val="1"/>
    </w:pPr>
    <w:rPr>
      <w:rFonts w:ascii="Calibri" w:eastAsia="Calibri" w:hAnsi="Calibri" w:cs="Calibri"/>
      <w:color w:val="2E75B5"/>
      <w:kern w:val="0"/>
      <w:sz w:val="26"/>
      <w:szCs w:val="26"/>
      <w:lang w:eastAsia="ko-KR"/>
      <w14:ligatures w14:val="none"/>
    </w:rPr>
  </w:style>
  <w:style w:type="paragraph" w:styleId="Heading3">
    <w:name w:val="heading 3"/>
    <w:basedOn w:val="Normal"/>
    <w:next w:val="Normal"/>
    <w:link w:val="Heading3Char"/>
    <w:rsid w:val="00A1170A"/>
    <w:pPr>
      <w:keepNext/>
      <w:keepLines/>
      <w:spacing w:before="40" w:after="0"/>
      <w:outlineLvl w:val="2"/>
    </w:pPr>
    <w:rPr>
      <w:rFonts w:ascii="Calibri" w:eastAsia="Calibri" w:hAnsi="Calibri" w:cs="Calibri"/>
      <w:color w:val="1E4D78"/>
      <w:kern w:val="0"/>
      <w:sz w:val="24"/>
      <w:szCs w:val="24"/>
      <w:lang w:eastAsia="ko-KR"/>
      <w14:ligatures w14:val="none"/>
    </w:rPr>
  </w:style>
  <w:style w:type="paragraph" w:styleId="Heading4">
    <w:name w:val="heading 4"/>
    <w:basedOn w:val="Normal"/>
    <w:next w:val="Normal"/>
    <w:link w:val="Heading4Char"/>
    <w:rsid w:val="00A1170A"/>
    <w:pPr>
      <w:keepNext/>
      <w:keepLines/>
      <w:spacing w:before="240" w:after="40"/>
      <w:outlineLvl w:val="3"/>
    </w:pPr>
    <w:rPr>
      <w:rFonts w:ascii="Calibri" w:eastAsia="Calibri" w:hAnsi="Calibri" w:cs="Calibri"/>
      <w:b/>
      <w:kern w:val="0"/>
      <w:sz w:val="24"/>
      <w:szCs w:val="24"/>
      <w:lang w:eastAsia="ko-KR"/>
      <w14:ligatures w14:val="none"/>
    </w:rPr>
  </w:style>
  <w:style w:type="paragraph" w:styleId="Heading5">
    <w:name w:val="heading 5"/>
    <w:basedOn w:val="Normal"/>
    <w:next w:val="Normal"/>
    <w:link w:val="Heading5Char"/>
    <w:rsid w:val="00A1170A"/>
    <w:pPr>
      <w:keepNext/>
      <w:keepLines/>
      <w:spacing w:before="220" w:after="40"/>
      <w:outlineLvl w:val="4"/>
    </w:pPr>
    <w:rPr>
      <w:rFonts w:ascii="Calibri" w:eastAsia="Calibri" w:hAnsi="Calibri" w:cs="Calibri"/>
      <w:b/>
      <w:kern w:val="0"/>
      <w:lang w:eastAsia="ko-KR"/>
      <w14:ligatures w14:val="none"/>
    </w:rPr>
  </w:style>
  <w:style w:type="paragraph" w:styleId="Heading6">
    <w:name w:val="heading 6"/>
    <w:basedOn w:val="Normal"/>
    <w:next w:val="Normal"/>
    <w:link w:val="Heading6Char"/>
    <w:rsid w:val="00A1170A"/>
    <w:pPr>
      <w:keepNext/>
      <w:keepLines/>
      <w:spacing w:before="200" w:after="40"/>
      <w:outlineLvl w:val="5"/>
    </w:pPr>
    <w:rPr>
      <w:rFonts w:ascii="Calibri" w:eastAsia="Calibri" w:hAnsi="Calibri" w:cs="Calibri"/>
      <w:b/>
      <w:kern w:val="0"/>
      <w:sz w:val="20"/>
      <w:szCs w:val="20"/>
      <w:lang w:eastAsia="ko-KR"/>
      <w14:ligatures w14:val="none"/>
    </w:rPr>
  </w:style>
  <w:style w:type="paragraph" w:styleId="Heading7">
    <w:name w:val="heading 7"/>
    <w:basedOn w:val="Heading1"/>
    <w:next w:val="Title"/>
    <w:link w:val="Heading7Char"/>
    <w:uiPriority w:val="9"/>
    <w:unhideWhenUsed/>
    <w:qFormat/>
    <w:rsid w:val="00A1170A"/>
    <w:pPr>
      <w:outlineLvl w:val="6"/>
    </w:pPr>
    <w:rPr>
      <w:rFonts w:eastAsiaTheme="majorEastAsia" w:cstheme="majorBidi"/>
      <w:b w:val="0"/>
      <w:iCs/>
      <w:color w:val="000000" w:themeColor="text1"/>
    </w:rPr>
  </w:style>
  <w:style w:type="paragraph" w:styleId="Heading8">
    <w:name w:val="heading 8"/>
    <w:basedOn w:val="Normal"/>
    <w:next w:val="Normal"/>
    <w:link w:val="Heading8Char"/>
    <w:uiPriority w:val="9"/>
    <w:unhideWhenUsed/>
    <w:qFormat/>
    <w:rsid w:val="00A1170A"/>
    <w:pPr>
      <w:keepNext/>
      <w:keepLines/>
      <w:spacing w:before="40" w:after="0"/>
      <w:outlineLvl w:val="7"/>
    </w:pPr>
    <w:rPr>
      <w:rFonts w:asciiTheme="majorHAnsi" w:eastAsiaTheme="majorEastAsia" w:hAnsiTheme="majorHAnsi" w:cstheme="majorBidi"/>
      <w:color w:val="272727" w:themeColor="text1" w:themeTint="D8"/>
      <w:kern w:val="0"/>
      <w:sz w:val="21"/>
      <w:szCs w:val="21"/>
      <w:lang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1170A"/>
    <w:rPr>
      <w:rFonts w:ascii="Times New Roman" w:eastAsia="Calibri" w:hAnsi="Times New Roman" w:cs="Calibri"/>
      <w:b/>
      <w:sz w:val="24"/>
      <w:szCs w:val="32"/>
    </w:rPr>
  </w:style>
  <w:style w:type="character" w:customStyle="1" w:styleId="Heading2Char">
    <w:name w:val="Heading 2 Char"/>
    <w:basedOn w:val="DefaultParagraphFont"/>
    <w:link w:val="Heading2"/>
    <w:rsid w:val="00A1170A"/>
    <w:rPr>
      <w:rFonts w:ascii="Calibri" w:eastAsia="Calibri" w:hAnsi="Calibri" w:cs="Calibri"/>
      <w:color w:val="2E75B5"/>
      <w:sz w:val="26"/>
      <w:szCs w:val="26"/>
    </w:rPr>
  </w:style>
  <w:style w:type="character" w:customStyle="1" w:styleId="Heading3Char">
    <w:name w:val="Heading 3 Char"/>
    <w:basedOn w:val="DefaultParagraphFont"/>
    <w:link w:val="Heading3"/>
    <w:rsid w:val="00A1170A"/>
    <w:rPr>
      <w:rFonts w:ascii="Calibri" w:eastAsia="Calibri" w:hAnsi="Calibri" w:cs="Calibri"/>
      <w:color w:val="1E4D78"/>
      <w:sz w:val="24"/>
      <w:szCs w:val="24"/>
    </w:rPr>
  </w:style>
  <w:style w:type="character" w:customStyle="1" w:styleId="Heading4Char">
    <w:name w:val="Heading 4 Char"/>
    <w:basedOn w:val="DefaultParagraphFont"/>
    <w:link w:val="Heading4"/>
    <w:rsid w:val="00A1170A"/>
    <w:rPr>
      <w:rFonts w:ascii="Calibri" w:eastAsia="Calibri" w:hAnsi="Calibri" w:cs="Calibri"/>
      <w:b/>
      <w:sz w:val="24"/>
      <w:szCs w:val="24"/>
    </w:rPr>
  </w:style>
  <w:style w:type="character" w:customStyle="1" w:styleId="Heading5Char">
    <w:name w:val="Heading 5 Char"/>
    <w:basedOn w:val="DefaultParagraphFont"/>
    <w:link w:val="Heading5"/>
    <w:rsid w:val="00A1170A"/>
    <w:rPr>
      <w:rFonts w:ascii="Calibri" w:eastAsia="Calibri" w:hAnsi="Calibri" w:cs="Calibri"/>
      <w:b/>
    </w:rPr>
  </w:style>
  <w:style w:type="character" w:customStyle="1" w:styleId="Heading6Char">
    <w:name w:val="Heading 6 Char"/>
    <w:basedOn w:val="DefaultParagraphFont"/>
    <w:link w:val="Heading6"/>
    <w:rsid w:val="00A1170A"/>
    <w:rPr>
      <w:rFonts w:ascii="Calibri" w:eastAsia="Calibri" w:hAnsi="Calibri" w:cs="Calibri"/>
      <w:b/>
      <w:sz w:val="20"/>
      <w:szCs w:val="20"/>
    </w:rPr>
  </w:style>
  <w:style w:type="paragraph" w:styleId="Title">
    <w:name w:val="Title"/>
    <w:basedOn w:val="Normal"/>
    <w:next w:val="Normal"/>
    <w:link w:val="TitleChar"/>
    <w:rsid w:val="00A1170A"/>
    <w:pPr>
      <w:keepNext/>
      <w:keepLines/>
      <w:spacing w:before="480" w:after="120"/>
    </w:pPr>
    <w:rPr>
      <w:rFonts w:ascii="Calibri" w:eastAsia="Calibri" w:hAnsi="Calibri" w:cs="Calibri"/>
      <w:b/>
      <w:kern w:val="0"/>
      <w:sz w:val="72"/>
      <w:szCs w:val="72"/>
      <w:lang w:eastAsia="ko-KR"/>
      <w14:ligatures w14:val="none"/>
    </w:rPr>
  </w:style>
  <w:style w:type="character" w:customStyle="1" w:styleId="TitleChar">
    <w:name w:val="Title Char"/>
    <w:basedOn w:val="DefaultParagraphFont"/>
    <w:link w:val="Title"/>
    <w:rsid w:val="00A1170A"/>
    <w:rPr>
      <w:rFonts w:ascii="Calibri" w:eastAsia="Calibri" w:hAnsi="Calibri" w:cs="Calibri"/>
      <w:b/>
      <w:sz w:val="72"/>
      <w:szCs w:val="72"/>
    </w:rPr>
  </w:style>
  <w:style w:type="character" w:customStyle="1" w:styleId="Heading7Char">
    <w:name w:val="Heading 7 Char"/>
    <w:basedOn w:val="DefaultParagraphFont"/>
    <w:link w:val="Heading7"/>
    <w:uiPriority w:val="9"/>
    <w:rsid w:val="00A1170A"/>
    <w:rPr>
      <w:rFonts w:ascii="Times New Roman" w:eastAsiaTheme="majorEastAsia" w:hAnsi="Times New Roman" w:cstheme="majorBidi"/>
      <w:iCs/>
      <w:color w:val="000000" w:themeColor="text1"/>
      <w:sz w:val="24"/>
      <w:szCs w:val="32"/>
    </w:rPr>
  </w:style>
  <w:style w:type="character" w:customStyle="1" w:styleId="Heading8Char">
    <w:name w:val="Heading 8 Char"/>
    <w:basedOn w:val="DefaultParagraphFont"/>
    <w:link w:val="Heading8"/>
    <w:uiPriority w:val="9"/>
    <w:rsid w:val="00A1170A"/>
    <w:rPr>
      <w:rFonts w:asciiTheme="majorHAnsi" w:eastAsiaTheme="majorEastAsia" w:hAnsiTheme="majorHAnsi" w:cstheme="majorBidi"/>
      <w:color w:val="272727" w:themeColor="text1" w:themeTint="D8"/>
      <w:sz w:val="21"/>
      <w:szCs w:val="21"/>
    </w:rPr>
  </w:style>
  <w:style w:type="character" w:styleId="Hyperlink">
    <w:name w:val="Hyperlink"/>
    <w:basedOn w:val="DefaultParagraphFont"/>
    <w:uiPriority w:val="99"/>
    <w:unhideWhenUsed/>
    <w:rsid w:val="00A1170A"/>
    <w:rPr>
      <w:color w:val="0563C1" w:themeColor="hyperlink"/>
      <w:u w:val="single"/>
    </w:rPr>
  </w:style>
  <w:style w:type="paragraph" w:styleId="Subtitle">
    <w:name w:val="Subtitle"/>
    <w:basedOn w:val="Normal"/>
    <w:next w:val="Normal"/>
    <w:link w:val="SubtitleChar"/>
    <w:rsid w:val="00A1170A"/>
    <w:pPr>
      <w:keepNext/>
      <w:keepLines/>
      <w:spacing w:before="360" w:after="80"/>
    </w:pPr>
    <w:rPr>
      <w:rFonts w:ascii="Georgia" w:eastAsia="Georgia" w:hAnsi="Georgia" w:cs="Georgia"/>
      <w:i/>
      <w:color w:val="666666"/>
      <w:kern w:val="0"/>
      <w:sz w:val="48"/>
      <w:szCs w:val="48"/>
      <w:lang w:eastAsia="ko-KR"/>
      <w14:ligatures w14:val="none"/>
    </w:rPr>
  </w:style>
  <w:style w:type="character" w:customStyle="1" w:styleId="SubtitleChar">
    <w:name w:val="Subtitle Char"/>
    <w:basedOn w:val="DefaultParagraphFont"/>
    <w:link w:val="Subtitle"/>
    <w:rsid w:val="00A1170A"/>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1170A"/>
    <w:pPr>
      <w:spacing w:after="0" w:line="240" w:lineRule="auto"/>
    </w:pPr>
    <w:rPr>
      <w:rFonts w:ascii="Tahoma" w:eastAsia="Calibri" w:hAnsi="Tahoma" w:cs="Tahoma"/>
      <w:kern w:val="0"/>
      <w:sz w:val="16"/>
      <w:szCs w:val="16"/>
      <w:lang w:eastAsia="ko-KR"/>
      <w14:ligatures w14:val="none"/>
    </w:rPr>
  </w:style>
  <w:style w:type="character" w:customStyle="1" w:styleId="BalloonTextChar">
    <w:name w:val="Balloon Text Char"/>
    <w:basedOn w:val="DefaultParagraphFont"/>
    <w:link w:val="BalloonText"/>
    <w:uiPriority w:val="99"/>
    <w:semiHidden/>
    <w:rsid w:val="00A1170A"/>
    <w:rPr>
      <w:rFonts w:ascii="Tahoma" w:eastAsia="Calibri" w:hAnsi="Tahoma" w:cs="Tahoma"/>
      <w:sz w:val="16"/>
      <w:szCs w:val="16"/>
    </w:rPr>
  </w:style>
  <w:style w:type="paragraph" w:customStyle="1" w:styleId="Footer1">
    <w:name w:val="Footer1"/>
    <w:basedOn w:val="Normal"/>
    <w:next w:val="Footer"/>
    <w:link w:val="FooterChar"/>
    <w:uiPriority w:val="99"/>
    <w:unhideWhenUsed/>
    <w:rsid w:val="00A1170A"/>
    <w:pPr>
      <w:tabs>
        <w:tab w:val="center" w:pos="4680"/>
        <w:tab w:val="right" w:pos="9360"/>
      </w:tabs>
      <w:spacing w:after="0" w:line="240" w:lineRule="auto"/>
      <w:ind w:left="2268" w:right="1418"/>
      <w:jc w:val="both"/>
    </w:pPr>
    <w:rPr>
      <w:rFonts w:ascii="Calibri" w:eastAsia="Calibri" w:hAnsi="Calibri" w:cs="Calibri"/>
      <w:kern w:val="0"/>
      <w:lang w:eastAsia="ko-KR"/>
      <w14:ligatures w14:val="none"/>
    </w:rPr>
  </w:style>
  <w:style w:type="paragraph" w:styleId="Footer">
    <w:name w:val="footer"/>
    <w:basedOn w:val="Normal"/>
    <w:link w:val="FooterChar1"/>
    <w:uiPriority w:val="99"/>
    <w:unhideWhenUsed/>
    <w:rsid w:val="00A1170A"/>
    <w:pPr>
      <w:tabs>
        <w:tab w:val="center" w:pos="4680"/>
        <w:tab w:val="right" w:pos="9360"/>
      </w:tabs>
      <w:spacing w:after="0" w:line="240" w:lineRule="auto"/>
    </w:pPr>
    <w:rPr>
      <w:rFonts w:ascii="Calibri" w:eastAsia="Calibri" w:hAnsi="Calibri" w:cs="Calibri"/>
      <w:kern w:val="0"/>
      <w:lang w:eastAsia="ko-KR"/>
      <w14:ligatures w14:val="none"/>
    </w:rPr>
  </w:style>
  <w:style w:type="character" w:customStyle="1" w:styleId="FooterChar1">
    <w:name w:val="Footer Char1"/>
    <w:basedOn w:val="DefaultParagraphFont"/>
    <w:link w:val="Footer"/>
    <w:uiPriority w:val="99"/>
    <w:rsid w:val="00A1170A"/>
    <w:rPr>
      <w:rFonts w:ascii="Calibri" w:eastAsia="Calibri" w:hAnsi="Calibri" w:cs="Calibri"/>
    </w:rPr>
  </w:style>
  <w:style w:type="character" w:customStyle="1" w:styleId="FooterChar">
    <w:name w:val="Footer Char"/>
    <w:basedOn w:val="DefaultParagraphFont"/>
    <w:link w:val="Footer1"/>
    <w:uiPriority w:val="99"/>
    <w:rsid w:val="00A1170A"/>
    <w:rPr>
      <w:rFonts w:ascii="Calibri" w:eastAsia="Calibri" w:hAnsi="Calibri" w:cs="Calibri"/>
    </w:rPr>
  </w:style>
  <w:style w:type="paragraph" w:styleId="Header">
    <w:name w:val="header"/>
    <w:basedOn w:val="Normal"/>
    <w:link w:val="HeaderChar"/>
    <w:uiPriority w:val="99"/>
    <w:unhideWhenUsed/>
    <w:rsid w:val="00A1170A"/>
    <w:pPr>
      <w:tabs>
        <w:tab w:val="center" w:pos="4680"/>
        <w:tab w:val="right" w:pos="9360"/>
      </w:tabs>
      <w:spacing w:after="0" w:line="240" w:lineRule="auto"/>
    </w:pPr>
    <w:rPr>
      <w:rFonts w:ascii="Calibri" w:eastAsia="Calibri" w:hAnsi="Calibri" w:cs="Calibri"/>
      <w:kern w:val="0"/>
      <w:lang w:eastAsia="ko-KR"/>
      <w14:ligatures w14:val="none"/>
    </w:rPr>
  </w:style>
  <w:style w:type="character" w:customStyle="1" w:styleId="HeaderChar">
    <w:name w:val="Header Char"/>
    <w:basedOn w:val="DefaultParagraphFont"/>
    <w:link w:val="Header"/>
    <w:uiPriority w:val="99"/>
    <w:rsid w:val="00A1170A"/>
    <w:rPr>
      <w:rFonts w:ascii="Calibri" w:eastAsia="Calibri" w:hAnsi="Calibri" w:cs="Calibri"/>
    </w:rPr>
  </w:style>
  <w:style w:type="paragraph" w:styleId="NoSpacing">
    <w:name w:val="No Spacing"/>
    <w:uiPriority w:val="1"/>
    <w:qFormat/>
    <w:rsid w:val="00A1170A"/>
    <w:pPr>
      <w:spacing w:after="0" w:line="240" w:lineRule="auto"/>
    </w:pPr>
    <w:rPr>
      <w:rFonts w:ascii="Calibri" w:eastAsia="Calibri" w:hAnsi="Calibri" w:cs="Calibri"/>
    </w:rPr>
  </w:style>
  <w:style w:type="paragraph" w:styleId="ListParagraph">
    <w:name w:val="List Paragraph"/>
    <w:basedOn w:val="Normal"/>
    <w:uiPriority w:val="34"/>
    <w:qFormat/>
    <w:rsid w:val="00A1170A"/>
    <w:pPr>
      <w:ind w:left="720"/>
      <w:contextualSpacing/>
    </w:pPr>
    <w:rPr>
      <w:rFonts w:ascii="Calibri" w:eastAsia="Calibri" w:hAnsi="Calibri" w:cs="Calibri"/>
      <w:kern w:val="0"/>
      <w:lang w:eastAsia="ko-KR"/>
      <w14:ligatures w14:val="none"/>
    </w:rPr>
  </w:style>
  <w:style w:type="paragraph" w:customStyle="1" w:styleId="Default">
    <w:name w:val="Default"/>
    <w:rsid w:val="00A1170A"/>
    <w:pPr>
      <w:autoSpaceDE w:val="0"/>
      <w:autoSpaceDN w:val="0"/>
      <w:adjustRightInd w:val="0"/>
      <w:spacing w:after="0" w:line="240" w:lineRule="auto"/>
    </w:pPr>
    <w:rPr>
      <w:rFonts w:ascii="Arial" w:hAnsi="Arial" w:cs="Arial"/>
      <w:color w:val="000000"/>
      <w:sz w:val="24"/>
      <w:szCs w:val="24"/>
    </w:rPr>
  </w:style>
  <w:style w:type="character" w:customStyle="1" w:styleId="CommentTextChar">
    <w:name w:val="Comment Text Char"/>
    <w:basedOn w:val="DefaultParagraphFont"/>
    <w:link w:val="CommentText"/>
    <w:uiPriority w:val="99"/>
    <w:semiHidden/>
    <w:rsid w:val="00A1170A"/>
    <w:rPr>
      <w:rFonts w:ascii="Calibri" w:eastAsia="Calibri" w:hAnsi="Calibri" w:cs="Calibri"/>
      <w:sz w:val="20"/>
      <w:szCs w:val="20"/>
      <w:lang w:val="en-GB"/>
    </w:rPr>
  </w:style>
  <w:style w:type="paragraph" w:styleId="CommentText">
    <w:name w:val="annotation text"/>
    <w:basedOn w:val="Normal"/>
    <w:link w:val="CommentTextChar"/>
    <w:uiPriority w:val="99"/>
    <w:semiHidden/>
    <w:unhideWhenUsed/>
    <w:rsid w:val="00A1170A"/>
    <w:pPr>
      <w:spacing w:line="240" w:lineRule="auto"/>
    </w:pPr>
    <w:rPr>
      <w:rFonts w:ascii="Calibri" w:eastAsia="Calibri" w:hAnsi="Calibri" w:cs="Calibri"/>
      <w:kern w:val="0"/>
      <w:sz w:val="20"/>
      <w:szCs w:val="20"/>
      <w:lang w:val="en-GB" w:eastAsia="ko-KR"/>
      <w14:ligatures w14:val="none"/>
    </w:rPr>
  </w:style>
  <w:style w:type="character" w:customStyle="1" w:styleId="CommentSubjectChar">
    <w:name w:val="Comment Subject Char"/>
    <w:basedOn w:val="CommentTextChar"/>
    <w:link w:val="CommentSubject"/>
    <w:uiPriority w:val="99"/>
    <w:semiHidden/>
    <w:rsid w:val="00A1170A"/>
    <w:rPr>
      <w:rFonts w:ascii="Calibri" w:eastAsia="Calibri" w:hAnsi="Calibri" w:cs="Calibri"/>
      <w:b/>
      <w:bCs/>
      <w:sz w:val="20"/>
      <w:szCs w:val="20"/>
      <w:lang w:val="en-GB"/>
    </w:rPr>
  </w:style>
  <w:style w:type="paragraph" w:styleId="CommentSubject">
    <w:name w:val="annotation subject"/>
    <w:basedOn w:val="CommentText"/>
    <w:next w:val="CommentText"/>
    <w:link w:val="CommentSubjectChar"/>
    <w:uiPriority w:val="99"/>
    <w:semiHidden/>
    <w:unhideWhenUsed/>
    <w:rsid w:val="00A1170A"/>
    <w:rPr>
      <w:b/>
      <w:bCs/>
    </w:rPr>
  </w:style>
  <w:style w:type="paragraph" w:styleId="Caption">
    <w:name w:val="caption"/>
    <w:basedOn w:val="Normal"/>
    <w:next w:val="Normal"/>
    <w:uiPriority w:val="35"/>
    <w:unhideWhenUsed/>
    <w:qFormat/>
    <w:rsid w:val="00A1170A"/>
    <w:pPr>
      <w:spacing w:after="0" w:line="360" w:lineRule="auto"/>
      <w:jc w:val="both"/>
    </w:pPr>
    <w:rPr>
      <w:rFonts w:ascii="Times New Roman" w:eastAsia="Calibri" w:hAnsi="Times New Roman" w:cs="Calibri"/>
      <w:b/>
      <w:iCs/>
      <w:kern w:val="0"/>
      <w:sz w:val="24"/>
      <w:szCs w:val="18"/>
      <w:lang w:val="en-GB" w:eastAsia="ko-KR"/>
      <w14:ligatures w14:val="none"/>
    </w:rPr>
  </w:style>
  <w:style w:type="paragraph" w:styleId="TableofFigures">
    <w:name w:val="table of figures"/>
    <w:basedOn w:val="Normal"/>
    <w:next w:val="Normal"/>
    <w:uiPriority w:val="99"/>
    <w:unhideWhenUsed/>
    <w:rsid w:val="00A1170A"/>
    <w:pPr>
      <w:spacing w:after="0"/>
    </w:pPr>
    <w:rPr>
      <w:rFonts w:ascii="Calibri" w:eastAsia="Calibri" w:hAnsi="Calibri" w:cs="Calibri"/>
      <w:kern w:val="0"/>
      <w:lang w:eastAsia="ko-KR"/>
      <w14:ligatures w14:val="none"/>
    </w:rPr>
  </w:style>
  <w:style w:type="paragraph" w:styleId="TOC1">
    <w:name w:val="toc 1"/>
    <w:basedOn w:val="Normal"/>
    <w:next w:val="Normal"/>
    <w:autoRedefine/>
    <w:uiPriority w:val="39"/>
    <w:unhideWhenUsed/>
    <w:rsid w:val="00A1170A"/>
    <w:pPr>
      <w:spacing w:after="100"/>
    </w:pPr>
    <w:rPr>
      <w:rFonts w:ascii="Calibri" w:eastAsia="Calibri" w:hAnsi="Calibri" w:cs="Calibri"/>
      <w:kern w:val="0"/>
      <w:lang w:eastAsia="ko-KR"/>
      <w14:ligatures w14:val="none"/>
    </w:rPr>
  </w:style>
  <w:style w:type="paragraph" w:styleId="TOC2">
    <w:name w:val="toc 2"/>
    <w:basedOn w:val="Normal"/>
    <w:next w:val="Normal"/>
    <w:autoRedefine/>
    <w:uiPriority w:val="39"/>
    <w:unhideWhenUsed/>
    <w:rsid w:val="00A1170A"/>
    <w:pPr>
      <w:spacing w:after="100"/>
      <w:ind w:left="220"/>
    </w:pPr>
    <w:rPr>
      <w:rFonts w:eastAsiaTheme="minorEastAsia"/>
      <w:kern w:val="0"/>
      <w:lang w:eastAsia="ko-KR"/>
      <w14:ligatures w14:val="none"/>
    </w:rPr>
  </w:style>
  <w:style w:type="paragraph" w:styleId="TOC3">
    <w:name w:val="toc 3"/>
    <w:basedOn w:val="Normal"/>
    <w:next w:val="Normal"/>
    <w:autoRedefine/>
    <w:uiPriority w:val="39"/>
    <w:unhideWhenUsed/>
    <w:rsid w:val="00A1170A"/>
    <w:pPr>
      <w:spacing w:after="100"/>
      <w:ind w:left="440"/>
    </w:pPr>
    <w:rPr>
      <w:rFonts w:eastAsiaTheme="minorEastAsia"/>
      <w:kern w:val="0"/>
      <w:lang w:eastAsia="ko-KR"/>
      <w14:ligatures w14:val="none"/>
    </w:rPr>
  </w:style>
  <w:style w:type="paragraph" w:styleId="TOC4">
    <w:name w:val="toc 4"/>
    <w:basedOn w:val="Normal"/>
    <w:next w:val="Normal"/>
    <w:autoRedefine/>
    <w:uiPriority w:val="39"/>
    <w:unhideWhenUsed/>
    <w:rsid w:val="00A1170A"/>
    <w:pPr>
      <w:spacing w:after="100"/>
      <w:ind w:left="660"/>
    </w:pPr>
    <w:rPr>
      <w:rFonts w:eastAsiaTheme="minorEastAsia"/>
      <w:kern w:val="0"/>
      <w:lang w:eastAsia="ko-KR"/>
      <w14:ligatures w14:val="none"/>
    </w:rPr>
  </w:style>
  <w:style w:type="paragraph" w:styleId="TOC5">
    <w:name w:val="toc 5"/>
    <w:basedOn w:val="Normal"/>
    <w:next w:val="Normal"/>
    <w:autoRedefine/>
    <w:uiPriority w:val="39"/>
    <w:unhideWhenUsed/>
    <w:rsid w:val="00A1170A"/>
    <w:pPr>
      <w:spacing w:after="100"/>
      <w:ind w:left="880"/>
    </w:pPr>
    <w:rPr>
      <w:rFonts w:eastAsiaTheme="minorEastAsia"/>
      <w:kern w:val="0"/>
      <w:lang w:eastAsia="ko-KR"/>
      <w14:ligatures w14:val="none"/>
    </w:rPr>
  </w:style>
  <w:style w:type="paragraph" w:styleId="TOC6">
    <w:name w:val="toc 6"/>
    <w:basedOn w:val="Normal"/>
    <w:next w:val="Normal"/>
    <w:autoRedefine/>
    <w:uiPriority w:val="39"/>
    <w:unhideWhenUsed/>
    <w:rsid w:val="00A1170A"/>
    <w:pPr>
      <w:spacing w:after="100"/>
      <w:ind w:left="1100"/>
    </w:pPr>
    <w:rPr>
      <w:rFonts w:eastAsiaTheme="minorEastAsia"/>
      <w:kern w:val="0"/>
      <w:lang w:eastAsia="ko-KR"/>
      <w14:ligatures w14:val="none"/>
    </w:rPr>
  </w:style>
  <w:style w:type="paragraph" w:styleId="TOC7">
    <w:name w:val="toc 7"/>
    <w:basedOn w:val="Normal"/>
    <w:next w:val="Normal"/>
    <w:autoRedefine/>
    <w:uiPriority w:val="39"/>
    <w:unhideWhenUsed/>
    <w:rsid w:val="00A1170A"/>
    <w:pPr>
      <w:spacing w:after="100"/>
      <w:ind w:left="1320"/>
    </w:pPr>
    <w:rPr>
      <w:rFonts w:eastAsiaTheme="minorEastAsia"/>
      <w:kern w:val="0"/>
      <w:lang w:eastAsia="ko-KR"/>
      <w14:ligatures w14:val="none"/>
    </w:rPr>
  </w:style>
  <w:style w:type="paragraph" w:styleId="TOC8">
    <w:name w:val="toc 8"/>
    <w:basedOn w:val="Normal"/>
    <w:next w:val="Normal"/>
    <w:autoRedefine/>
    <w:uiPriority w:val="39"/>
    <w:unhideWhenUsed/>
    <w:rsid w:val="00A1170A"/>
    <w:pPr>
      <w:spacing w:after="100"/>
      <w:ind w:left="1540"/>
    </w:pPr>
    <w:rPr>
      <w:rFonts w:eastAsiaTheme="minorEastAsia"/>
      <w:kern w:val="0"/>
      <w:lang w:eastAsia="ko-KR"/>
      <w14:ligatures w14:val="none"/>
    </w:rPr>
  </w:style>
  <w:style w:type="paragraph" w:styleId="TOC9">
    <w:name w:val="toc 9"/>
    <w:basedOn w:val="Normal"/>
    <w:next w:val="Normal"/>
    <w:autoRedefine/>
    <w:uiPriority w:val="39"/>
    <w:unhideWhenUsed/>
    <w:rsid w:val="00A1170A"/>
    <w:pPr>
      <w:spacing w:after="100"/>
      <w:ind w:left="1760"/>
    </w:pPr>
    <w:rPr>
      <w:rFonts w:eastAsiaTheme="minorEastAsia"/>
      <w:kern w:val="0"/>
      <w:lang w:eastAsia="ko-KR"/>
      <w14:ligatures w14:val="none"/>
    </w:rPr>
  </w:style>
  <w:style w:type="paragraph" w:styleId="FootnoteText">
    <w:name w:val="footnote text"/>
    <w:basedOn w:val="Normal"/>
    <w:link w:val="FootnoteTextChar"/>
    <w:uiPriority w:val="99"/>
    <w:semiHidden/>
    <w:unhideWhenUsed/>
    <w:rsid w:val="00A1170A"/>
    <w:pPr>
      <w:spacing w:after="0" w:line="240" w:lineRule="auto"/>
    </w:pPr>
    <w:rPr>
      <w:rFonts w:ascii="Calibri" w:eastAsia="Calibri" w:hAnsi="Calibri" w:cs="Calibri"/>
      <w:kern w:val="0"/>
      <w:sz w:val="20"/>
      <w:szCs w:val="20"/>
      <w:lang w:eastAsia="ko-KR"/>
      <w14:ligatures w14:val="none"/>
    </w:rPr>
  </w:style>
  <w:style w:type="character" w:customStyle="1" w:styleId="FootnoteTextChar">
    <w:name w:val="Footnote Text Char"/>
    <w:basedOn w:val="DefaultParagraphFont"/>
    <w:link w:val="FootnoteText"/>
    <w:uiPriority w:val="99"/>
    <w:semiHidden/>
    <w:rsid w:val="00A1170A"/>
    <w:rPr>
      <w:rFonts w:ascii="Calibri" w:eastAsia="Calibri" w:hAnsi="Calibri" w:cs="Calibri"/>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955F71"/>
    <w:pPr>
      <w:spacing w:after="0" w:line="240" w:lineRule="auto"/>
    </w:pPr>
    <w:rPr>
      <w:rFonts w:ascii="Calibri" w:eastAsia="Calibri"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81BF0F-938F-49D2-AEED-5EAED3D17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515</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leejo</dc:creator>
  <cp:keywords/>
  <dc:description/>
  <cp:lastModifiedBy>Trupti Sudge</cp:lastModifiedBy>
  <cp:revision>2</cp:revision>
  <dcterms:created xsi:type="dcterms:W3CDTF">2025-01-21T18:06:00Z</dcterms:created>
  <dcterms:modified xsi:type="dcterms:W3CDTF">2025-01-21T18:06:00Z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http://www.zotero.org/styles/apa-6th-edition</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11564b41-aa3a-3e04-8292-f375a62de14f</vt:lpwstr>
  </property>
  <property fmtid="{D5CDD505-2E9C-101B-9397-08002B2CF9AE}" pid="24" name="Mendeley Citation Style_1">
    <vt:lpwstr>http://www.zotero.org/styles/apa-6th-edition</vt:lpwstr>
  </property>
</Properties>
</file>