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9134F4" w14:textId="77777777" w:rsidR="00715BF1" w:rsidRPr="00327BD7" w:rsidRDefault="00715BF1" w:rsidP="00715BF1">
      <w:pPr>
        <w:pStyle w:val="NormalWeb"/>
        <w:spacing w:before="280" w:after="280" w:line="360" w:lineRule="auto"/>
        <w:jc w:val="both"/>
        <w:rPr>
          <w:b/>
          <w:bCs/>
          <w:sz w:val="28"/>
          <w:szCs w:val="28"/>
        </w:rPr>
      </w:pPr>
      <w:r w:rsidRPr="00327BD7">
        <w:rPr>
          <w:b/>
          <w:bCs/>
          <w:sz w:val="28"/>
          <w:szCs w:val="28"/>
        </w:rPr>
        <w:t>Supplementary Figures</w:t>
      </w:r>
    </w:p>
    <w:p w14:paraId="22A93C80" w14:textId="0A81B2A1" w:rsidR="00715BF1" w:rsidRDefault="005F7AAB" w:rsidP="007A20F2">
      <w:pPr>
        <w:pStyle w:val="NormalWeb"/>
        <w:spacing w:before="100" w:after="100" w:line="360" w:lineRule="auto"/>
        <w:jc w:val="both"/>
      </w:pPr>
      <w:r>
        <w:rPr>
          <w:b/>
          <w:bCs/>
          <w:noProof/>
          <w14:ligatures w14:val="standardContextual"/>
        </w:rPr>
        <w:drawing>
          <wp:inline distT="0" distB="0" distL="0" distR="0" wp14:anchorId="31FCECF4" wp14:editId="0417A2DA">
            <wp:extent cx="5731510" cy="6686550"/>
            <wp:effectExtent l="0" t="0" r="2540" b="0"/>
            <wp:docPr id="25743179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7431798" name="Picture 257431798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006" b="5257"/>
                    <a:stretch/>
                  </pic:blipFill>
                  <pic:spPr bwMode="auto">
                    <a:xfrm>
                      <a:off x="0" y="0"/>
                      <a:ext cx="5731510" cy="66865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15BF1" w:rsidRPr="006573B4">
        <w:rPr>
          <w:b/>
          <w:bCs/>
        </w:rPr>
        <w:t xml:space="preserve">Figure S1: </w:t>
      </w:r>
      <w:r w:rsidR="00327BD7">
        <w:rPr>
          <w:b/>
          <w:bCs/>
        </w:rPr>
        <w:t>(</w:t>
      </w:r>
      <w:r w:rsidR="00715BF1" w:rsidRPr="006573B4">
        <w:t>a</w:t>
      </w:r>
      <w:r w:rsidR="00327BD7">
        <w:t>)</w:t>
      </w:r>
      <w:r w:rsidR="00715BF1">
        <w:t xml:space="preserve"> </w:t>
      </w:r>
      <w:r w:rsidR="00715BF1" w:rsidRPr="006573B4">
        <w:t>Differential expression of tRFs in</w:t>
      </w:r>
      <w:r w:rsidR="00715BF1" w:rsidRPr="006573B4">
        <w:rPr>
          <w:i/>
          <w:iCs/>
        </w:rPr>
        <w:t xml:space="preserve"> Arabidopsis thaliana </w:t>
      </w:r>
      <w:r w:rsidR="00715BF1" w:rsidRPr="006573B4">
        <w:t xml:space="preserve">under various biotic </w:t>
      </w:r>
      <w:r w:rsidR="00715BF1">
        <w:t>stresses</w:t>
      </w:r>
      <w:r w:rsidR="00715BF1" w:rsidRPr="006573B4">
        <w:rPr>
          <w:i/>
          <w:iCs/>
        </w:rPr>
        <w:t>.</w:t>
      </w:r>
      <w:r w:rsidR="00715BF1" w:rsidRPr="006573B4">
        <w:t xml:space="preserve"> The bar plots depict the number of upregulated and downregulated tRFs in response to (i) bacteria, (ii) fungi, (iii) virus, (iv) nematode, and (v) oomycetes in </w:t>
      </w:r>
      <w:r w:rsidR="00715BF1" w:rsidRPr="006573B4">
        <w:rPr>
          <w:i/>
          <w:iCs/>
        </w:rPr>
        <w:t>Arabidopsis thaliana</w:t>
      </w:r>
      <w:r w:rsidR="00715BF1" w:rsidRPr="006573B4">
        <w:t>. </w:t>
      </w:r>
      <w:r w:rsidR="00327BD7">
        <w:t>(</w:t>
      </w:r>
      <w:r w:rsidR="00715BF1" w:rsidRPr="006573B4">
        <w:t>b</w:t>
      </w:r>
      <w:r w:rsidR="00327BD7">
        <w:t>)</w:t>
      </w:r>
      <w:r w:rsidR="00715BF1" w:rsidRPr="006573B4">
        <w:t xml:space="preserve"> </w:t>
      </w:r>
      <w:r w:rsidR="00715BF1" w:rsidRPr="006573B4">
        <w:rPr>
          <w:lang w:val="en-GB"/>
        </w:rPr>
        <w:t xml:space="preserve">Differential expression of </w:t>
      </w:r>
      <w:proofErr w:type="spellStart"/>
      <w:r w:rsidR="00715BF1" w:rsidRPr="006573B4">
        <w:rPr>
          <w:lang w:val="en-GB"/>
        </w:rPr>
        <w:t>tRFs</w:t>
      </w:r>
      <w:proofErr w:type="spellEnd"/>
      <w:r w:rsidR="00715BF1" w:rsidRPr="006573B4">
        <w:rPr>
          <w:lang w:val="en-GB"/>
        </w:rPr>
        <w:t xml:space="preserve"> in</w:t>
      </w:r>
      <w:r w:rsidR="00715BF1" w:rsidRPr="006573B4">
        <w:rPr>
          <w:i/>
          <w:iCs/>
          <w:lang w:val="en-GB"/>
        </w:rPr>
        <w:t xml:space="preserve"> Oryza sativa </w:t>
      </w:r>
      <w:r w:rsidR="00715BF1" w:rsidRPr="006573B4">
        <w:rPr>
          <w:lang w:val="en-GB"/>
        </w:rPr>
        <w:t>under various biotic stress</w:t>
      </w:r>
      <w:r w:rsidR="00715BF1" w:rsidRPr="006573B4">
        <w:rPr>
          <w:i/>
          <w:iCs/>
          <w:lang w:val="en-GB"/>
        </w:rPr>
        <w:t>.</w:t>
      </w:r>
      <w:r w:rsidR="00715BF1" w:rsidRPr="006573B4">
        <w:rPr>
          <w:lang w:val="en-GB"/>
        </w:rPr>
        <w:t xml:space="preserve"> The bar plots depict the number of upregulated and downregulated tRFs in response to (i) bacteria, (ii) fungi, (iii) </w:t>
      </w:r>
      <w:r w:rsidR="00715BF1">
        <w:rPr>
          <w:lang w:val="en-GB"/>
        </w:rPr>
        <w:t>insect</w:t>
      </w:r>
      <w:r w:rsidR="00715BF1" w:rsidRPr="006573B4">
        <w:rPr>
          <w:lang w:val="en-GB"/>
        </w:rPr>
        <w:t xml:space="preserve">, (iv) nematode, and (v) virus in </w:t>
      </w:r>
      <w:r w:rsidR="00715BF1" w:rsidRPr="006573B4">
        <w:rPr>
          <w:i/>
          <w:iCs/>
          <w:lang w:val="en-GB"/>
        </w:rPr>
        <w:t>Oryza sativa</w:t>
      </w:r>
      <w:r w:rsidR="00715BF1" w:rsidRPr="006573B4">
        <w:rPr>
          <w:lang w:val="en-GB"/>
        </w:rPr>
        <w:t xml:space="preserve">. </w:t>
      </w:r>
      <w:r w:rsidR="00327BD7">
        <w:rPr>
          <w:lang w:val="en-GB"/>
        </w:rPr>
        <w:t>(</w:t>
      </w:r>
      <w:r w:rsidR="00715BF1" w:rsidRPr="006573B4">
        <w:rPr>
          <w:lang w:val="en-GB"/>
        </w:rPr>
        <w:t>c</w:t>
      </w:r>
      <w:r w:rsidR="00327BD7">
        <w:rPr>
          <w:lang w:val="en-GB"/>
        </w:rPr>
        <w:t xml:space="preserve">) </w:t>
      </w:r>
      <w:r w:rsidR="00715BF1" w:rsidRPr="006573B4">
        <w:t xml:space="preserve">Differential expression </w:t>
      </w:r>
      <w:r w:rsidR="00715BF1" w:rsidRPr="006573B4">
        <w:lastRenderedPageBreak/>
        <w:t xml:space="preserve">of </w:t>
      </w:r>
      <w:proofErr w:type="spellStart"/>
      <w:r w:rsidR="00715BF1" w:rsidRPr="006573B4">
        <w:t>tRFs</w:t>
      </w:r>
      <w:proofErr w:type="spellEnd"/>
      <w:r w:rsidR="00715BF1" w:rsidRPr="006573B4">
        <w:t xml:space="preserve"> in</w:t>
      </w:r>
      <w:r w:rsidR="00715BF1" w:rsidRPr="006573B4">
        <w:rPr>
          <w:i/>
          <w:iCs/>
        </w:rPr>
        <w:t xml:space="preserve"> Solanum lycopersicum </w:t>
      </w:r>
      <w:r w:rsidR="00715BF1" w:rsidRPr="006573B4">
        <w:t>under various biotic stress</w:t>
      </w:r>
      <w:r w:rsidR="00715BF1" w:rsidRPr="006573B4">
        <w:rPr>
          <w:i/>
          <w:iCs/>
        </w:rPr>
        <w:t>.</w:t>
      </w:r>
      <w:r w:rsidR="00715BF1" w:rsidRPr="006573B4">
        <w:t xml:space="preserve"> The bar plots depict the number of upregulated and downregulated tRFs in response to (i) fungi, (ii) nematode, and (iii) virus in </w:t>
      </w:r>
      <w:r w:rsidR="00715BF1" w:rsidRPr="006573B4">
        <w:rPr>
          <w:i/>
          <w:iCs/>
        </w:rPr>
        <w:t>Solanum lycopersicum</w:t>
      </w:r>
      <w:r w:rsidR="00715BF1" w:rsidRPr="006573B4">
        <w:t xml:space="preserve">. </w:t>
      </w:r>
    </w:p>
    <w:p w14:paraId="04C77376" w14:textId="46D673A1" w:rsidR="007A20F2" w:rsidRPr="00C339E1" w:rsidRDefault="007A20F2" w:rsidP="007A20F2">
      <w:pPr>
        <w:pStyle w:val="NormalWeb"/>
        <w:spacing w:before="100" w:after="100" w:line="360" w:lineRule="auto"/>
        <w:jc w:val="both"/>
        <w:rPr>
          <w:b/>
          <w:bCs/>
        </w:rPr>
      </w:pPr>
      <w:r>
        <w:rPr>
          <w:b/>
          <w:bCs/>
          <w:noProof/>
          <w14:ligatures w14:val="standardContextual"/>
        </w:rPr>
        <w:drawing>
          <wp:inline distT="0" distB="0" distL="0" distR="0" wp14:anchorId="2C1EC8F9" wp14:editId="5FB638D1">
            <wp:extent cx="5731338" cy="6409267"/>
            <wp:effectExtent l="0" t="0" r="3175" b="0"/>
            <wp:docPr id="2835383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3538319" name="Picture 283538319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366" b="8657"/>
                    <a:stretch/>
                  </pic:blipFill>
                  <pic:spPr bwMode="auto">
                    <a:xfrm>
                      <a:off x="0" y="0"/>
                      <a:ext cx="5731510" cy="640946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182B565" w14:textId="77777777" w:rsidR="00715BF1" w:rsidRPr="006573B4" w:rsidRDefault="00715BF1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73B4">
        <w:rPr>
          <w:rFonts w:ascii="Times New Roman" w:hAnsi="Times New Roman" w:cs="Times New Roman"/>
          <w:b/>
          <w:bCs/>
          <w:sz w:val="24"/>
          <w:szCs w:val="24"/>
        </w:rPr>
        <w:t>Figure S2</w:t>
      </w:r>
      <w:r w:rsidRPr="006573B4">
        <w:rPr>
          <w:rFonts w:ascii="Times New Roman" w:hAnsi="Times New Roman" w:cs="Times New Roman"/>
          <w:sz w:val="24"/>
          <w:szCs w:val="24"/>
        </w:rPr>
        <w:t xml:space="preserve">: a. Differential expression of tRFs in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6573B4">
        <w:rPr>
          <w:rFonts w:ascii="Times New Roman" w:hAnsi="Times New Roman" w:cs="Times New Roman"/>
          <w:sz w:val="24"/>
          <w:szCs w:val="24"/>
        </w:rPr>
        <w:t xml:space="preserve"> under various pathogen infections. The bar plots represent the number of upregulated and downregulated tRFs in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6573B4">
        <w:rPr>
          <w:rFonts w:ascii="Times New Roman" w:hAnsi="Times New Roman" w:cs="Times New Roman"/>
          <w:sz w:val="24"/>
          <w:szCs w:val="24"/>
        </w:rPr>
        <w:t xml:space="preserve"> in response to infections caused by (</w:t>
      </w:r>
      <w:proofErr w:type="spellStart"/>
      <w:r w:rsidRPr="006573B4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Pr="006573B4">
        <w:rPr>
          <w:rFonts w:ascii="Times New Roman" w:hAnsi="Times New Roman" w:cs="Times New Roman"/>
          <w:sz w:val="24"/>
          <w:szCs w:val="24"/>
        </w:rPr>
        <w:t xml:space="preserve">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Alternaria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brassicicola</w:t>
      </w:r>
      <w:proofErr w:type="spellEnd"/>
      <w:r w:rsidRPr="006573B4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573B4">
        <w:rPr>
          <w:rFonts w:ascii="Times New Roman" w:hAnsi="Times New Roman" w:cs="Times New Roman"/>
          <w:sz w:val="24"/>
          <w:szCs w:val="24"/>
        </w:rPr>
        <w:t xml:space="preserve"> (ii)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Botrytis cinerea</w:t>
      </w:r>
      <w:r w:rsidRPr="006573B4">
        <w:rPr>
          <w:rFonts w:ascii="Times New Roman" w:hAnsi="Times New Roman" w:cs="Times New Roman"/>
          <w:sz w:val="24"/>
          <w:szCs w:val="24"/>
        </w:rPr>
        <w:t xml:space="preserve">, (ii)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Geminivirus</w:t>
      </w:r>
      <w:proofErr w:type="spellEnd"/>
      <w:r w:rsidRPr="006573B4">
        <w:rPr>
          <w:rFonts w:ascii="Times New Roman" w:hAnsi="Times New Roman" w:cs="Times New Roman"/>
          <w:sz w:val="24"/>
          <w:szCs w:val="24"/>
        </w:rPr>
        <w:t xml:space="preserve">, (iv)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Heterodera</w:t>
      </w:r>
      <w:proofErr w:type="spellEnd"/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schachtii</w:t>
      </w:r>
      <w:proofErr w:type="spellEnd"/>
      <w:r w:rsidRPr="006573B4">
        <w:rPr>
          <w:rFonts w:ascii="Times New Roman" w:hAnsi="Times New Roman" w:cs="Times New Roman"/>
          <w:sz w:val="24"/>
          <w:szCs w:val="24"/>
        </w:rPr>
        <w:t xml:space="preserve">, (v)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Phytophthora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capsici</w:t>
      </w:r>
      <w:proofErr w:type="spellEnd"/>
      <w:r w:rsidRPr="006573B4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573B4">
        <w:rPr>
          <w:rFonts w:ascii="Times New Roman" w:hAnsi="Times New Roman" w:cs="Times New Roman"/>
          <w:sz w:val="24"/>
          <w:szCs w:val="24"/>
        </w:rPr>
        <w:t xml:space="preserve"> (vi)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lastRenderedPageBreak/>
        <w:t>Pseudomonas putida</w:t>
      </w:r>
      <w:r w:rsidRPr="006573B4">
        <w:rPr>
          <w:rFonts w:ascii="Times New Roman" w:hAnsi="Times New Roman" w:cs="Times New Roman"/>
          <w:sz w:val="24"/>
          <w:szCs w:val="24"/>
        </w:rPr>
        <w:t xml:space="preserve">, (vii)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Sclerotinia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sclerotiorum</w:t>
      </w:r>
      <w:proofErr w:type="spellEnd"/>
      <w:r w:rsidRPr="006573B4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573B4">
        <w:rPr>
          <w:rFonts w:ascii="Times New Roman" w:hAnsi="Times New Roman" w:cs="Times New Roman"/>
          <w:sz w:val="24"/>
          <w:szCs w:val="24"/>
        </w:rPr>
        <w:t xml:space="preserve"> (viii)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Tobacco rattle virus</w:t>
      </w:r>
      <w:r w:rsidRPr="006573B4">
        <w:rPr>
          <w:rFonts w:ascii="Times New Roman" w:hAnsi="Times New Roman" w:cs="Times New Roman"/>
          <w:sz w:val="24"/>
          <w:szCs w:val="24"/>
        </w:rPr>
        <w:t xml:space="preserve">, (ix)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Turnip crinkle virus</w:t>
      </w:r>
      <w:r w:rsidRPr="006573B4">
        <w:rPr>
          <w:rFonts w:ascii="Times New Roman" w:hAnsi="Times New Roman" w:cs="Times New Roman"/>
          <w:sz w:val="24"/>
          <w:szCs w:val="24"/>
        </w:rPr>
        <w:t xml:space="preserve">, and (x)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Turnip mosaic virus</w:t>
      </w:r>
      <w:r w:rsidRPr="006573B4">
        <w:rPr>
          <w:rFonts w:ascii="Times New Roman" w:hAnsi="Times New Roman" w:cs="Times New Roman"/>
          <w:sz w:val="24"/>
          <w:szCs w:val="24"/>
        </w:rPr>
        <w:t>. b.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573B4">
        <w:rPr>
          <w:rFonts w:ascii="Times New Roman" w:hAnsi="Times New Roman" w:cs="Times New Roman"/>
          <w:sz w:val="24"/>
          <w:szCs w:val="24"/>
        </w:rPr>
        <w:t xml:space="preserve">Differential expression of tRFs in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Oryza sativa </w:t>
      </w:r>
      <w:r w:rsidRPr="006573B4">
        <w:rPr>
          <w:rFonts w:ascii="Times New Roman" w:hAnsi="Times New Roman" w:cs="Times New Roman"/>
          <w:sz w:val="24"/>
          <w:szCs w:val="24"/>
        </w:rPr>
        <w:t>under various pathogen infections. The bar plots depict the number of upregulated and downregulated tRFs in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 Oryza sativa </w:t>
      </w:r>
      <w:r w:rsidRPr="006573B4">
        <w:rPr>
          <w:rFonts w:ascii="Times New Roman" w:hAnsi="Times New Roman" w:cs="Times New Roman"/>
          <w:sz w:val="24"/>
          <w:szCs w:val="24"/>
        </w:rPr>
        <w:t xml:space="preserve">in response to infections caused by (i)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African Xanthomona</w:t>
      </w:r>
      <w:r w:rsidRPr="006573B4">
        <w:rPr>
          <w:rFonts w:ascii="Times New Roman" w:hAnsi="Times New Roman" w:cs="Times New Roman"/>
          <w:sz w:val="24"/>
          <w:szCs w:val="24"/>
        </w:rPr>
        <w:t xml:space="preserve">s, (ii)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Brown planthopper</w:t>
      </w:r>
      <w:r w:rsidRPr="006573B4">
        <w:rPr>
          <w:rFonts w:ascii="Times New Roman" w:hAnsi="Times New Roman" w:cs="Times New Roman"/>
          <w:sz w:val="24"/>
          <w:szCs w:val="24"/>
        </w:rPr>
        <w:t xml:space="preserve">, (iii)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Magnaporthe</w:t>
      </w:r>
      <w:proofErr w:type="spellEnd"/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 oryzae</w:t>
      </w:r>
      <w:r w:rsidRPr="006573B4">
        <w:rPr>
          <w:rFonts w:ascii="Times New Roman" w:hAnsi="Times New Roman" w:cs="Times New Roman"/>
          <w:sz w:val="24"/>
          <w:szCs w:val="24"/>
        </w:rPr>
        <w:t xml:space="preserve">, (iv)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Magnaporthe</w:t>
      </w:r>
      <w:proofErr w:type="spellEnd"/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 oryzae Fusarium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fujikuroi</w:t>
      </w:r>
      <w:proofErr w:type="spellEnd"/>
      <w:r w:rsidRPr="006573B4">
        <w:rPr>
          <w:rFonts w:ascii="Times New Roman" w:hAnsi="Times New Roman" w:cs="Times New Roman"/>
          <w:i/>
          <w:iCs/>
          <w:sz w:val="24"/>
          <w:szCs w:val="24"/>
        </w:rPr>
        <w:t>,</w:t>
      </w:r>
      <w:r w:rsidRPr="006573B4">
        <w:rPr>
          <w:rFonts w:ascii="Times New Roman" w:hAnsi="Times New Roman" w:cs="Times New Roman"/>
          <w:sz w:val="24"/>
          <w:szCs w:val="24"/>
        </w:rPr>
        <w:t xml:space="preserve"> (v)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Meloidogyne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graminicola</w:t>
      </w:r>
      <w:proofErr w:type="spellEnd"/>
      <w:r w:rsidRPr="006573B4">
        <w:rPr>
          <w:rFonts w:ascii="Times New Roman" w:hAnsi="Times New Roman" w:cs="Times New Roman"/>
          <w:sz w:val="24"/>
          <w:szCs w:val="24"/>
        </w:rPr>
        <w:t xml:space="preserve">, (vi)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Rice stripe virus</w:t>
      </w:r>
      <w:r w:rsidRPr="006573B4">
        <w:rPr>
          <w:rFonts w:ascii="Times New Roman" w:hAnsi="Times New Roman" w:cs="Times New Roman"/>
          <w:sz w:val="24"/>
          <w:szCs w:val="24"/>
        </w:rPr>
        <w:t xml:space="preserve">, and (vii)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Xanthomonas oryzae</w:t>
      </w:r>
      <w:r w:rsidRPr="006573B4">
        <w:rPr>
          <w:rFonts w:ascii="Times New Roman" w:hAnsi="Times New Roman" w:cs="Times New Roman"/>
          <w:sz w:val="24"/>
          <w:szCs w:val="24"/>
        </w:rPr>
        <w:t xml:space="preserve">. c. Differential expression of tRFs in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Solanum lycopersicum</w:t>
      </w:r>
      <w:r w:rsidRPr="006573B4">
        <w:rPr>
          <w:rFonts w:ascii="Times New Roman" w:hAnsi="Times New Roman" w:cs="Times New Roman"/>
          <w:sz w:val="24"/>
          <w:szCs w:val="24"/>
        </w:rPr>
        <w:t xml:space="preserve"> under various pathogen infections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.</w:t>
      </w:r>
      <w:r w:rsidRPr="006573B4">
        <w:rPr>
          <w:rFonts w:ascii="Times New Roman" w:hAnsi="Times New Roman" w:cs="Times New Roman"/>
          <w:sz w:val="24"/>
          <w:szCs w:val="24"/>
        </w:rPr>
        <w:t xml:space="preserve"> The bar plots represent the number of upregulated and downregulated tRFs in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Solanum lycopersicum</w:t>
      </w:r>
      <w:r w:rsidRPr="006573B4">
        <w:rPr>
          <w:rFonts w:ascii="Times New Roman" w:hAnsi="Times New Roman" w:cs="Times New Roman"/>
          <w:sz w:val="24"/>
          <w:szCs w:val="24"/>
        </w:rPr>
        <w:t xml:space="preserve"> in response to infections caused by (i)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Alternaria</w:t>
      </w:r>
      <w:r w:rsidRPr="006573B4">
        <w:rPr>
          <w:rFonts w:ascii="Times New Roman" w:hAnsi="Times New Roman" w:cs="Times New Roman"/>
          <w:sz w:val="24"/>
          <w:szCs w:val="24"/>
        </w:rPr>
        <w:t xml:space="preserve">, (ii)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Fusarium </w:t>
      </w:r>
      <w:proofErr w:type="spellStart"/>
      <w:r w:rsidRPr="006573B4">
        <w:rPr>
          <w:rFonts w:ascii="Times New Roman" w:hAnsi="Times New Roman" w:cs="Times New Roman"/>
          <w:i/>
          <w:iCs/>
          <w:sz w:val="24"/>
          <w:szCs w:val="24"/>
        </w:rPr>
        <w:t>oxysporum</w:t>
      </w:r>
      <w:proofErr w:type="spellEnd"/>
      <w:r w:rsidRPr="006573B4">
        <w:rPr>
          <w:rFonts w:ascii="Times New Roman" w:hAnsi="Times New Roman" w:cs="Times New Roman"/>
          <w:sz w:val="24"/>
          <w:szCs w:val="24"/>
        </w:rPr>
        <w:t xml:space="preserve"> (iii)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Meloidogyne incognita</w:t>
      </w:r>
      <w:r w:rsidRPr="006573B4">
        <w:rPr>
          <w:rFonts w:ascii="Times New Roman" w:hAnsi="Times New Roman" w:cs="Times New Roman"/>
          <w:sz w:val="24"/>
          <w:szCs w:val="24"/>
        </w:rPr>
        <w:t xml:space="preserve">, and (iv) 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>Tomato mosaic virus</w:t>
      </w:r>
      <w:r w:rsidRPr="006573B4">
        <w:rPr>
          <w:rFonts w:ascii="Times New Roman" w:hAnsi="Times New Roman" w:cs="Times New Roman"/>
          <w:sz w:val="24"/>
          <w:szCs w:val="24"/>
        </w:rPr>
        <w:t>.</w:t>
      </w:r>
    </w:p>
    <w:p w14:paraId="1E75B4B1" w14:textId="4D93ADCC" w:rsidR="00715BF1" w:rsidRPr="002B61F8" w:rsidRDefault="002B61F8" w:rsidP="00715B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  <w14:ligatures w14:val="standardContextual"/>
        </w:rPr>
        <w:drawing>
          <wp:inline distT="0" distB="0" distL="0" distR="0" wp14:anchorId="01DEDEDB" wp14:editId="205F1E3A">
            <wp:extent cx="5980513" cy="1708150"/>
            <wp:effectExtent l="0" t="0" r="1270" b="6350"/>
            <wp:docPr id="179576698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5766982" name="Picture 1795766982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7386" cy="17129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5BF1" w:rsidRPr="006573B4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S3</w:t>
      </w:r>
      <w:r w:rsidR="00715BF1" w:rsidRPr="006573B4">
        <w:rPr>
          <w:rFonts w:ascii="Times New Roman" w:hAnsi="Times New Roman" w:cs="Times New Roman"/>
          <w:sz w:val="24"/>
          <w:szCs w:val="24"/>
          <w:lang w:val="en-US"/>
        </w:rPr>
        <w:t>:</w:t>
      </w:r>
      <w:r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15BF1" w:rsidRPr="006573B4">
        <w:rPr>
          <w:rFonts w:ascii="Times New Roman" w:hAnsi="Times New Roman" w:cs="Times New Roman"/>
          <w:sz w:val="24"/>
          <w:szCs w:val="24"/>
        </w:rPr>
        <w:t xml:space="preserve">Stacked bar plots depicting the abundance of tRF subclasses based on differential expression in three species: (a) </w:t>
      </w:r>
      <w:r w:rsidR="00715BF1" w:rsidRPr="006573B4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="00715BF1" w:rsidRPr="006573B4">
        <w:rPr>
          <w:rFonts w:ascii="Times New Roman" w:hAnsi="Times New Roman" w:cs="Times New Roman"/>
          <w:sz w:val="24"/>
          <w:szCs w:val="24"/>
        </w:rPr>
        <w:t xml:space="preserve"> (b) </w:t>
      </w:r>
      <w:r w:rsidR="00715BF1"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Oryza sativa </w:t>
      </w:r>
      <w:r w:rsidR="00715BF1" w:rsidRPr="006573B4">
        <w:rPr>
          <w:rFonts w:ascii="Times New Roman" w:hAnsi="Times New Roman" w:cs="Times New Roman"/>
          <w:sz w:val="24"/>
          <w:szCs w:val="24"/>
        </w:rPr>
        <w:t xml:space="preserve">and (c) </w:t>
      </w:r>
      <w:r w:rsidR="00715BF1" w:rsidRPr="006573B4">
        <w:rPr>
          <w:rFonts w:ascii="Times New Roman" w:hAnsi="Times New Roman" w:cs="Times New Roman"/>
          <w:i/>
          <w:iCs/>
          <w:sz w:val="24"/>
          <w:szCs w:val="24"/>
        </w:rPr>
        <w:t>Solanum lycopersicum</w:t>
      </w:r>
      <w:r w:rsidR="00715BF1" w:rsidRPr="006573B4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4A1AB57" w14:textId="2BC94015" w:rsidR="00715BF1" w:rsidRPr="00A2112B" w:rsidRDefault="00A2112B" w:rsidP="00715B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val="en-US"/>
          <w14:ligatures w14:val="standardContextual"/>
        </w:rPr>
        <w:drawing>
          <wp:inline distT="0" distB="0" distL="0" distR="0" wp14:anchorId="2CE6F5BC" wp14:editId="3D5F8D1D">
            <wp:extent cx="5731510" cy="2315845"/>
            <wp:effectExtent l="0" t="0" r="2540" b="8255"/>
            <wp:docPr id="18459927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5992743" name="Picture 184599274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31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5BF1" w:rsidRPr="006573B4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 S4</w:t>
      </w:r>
      <w:r w:rsidR="00715BF1" w:rsidRPr="006573B4">
        <w:rPr>
          <w:rFonts w:ascii="Times New Roman" w:hAnsi="Times New Roman" w:cs="Times New Roman"/>
          <w:sz w:val="24"/>
          <w:szCs w:val="24"/>
          <w:lang w:val="en-US"/>
        </w:rPr>
        <w:t>:</w:t>
      </w:r>
      <w:r w:rsidR="002B61F8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  <w:r w:rsidR="00715BF1" w:rsidRPr="006573B4">
        <w:rPr>
          <w:rFonts w:ascii="Times New Roman" w:hAnsi="Times New Roman" w:cs="Times New Roman"/>
          <w:sz w:val="24"/>
          <w:szCs w:val="24"/>
        </w:rPr>
        <w:t>Pie charts illustrating the distribution of top 10 upregulated and downregulated parental tRNAs across species. (a) Upregulated (b) Downregulated.</w:t>
      </w:r>
    </w:p>
    <w:p w14:paraId="00DB8082" w14:textId="76D75D4F" w:rsidR="00A2112B" w:rsidRDefault="00A2112B" w:rsidP="00715B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F23A6A5" wp14:editId="2E295F65">
            <wp:extent cx="5490411" cy="5490411"/>
            <wp:effectExtent l="0" t="0" r="0" b="0"/>
            <wp:docPr id="16686006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68600689" name="Picture 1668600689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93564" cy="54935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36F58E" w14:textId="31A7A3CE" w:rsidR="00715BF1" w:rsidRPr="003E7E70" w:rsidRDefault="00A2112B" w:rsidP="00715B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29402989" wp14:editId="2224FFE0">
            <wp:extent cx="5731510" cy="2434390"/>
            <wp:effectExtent l="0" t="0" r="2540" b="4445"/>
            <wp:docPr id="67791376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913762" name="Picture 67791376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5370" b="32156"/>
                    <a:stretch/>
                  </pic:blipFill>
                  <pic:spPr bwMode="auto">
                    <a:xfrm>
                      <a:off x="0" y="0"/>
                      <a:ext cx="5731510" cy="24343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15BF1" w:rsidRPr="006573B4">
        <w:rPr>
          <w:rFonts w:ascii="Times New Roman" w:hAnsi="Times New Roman" w:cs="Times New Roman"/>
          <w:b/>
          <w:bCs/>
          <w:sz w:val="24"/>
          <w:szCs w:val="24"/>
        </w:rPr>
        <w:t>Figure S5:</w:t>
      </w:r>
      <w:r w:rsidR="00715BF1" w:rsidRPr="006573B4">
        <w:rPr>
          <w:rFonts w:ascii="Times New Roman" w:hAnsi="Times New Roman" w:cs="Times New Roman"/>
          <w:sz w:val="24"/>
          <w:szCs w:val="24"/>
        </w:rPr>
        <w:t xml:space="preserve"> GO enrichment of the mRNA targets of the tRFs generated from GluTTC in two species: (a) </w:t>
      </w:r>
      <w:r w:rsidR="00715BF1" w:rsidRPr="006573B4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="00715BF1" w:rsidRPr="006573B4">
        <w:rPr>
          <w:rFonts w:ascii="Times New Roman" w:hAnsi="Times New Roman" w:cs="Times New Roman"/>
          <w:sz w:val="24"/>
          <w:szCs w:val="24"/>
        </w:rPr>
        <w:t xml:space="preserve"> (b) </w:t>
      </w:r>
      <w:r w:rsidR="00715BF1" w:rsidRPr="006573B4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="00715BF1" w:rsidRPr="006573B4">
        <w:rPr>
          <w:rFonts w:ascii="Times New Roman" w:hAnsi="Times New Roman" w:cs="Times New Roman"/>
          <w:sz w:val="24"/>
          <w:szCs w:val="24"/>
        </w:rPr>
        <w:t>.</w:t>
      </w:r>
    </w:p>
    <w:p w14:paraId="3531D6F3" w14:textId="056787FD" w:rsidR="00A2112B" w:rsidRDefault="00A2112B" w:rsidP="00715B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6FD8A23D" wp14:editId="1B6AE6C7">
            <wp:extent cx="5004632" cy="5649686"/>
            <wp:effectExtent l="0" t="0" r="5715" b="8255"/>
            <wp:docPr id="1739223842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223842" name="Picture 173922384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19204" cy="56661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773754" w14:textId="35A5D038" w:rsidR="00715BF1" w:rsidRPr="006573B4" w:rsidRDefault="00715BF1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73B4">
        <w:rPr>
          <w:rFonts w:ascii="Times New Roman" w:hAnsi="Times New Roman" w:cs="Times New Roman"/>
          <w:b/>
          <w:bCs/>
          <w:sz w:val="24"/>
          <w:szCs w:val="24"/>
        </w:rPr>
        <w:t>Figure S6:</w:t>
      </w:r>
      <w:r w:rsidRPr="006573B4">
        <w:rPr>
          <w:rFonts w:ascii="Times New Roman" w:hAnsi="Times New Roman" w:cs="Times New Roman"/>
          <w:sz w:val="24"/>
          <w:szCs w:val="24"/>
        </w:rPr>
        <w:t xml:space="preserve"> Functional enrichment analysis of mRNA targets across three species, categorized into: (a) Molecular Functions, (b) Biological Processes, and (c) Cellular Components.</w:t>
      </w:r>
    </w:p>
    <w:p w14:paraId="426DD277" w14:textId="6E840CEC" w:rsidR="00A2112B" w:rsidRDefault="00A2112B" w:rsidP="00715BF1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14:ligatures w14:val="standardContextual"/>
        </w:rPr>
        <w:drawing>
          <wp:inline distT="0" distB="0" distL="0" distR="0" wp14:anchorId="5AF0B19E" wp14:editId="477F01DC">
            <wp:extent cx="5974212" cy="1422400"/>
            <wp:effectExtent l="0" t="0" r="7620" b="6350"/>
            <wp:docPr id="514035387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4035387" name="Picture 51403538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86000" cy="14252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927D31" w14:textId="507C0F8F" w:rsidR="00715BF1" w:rsidRDefault="00715BF1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E693C">
        <w:rPr>
          <w:rFonts w:ascii="Times New Roman" w:hAnsi="Times New Roman" w:cs="Times New Roman"/>
          <w:b/>
          <w:bCs/>
          <w:sz w:val="24"/>
          <w:szCs w:val="24"/>
        </w:rPr>
        <w:t>Figure S7:</w:t>
      </w:r>
      <w:r w:rsidRPr="004E693C">
        <w:rPr>
          <w:rFonts w:ascii="Times New Roman" w:hAnsi="Times New Roman" w:cs="Times New Roman"/>
          <w:sz w:val="24"/>
          <w:szCs w:val="24"/>
        </w:rPr>
        <w:t xml:space="preserve"> </w:t>
      </w:r>
      <w:r w:rsidRPr="006573B4">
        <w:rPr>
          <w:rFonts w:ascii="Times New Roman" w:hAnsi="Times New Roman" w:cs="Times New Roman"/>
          <w:sz w:val="24"/>
          <w:szCs w:val="24"/>
        </w:rPr>
        <w:t>Stacked b</w:t>
      </w:r>
      <w:r w:rsidRPr="004E693C">
        <w:rPr>
          <w:rFonts w:ascii="Times New Roman" w:hAnsi="Times New Roman" w:cs="Times New Roman"/>
          <w:sz w:val="24"/>
          <w:szCs w:val="24"/>
        </w:rPr>
        <w:t>ar plots representing Gene Ontology (GO) enrichment analysis for mRNA targets in three species: (</w:t>
      </w:r>
      <w:r w:rsidRPr="006573B4">
        <w:rPr>
          <w:rFonts w:ascii="Times New Roman" w:hAnsi="Times New Roman" w:cs="Times New Roman"/>
          <w:sz w:val="24"/>
          <w:szCs w:val="24"/>
        </w:rPr>
        <w:t>a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4E693C">
        <w:rPr>
          <w:rFonts w:ascii="Times New Roman" w:hAnsi="Times New Roman" w:cs="Times New Roman"/>
          <w:sz w:val="24"/>
          <w:szCs w:val="24"/>
        </w:rPr>
        <w:t>, (</w:t>
      </w:r>
      <w:r w:rsidRPr="006573B4">
        <w:rPr>
          <w:rFonts w:ascii="Times New Roman" w:hAnsi="Times New Roman" w:cs="Times New Roman"/>
          <w:sz w:val="24"/>
          <w:szCs w:val="24"/>
        </w:rPr>
        <w:t>b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Pr="004E693C">
        <w:rPr>
          <w:rFonts w:ascii="Times New Roman" w:hAnsi="Times New Roman" w:cs="Times New Roman"/>
          <w:sz w:val="24"/>
          <w:szCs w:val="24"/>
        </w:rPr>
        <w:t>, and (</w:t>
      </w:r>
      <w:r w:rsidRPr="006573B4">
        <w:rPr>
          <w:rFonts w:ascii="Times New Roman" w:hAnsi="Times New Roman" w:cs="Times New Roman"/>
          <w:sz w:val="24"/>
          <w:szCs w:val="24"/>
        </w:rPr>
        <w:t>c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Solanum lycopersicum</w:t>
      </w:r>
      <w:r w:rsidRPr="004E693C">
        <w:rPr>
          <w:rFonts w:ascii="Times New Roman" w:hAnsi="Times New Roman" w:cs="Times New Roman"/>
          <w:sz w:val="24"/>
          <w:szCs w:val="24"/>
        </w:rPr>
        <w:t>.</w:t>
      </w:r>
    </w:p>
    <w:p w14:paraId="54D11443" w14:textId="37042294" w:rsidR="00A2112B" w:rsidRPr="006573B4" w:rsidRDefault="00A2112B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34AF5684" wp14:editId="57B4A085">
            <wp:extent cx="5731510" cy="2457450"/>
            <wp:effectExtent l="0" t="0" r="2540" b="0"/>
            <wp:docPr id="1684474305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4474305" name="Picture 1684474305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27"/>
                    <a:stretch/>
                  </pic:blipFill>
                  <pic:spPr bwMode="auto">
                    <a:xfrm>
                      <a:off x="0" y="0"/>
                      <a:ext cx="5731510" cy="2457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2D97508" w14:textId="77777777" w:rsidR="00715BF1" w:rsidRDefault="00715BF1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73B4">
        <w:rPr>
          <w:rFonts w:ascii="Times New Roman" w:hAnsi="Times New Roman" w:cs="Times New Roman"/>
          <w:b/>
          <w:bCs/>
          <w:sz w:val="24"/>
          <w:szCs w:val="24"/>
        </w:rPr>
        <w:t xml:space="preserve">Figure S8: </w:t>
      </w:r>
      <w:r w:rsidRPr="006573B4">
        <w:rPr>
          <w:rFonts w:ascii="Times New Roman" w:hAnsi="Times New Roman" w:cs="Times New Roman"/>
          <w:sz w:val="24"/>
          <w:szCs w:val="24"/>
        </w:rPr>
        <w:t xml:space="preserve">Venn diagram visualizes the overlap of differentially expressed genes across various biotic stress in three species: </w:t>
      </w:r>
      <w:r w:rsidRPr="004E693C">
        <w:rPr>
          <w:rFonts w:ascii="Times New Roman" w:hAnsi="Times New Roman" w:cs="Times New Roman"/>
          <w:sz w:val="24"/>
          <w:szCs w:val="24"/>
        </w:rPr>
        <w:t>(</w:t>
      </w:r>
      <w:r w:rsidRPr="006573B4">
        <w:rPr>
          <w:rFonts w:ascii="Times New Roman" w:hAnsi="Times New Roman" w:cs="Times New Roman"/>
          <w:sz w:val="24"/>
          <w:szCs w:val="24"/>
        </w:rPr>
        <w:t>a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4E693C">
        <w:rPr>
          <w:rFonts w:ascii="Times New Roman" w:hAnsi="Times New Roman" w:cs="Times New Roman"/>
          <w:sz w:val="24"/>
          <w:szCs w:val="24"/>
        </w:rPr>
        <w:t>, (</w:t>
      </w:r>
      <w:r w:rsidRPr="006573B4">
        <w:rPr>
          <w:rFonts w:ascii="Times New Roman" w:hAnsi="Times New Roman" w:cs="Times New Roman"/>
          <w:sz w:val="24"/>
          <w:szCs w:val="24"/>
        </w:rPr>
        <w:t>b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Pr="004E693C">
        <w:rPr>
          <w:rFonts w:ascii="Times New Roman" w:hAnsi="Times New Roman" w:cs="Times New Roman"/>
          <w:sz w:val="24"/>
          <w:szCs w:val="24"/>
        </w:rPr>
        <w:t>, and (</w:t>
      </w:r>
      <w:r w:rsidRPr="006573B4">
        <w:rPr>
          <w:rFonts w:ascii="Times New Roman" w:hAnsi="Times New Roman" w:cs="Times New Roman"/>
          <w:sz w:val="24"/>
          <w:szCs w:val="24"/>
        </w:rPr>
        <w:t>c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Solanum lycopersicum</w:t>
      </w:r>
      <w:r w:rsidRPr="004E693C">
        <w:rPr>
          <w:rFonts w:ascii="Times New Roman" w:hAnsi="Times New Roman" w:cs="Times New Roman"/>
          <w:sz w:val="24"/>
          <w:szCs w:val="24"/>
        </w:rPr>
        <w:t>.</w:t>
      </w:r>
    </w:p>
    <w:p w14:paraId="362FAFB5" w14:textId="381A36B4" w:rsidR="00A2112B" w:rsidRPr="006573B4" w:rsidRDefault="00A2112B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drawing>
          <wp:inline distT="0" distB="0" distL="0" distR="0" wp14:anchorId="60B15DBF" wp14:editId="0210C079">
            <wp:extent cx="5731510" cy="2877185"/>
            <wp:effectExtent l="0" t="0" r="2540" b="0"/>
            <wp:docPr id="26225900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2259001" name="Picture 262259001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77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6B582B" w14:textId="77777777" w:rsidR="00715BF1" w:rsidRDefault="00715BF1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FD00A7">
        <w:rPr>
          <w:rFonts w:ascii="Times New Roman" w:hAnsi="Times New Roman" w:cs="Times New Roman"/>
          <w:b/>
          <w:bCs/>
          <w:sz w:val="24"/>
          <w:szCs w:val="24"/>
        </w:rPr>
        <w:t xml:space="preserve">Figure S9: </w:t>
      </w:r>
      <w:r w:rsidRPr="00FD00A7">
        <w:rPr>
          <w:rFonts w:ascii="Times New Roman" w:hAnsi="Times New Roman" w:cs="Times New Roman"/>
          <w:sz w:val="24"/>
          <w:szCs w:val="24"/>
        </w:rPr>
        <w:t xml:space="preserve">GO enrichment analysis of the overlapping genes in </w:t>
      </w:r>
      <w:r w:rsidRPr="006573B4">
        <w:rPr>
          <w:rFonts w:ascii="Times New Roman" w:hAnsi="Times New Roman" w:cs="Times New Roman"/>
          <w:sz w:val="24"/>
          <w:szCs w:val="24"/>
        </w:rPr>
        <w:t xml:space="preserve">three species: </w:t>
      </w:r>
      <w:r w:rsidRPr="004E693C">
        <w:rPr>
          <w:rFonts w:ascii="Times New Roman" w:hAnsi="Times New Roman" w:cs="Times New Roman"/>
          <w:sz w:val="24"/>
          <w:szCs w:val="24"/>
        </w:rPr>
        <w:t>(</w:t>
      </w:r>
      <w:r w:rsidRPr="006573B4">
        <w:rPr>
          <w:rFonts w:ascii="Times New Roman" w:hAnsi="Times New Roman" w:cs="Times New Roman"/>
          <w:sz w:val="24"/>
          <w:szCs w:val="24"/>
        </w:rPr>
        <w:t>a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573B4">
        <w:rPr>
          <w:rFonts w:ascii="Times New Roman" w:hAnsi="Times New Roman" w:cs="Times New Roman"/>
          <w:sz w:val="24"/>
          <w:szCs w:val="24"/>
        </w:rPr>
        <w:t>from g: profiler (</w:t>
      </w:r>
      <w:hyperlink r:id="rId14" w:history="1">
        <w:r w:rsidRPr="006573B4">
          <w:rPr>
            <w:rStyle w:val="Hyperlink"/>
            <w:rFonts w:ascii="Times New Roman" w:hAnsi="Times New Roman" w:cs="Times New Roman"/>
            <w:sz w:val="24"/>
            <w:szCs w:val="24"/>
          </w:rPr>
          <w:t>https://biit.cs.ut.ee/gprofiler/gost</w:t>
        </w:r>
      </w:hyperlink>
      <w:r w:rsidRPr="006573B4">
        <w:rPr>
          <w:rFonts w:ascii="Times New Roman" w:hAnsi="Times New Roman" w:cs="Times New Roman"/>
          <w:sz w:val="24"/>
          <w:szCs w:val="24"/>
        </w:rPr>
        <w:t>),</w:t>
      </w:r>
      <w:r w:rsidRPr="004E693C">
        <w:rPr>
          <w:rFonts w:ascii="Times New Roman" w:hAnsi="Times New Roman" w:cs="Times New Roman"/>
          <w:sz w:val="24"/>
          <w:szCs w:val="24"/>
        </w:rPr>
        <w:t xml:space="preserve"> (</w:t>
      </w:r>
      <w:r w:rsidRPr="006573B4">
        <w:rPr>
          <w:rFonts w:ascii="Times New Roman" w:hAnsi="Times New Roman" w:cs="Times New Roman"/>
          <w:sz w:val="24"/>
          <w:szCs w:val="24"/>
        </w:rPr>
        <w:t>b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Pr="006573B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r w:rsidRPr="006573B4">
        <w:rPr>
          <w:rFonts w:ascii="Times New Roman" w:hAnsi="Times New Roman" w:cs="Times New Roman"/>
          <w:sz w:val="24"/>
          <w:szCs w:val="24"/>
        </w:rPr>
        <w:t>from g: profiler (</w:t>
      </w:r>
      <w:hyperlink r:id="rId15" w:history="1">
        <w:r w:rsidRPr="006573B4">
          <w:rPr>
            <w:rStyle w:val="Hyperlink"/>
            <w:rFonts w:ascii="Times New Roman" w:hAnsi="Times New Roman" w:cs="Times New Roman"/>
            <w:sz w:val="24"/>
            <w:szCs w:val="24"/>
          </w:rPr>
          <w:t>https://biit.cs.ut.ee/gprofiler/gost</w:t>
        </w:r>
      </w:hyperlink>
      <w:r w:rsidRPr="006573B4">
        <w:rPr>
          <w:rFonts w:ascii="Times New Roman" w:hAnsi="Times New Roman" w:cs="Times New Roman"/>
          <w:sz w:val="24"/>
          <w:szCs w:val="24"/>
        </w:rPr>
        <w:t>),</w:t>
      </w:r>
      <w:r w:rsidRPr="004E693C">
        <w:rPr>
          <w:rFonts w:ascii="Times New Roman" w:hAnsi="Times New Roman" w:cs="Times New Roman"/>
          <w:sz w:val="24"/>
          <w:szCs w:val="24"/>
        </w:rPr>
        <w:t xml:space="preserve"> and (</w:t>
      </w:r>
      <w:r w:rsidRPr="006573B4">
        <w:rPr>
          <w:rFonts w:ascii="Times New Roman" w:hAnsi="Times New Roman" w:cs="Times New Roman"/>
          <w:sz w:val="24"/>
          <w:szCs w:val="24"/>
        </w:rPr>
        <w:t>c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Solanum lycopersicum</w:t>
      </w:r>
      <w:r w:rsidRPr="006573B4">
        <w:rPr>
          <w:rFonts w:ascii="Times New Roman" w:hAnsi="Times New Roman" w:cs="Times New Roman"/>
          <w:sz w:val="24"/>
          <w:szCs w:val="24"/>
        </w:rPr>
        <w:t xml:space="preserve"> from DAVID (</w:t>
      </w:r>
      <w:hyperlink r:id="rId16" w:history="1">
        <w:r w:rsidRPr="006573B4">
          <w:rPr>
            <w:rStyle w:val="Hyperlink"/>
            <w:rFonts w:ascii="Times New Roman" w:hAnsi="Times New Roman" w:cs="Times New Roman"/>
            <w:sz w:val="24"/>
            <w:szCs w:val="24"/>
          </w:rPr>
          <w:t>https://davidbioinformatics.nih.gov/</w:t>
        </w:r>
      </w:hyperlink>
      <w:r w:rsidRPr="006573B4">
        <w:rPr>
          <w:rFonts w:ascii="Times New Roman" w:hAnsi="Times New Roman" w:cs="Times New Roman"/>
          <w:sz w:val="24"/>
          <w:szCs w:val="24"/>
        </w:rPr>
        <w:t xml:space="preserve">). </w:t>
      </w:r>
    </w:p>
    <w:p w14:paraId="1F42B8E2" w14:textId="7A861C28" w:rsidR="00A2112B" w:rsidRPr="006573B4" w:rsidRDefault="00A2112B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14:ligatures w14:val="standardContextual"/>
        </w:rPr>
        <w:lastRenderedPageBreak/>
        <w:drawing>
          <wp:inline distT="0" distB="0" distL="0" distR="0" wp14:anchorId="05F32F15" wp14:editId="287094FF">
            <wp:extent cx="5731510" cy="2675890"/>
            <wp:effectExtent l="0" t="0" r="2540" b="0"/>
            <wp:docPr id="832348671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2348671" name="Picture 83234867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675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226688" w14:textId="77777777" w:rsidR="00715BF1" w:rsidRPr="006573B4" w:rsidRDefault="00715BF1" w:rsidP="00715BF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573B4">
        <w:rPr>
          <w:rFonts w:ascii="Times New Roman" w:hAnsi="Times New Roman" w:cs="Times New Roman"/>
          <w:b/>
          <w:bCs/>
          <w:sz w:val="24"/>
          <w:szCs w:val="24"/>
        </w:rPr>
        <w:t xml:space="preserve">Figure S10: </w:t>
      </w:r>
      <w:r w:rsidRPr="006573B4">
        <w:rPr>
          <w:rFonts w:ascii="Times New Roman" w:hAnsi="Times New Roman" w:cs="Times New Roman"/>
          <w:sz w:val="24"/>
          <w:szCs w:val="24"/>
        </w:rPr>
        <w:t xml:space="preserve">Flowchart illustrating the mRNA-miRNA interaction across two species: </w:t>
      </w:r>
      <w:r w:rsidRPr="004E693C">
        <w:rPr>
          <w:rFonts w:ascii="Times New Roman" w:hAnsi="Times New Roman" w:cs="Times New Roman"/>
          <w:sz w:val="24"/>
          <w:szCs w:val="24"/>
        </w:rPr>
        <w:t>(</w:t>
      </w:r>
      <w:r w:rsidRPr="006573B4">
        <w:rPr>
          <w:rFonts w:ascii="Times New Roman" w:hAnsi="Times New Roman" w:cs="Times New Roman"/>
          <w:sz w:val="24"/>
          <w:szCs w:val="24"/>
        </w:rPr>
        <w:t>a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Arabidopsis thaliana</w:t>
      </w:r>
      <w:r w:rsidRPr="004E693C">
        <w:rPr>
          <w:rFonts w:ascii="Times New Roman" w:hAnsi="Times New Roman" w:cs="Times New Roman"/>
          <w:sz w:val="24"/>
          <w:szCs w:val="24"/>
        </w:rPr>
        <w:t xml:space="preserve">, </w:t>
      </w:r>
      <w:r w:rsidRPr="006573B4">
        <w:rPr>
          <w:rFonts w:ascii="Times New Roman" w:hAnsi="Times New Roman" w:cs="Times New Roman"/>
          <w:sz w:val="24"/>
          <w:szCs w:val="24"/>
        </w:rPr>
        <w:t xml:space="preserve">and </w:t>
      </w:r>
      <w:r w:rsidRPr="004E693C">
        <w:rPr>
          <w:rFonts w:ascii="Times New Roman" w:hAnsi="Times New Roman" w:cs="Times New Roman"/>
          <w:sz w:val="24"/>
          <w:szCs w:val="24"/>
        </w:rPr>
        <w:t>(</w:t>
      </w:r>
      <w:r w:rsidRPr="006573B4">
        <w:rPr>
          <w:rFonts w:ascii="Times New Roman" w:hAnsi="Times New Roman" w:cs="Times New Roman"/>
          <w:sz w:val="24"/>
          <w:szCs w:val="24"/>
        </w:rPr>
        <w:t>b</w:t>
      </w:r>
      <w:r w:rsidRPr="004E693C">
        <w:rPr>
          <w:rFonts w:ascii="Times New Roman" w:hAnsi="Times New Roman" w:cs="Times New Roman"/>
          <w:sz w:val="24"/>
          <w:szCs w:val="24"/>
        </w:rPr>
        <w:t xml:space="preserve">) </w:t>
      </w:r>
      <w:r w:rsidRPr="004E693C">
        <w:rPr>
          <w:rFonts w:ascii="Times New Roman" w:hAnsi="Times New Roman" w:cs="Times New Roman"/>
          <w:i/>
          <w:iCs/>
          <w:sz w:val="24"/>
          <w:szCs w:val="24"/>
        </w:rPr>
        <w:t>Oryza sativa</w:t>
      </w:r>
      <w:r w:rsidRPr="006573B4">
        <w:rPr>
          <w:rFonts w:ascii="Times New Roman" w:hAnsi="Times New Roman" w:cs="Times New Roman"/>
          <w:sz w:val="24"/>
          <w:szCs w:val="24"/>
        </w:rPr>
        <w:t>.</w:t>
      </w:r>
    </w:p>
    <w:p w14:paraId="2073B739" w14:textId="77777777" w:rsidR="00715BF1" w:rsidRPr="00EA7E4F" w:rsidRDefault="00715BF1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sectPr w:rsidR="00715BF1" w:rsidRPr="00EA7E4F" w:rsidSect="00D53FF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1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25B6"/>
    <w:rsid w:val="00140BBA"/>
    <w:rsid w:val="001835D2"/>
    <w:rsid w:val="00215E08"/>
    <w:rsid w:val="002B61F8"/>
    <w:rsid w:val="002C25B6"/>
    <w:rsid w:val="002D482F"/>
    <w:rsid w:val="00327BD7"/>
    <w:rsid w:val="003A04D3"/>
    <w:rsid w:val="003E7E70"/>
    <w:rsid w:val="004F31F9"/>
    <w:rsid w:val="005F7AAB"/>
    <w:rsid w:val="00715BF1"/>
    <w:rsid w:val="00757BDE"/>
    <w:rsid w:val="007A20F2"/>
    <w:rsid w:val="009B4B62"/>
    <w:rsid w:val="00A2112B"/>
    <w:rsid w:val="00AE54A8"/>
    <w:rsid w:val="00B4596F"/>
    <w:rsid w:val="00BD5613"/>
    <w:rsid w:val="00CA6245"/>
    <w:rsid w:val="00D53FFF"/>
    <w:rsid w:val="00EA7E4F"/>
    <w:rsid w:val="00EE77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14B8DD"/>
  <w15:chartTrackingRefBased/>
  <w15:docId w15:val="{B13CF872-36B0-45EA-BC5E-4BCCFFD71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BF1"/>
    <w:pPr>
      <w:suppressAutoHyphens/>
    </w:pPr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15BF1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unhideWhenUsed/>
    <w:qFormat/>
    <w:rsid w:val="00715BF1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LineNumber">
    <w:name w:val="line number"/>
    <w:basedOn w:val="DefaultParagraphFont"/>
    <w:uiPriority w:val="99"/>
    <w:semiHidden/>
    <w:unhideWhenUsed/>
    <w:rsid w:val="00715BF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tiff"/><Relationship Id="rId13" Type="http://schemas.openxmlformats.org/officeDocument/2006/relationships/image" Target="media/image10.tiff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12" Type="http://schemas.openxmlformats.org/officeDocument/2006/relationships/image" Target="media/image9.tiff"/><Relationship Id="rId17" Type="http://schemas.openxmlformats.org/officeDocument/2006/relationships/image" Target="media/image11.tiff"/><Relationship Id="rId2" Type="http://schemas.openxmlformats.org/officeDocument/2006/relationships/settings" Target="settings.xml"/><Relationship Id="rId16" Type="http://schemas.openxmlformats.org/officeDocument/2006/relationships/hyperlink" Target="https://davidbioinformatics.nih.gov/" TargetMode="Externa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11" Type="http://schemas.openxmlformats.org/officeDocument/2006/relationships/image" Target="media/image8.tiff"/><Relationship Id="rId5" Type="http://schemas.openxmlformats.org/officeDocument/2006/relationships/image" Target="media/image2.tiff"/><Relationship Id="rId15" Type="http://schemas.openxmlformats.org/officeDocument/2006/relationships/hyperlink" Target="https://biit.cs.ut.ee/gprofiler/gost" TargetMode="External"/><Relationship Id="rId10" Type="http://schemas.openxmlformats.org/officeDocument/2006/relationships/image" Target="media/image7.tiff"/><Relationship Id="rId19" Type="http://schemas.openxmlformats.org/officeDocument/2006/relationships/theme" Target="theme/theme1.xml"/><Relationship Id="rId4" Type="http://schemas.openxmlformats.org/officeDocument/2006/relationships/image" Target="media/image1.tiff"/><Relationship Id="rId9" Type="http://schemas.openxmlformats.org/officeDocument/2006/relationships/image" Target="media/image6.jpeg"/><Relationship Id="rId14" Type="http://schemas.openxmlformats.org/officeDocument/2006/relationships/hyperlink" Target="https://biit.cs.ut.ee/gprofiler/gos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7</Pages>
  <Words>516</Words>
  <Characters>3203</Characters>
  <Application>Microsoft Office Word</Application>
  <DocSecurity>0</DocSecurity>
  <Lines>65</Lines>
  <Paragraphs>29</Paragraphs>
  <ScaleCrop>false</ScaleCrop>
  <Company/>
  <LinksUpToDate>false</LinksUpToDate>
  <CharactersWithSpaces>3690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Niyati Bisht</dc:creator>
  <cp:keywords/>
  <dc:description/>
  <cp:lastModifiedBy>Shailesh kumar</cp:lastModifiedBy>
  <cp:revision>21</cp:revision>
  <dcterms:created xsi:type="dcterms:W3CDTF">2024-12-18T11:11:00Z</dcterms:created>
  <dcterms:modified xsi:type="dcterms:W3CDTF">2025-01-12T06:27:00Z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81f3ab094ed7c2ce0458f058f22a1dea2c7ce31c3f503d391f0b9dc3cbdd3b73</vt:lpwstr>
  </property>
</Properties>
</file>