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charts/chart4.xml" ContentType="application/vnd.openxmlformats-officedocument.drawingml.chart+xml"/>
  <Override PartName="/word/charts/chart5.xml" ContentType="application/vnd.openxmlformats-officedocument.drawingml.chart+xml"/>
  <Override PartName="/word/theme/theme1.xml" ContentType="application/vnd.openxmlformats-officedocument.theme+xml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C32E5" w:rsidRDefault="001C32E5" w:rsidP="001C32E5">
      <w:pPr>
        <w:spacing w:after="0" w:line="480" w:lineRule="auto"/>
        <w:jc w:val="both"/>
        <w:rPr>
          <w:rFonts w:ascii="Times New Roman" w:hAnsi="Times New Roman"/>
          <w:sz w:val="20"/>
          <w:szCs w:val="20"/>
        </w:rPr>
      </w:pPr>
      <w:proofErr w:type="gramStart"/>
      <w:r>
        <w:rPr>
          <w:rFonts w:ascii="Times New Roman" w:hAnsi="Times New Roman"/>
          <w:b/>
          <w:sz w:val="20"/>
          <w:szCs w:val="20"/>
        </w:rPr>
        <w:t>Table 1</w:t>
      </w:r>
      <w:r>
        <w:rPr>
          <w:rFonts w:ascii="Times New Roman" w:hAnsi="Times New Roman"/>
          <w:sz w:val="20"/>
          <w:szCs w:val="20"/>
        </w:rPr>
        <w:t>.</w:t>
      </w:r>
      <w:proofErr w:type="gramEnd"/>
      <w:r>
        <w:rPr>
          <w:rFonts w:ascii="Times New Roman" w:hAnsi="Times New Roman"/>
          <w:sz w:val="20"/>
          <w:szCs w:val="20"/>
        </w:rPr>
        <w:t xml:space="preserve"> Effects of </w:t>
      </w:r>
      <w:proofErr w:type="spellStart"/>
      <w:r>
        <w:rPr>
          <w:rFonts w:ascii="Times New Roman" w:hAnsi="Times New Roman"/>
          <w:i/>
          <w:sz w:val="20"/>
          <w:szCs w:val="20"/>
        </w:rPr>
        <w:t>Vernoniaamygdalina</w:t>
      </w:r>
      <w:proofErr w:type="spellEnd"/>
      <w:r>
        <w:rPr>
          <w:rFonts w:ascii="Times New Roman" w:hAnsi="Times New Roman"/>
          <w:sz w:val="20"/>
          <w:szCs w:val="20"/>
        </w:rPr>
        <w:t xml:space="preserve"> extract on blood glucose levels in </w:t>
      </w:r>
      <w:proofErr w:type="spellStart"/>
      <w:r>
        <w:rPr>
          <w:rFonts w:ascii="Times New Roman" w:hAnsi="Times New Roman"/>
          <w:sz w:val="20"/>
          <w:szCs w:val="20"/>
        </w:rPr>
        <w:t>alloxan</w:t>
      </w:r>
      <w:proofErr w:type="spellEnd"/>
      <w:r>
        <w:rPr>
          <w:rFonts w:ascii="Times New Roman" w:hAnsi="Times New Roman"/>
          <w:sz w:val="20"/>
          <w:szCs w:val="20"/>
        </w:rPr>
        <w:t>-induced diabetic rats</w:t>
      </w:r>
    </w:p>
    <w:tbl>
      <w:tblPr>
        <w:tblStyle w:val="LightShading"/>
        <w:tblW w:w="0" w:type="auto"/>
        <w:tblLook w:val="06A0"/>
      </w:tblPr>
      <w:tblGrid>
        <w:gridCol w:w="2394"/>
        <w:gridCol w:w="2394"/>
        <w:gridCol w:w="2394"/>
        <w:gridCol w:w="2394"/>
      </w:tblGrid>
      <w:tr w:rsidR="001C32E5" w:rsidTr="008D11C2">
        <w:trPr>
          <w:cnfStyle w:val="100000000000"/>
        </w:trPr>
        <w:tc>
          <w:tcPr>
            <w:cnfStyle w:val="001000000000"/>
            <w:tcW w:w="2394" w:type="dxa"/>
          </w:tcPr>
          <w:p w:rsidR="001C32E5" w:rsidRDefault="001C32E5" w:rsidP="008D11C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Group</w:t>
            </w:r>
          </w:p>
        </w:tc>
        <w:tc>
          <w:tcPr>
            <w:tcW w:w="2394" w:type="dxa"/>
          </w:tcPr>
          <w:p w:rsidR="001C32E5" w:rsidRDefault="001C32E5" w:rsidP="008D11C2">
            <w:pPr>
              <w:spacing w:after="0" w:line="240" w:lineRule="auto"/>
              <w:jc w:val="both"/>
              <w:cnfStyle w:val="10000000000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Initial Blood Glucose (mg/</w:t>
            </w:r>
            <w:proofErr w:type="spellStart"/>
            <w:r>
              <w:rPr>
                <w:rFonts w:ascii="Times New Roman" w:hAnsi="Times New Roman"/>
              </w:rPr>
              <w:t>dL</w:t>
            </w:r>
            <w:proofErr w:type="spellEnd"/>
            <w:r>
              <w:rPr>
                <w:rFonts w:ascii="Times New Roman" w:hAnsi="Times New Roman"/>
              </w:rPr>
              <w:t>)</w:t>
            </w:r>
          </w:p>
        </w:tc>
        <w:tc>
          <w:tcPr>
            <w:tcW w:w="2394" w:type="dxa"/>
          </w:tcPr>
          <w:p w:rsidR="001C32E5" w:rsidRDefault="001C32E5" w:rsidP="008D11C2">
            <w:pPr>
              <w:spacing w:after="0" w:line="240" w:lineRule="auto"/>
              <w:jc w:val="both"/>
              <w:cnfStyle w:val="10000000000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Final Blood Glucose (mg/</w:t>
            </w:r>
            <w:proofErr w:type="spellStart"/>
            <w:r>
              <w:rPr>
                <w:rFonts w:ascii="Times New Roman" w:hAnsi="Times New Roman"/>
              </w:rPr>
              <w:t>dL</w:t>
            </w:r>
            <w:proofErr w:type="spellEnd"/>
            <w:r>
              <w:rPr>
                <w:rFonts w:ascii="Times New Roman" w:hAnsi="Times New Roman"/>
              </w:rPr>
              <w:t>)</w:t>
            </w:r>
          </w:p>
        </w:tc>
        <w:tc>
          <w:tcPr>
            <w:tcW w:w="2394" w:type="dxa"/>
          </w:tcPr>
          <w:p w:rsidR="001C32E5" w:rsidRDefault="001C32E5" w:rsidP="008D11C2">
            <w:pPr>
              <w:spacing w:after="0" w:line="240" w:lineRule="auto"/>
              <w:jc w:val="both"/>
              <w:cnfStyle w:val="10000000000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% Reduction</w:t>
            </w:r>
          </w:p>
        </w:tc>
      </w:tr>
      <w:tr w:rsidR="001C32E5" w:rsidTr="008D11C2">
        <w:tc>
          <w:tcPr>
            <w:cnfStyle w:val="001000000000"/>
            <w:tcW w:w="2394" w:type="dxa"/>
          </w:tcPr>
          <w:p w:rsidR="001C32E5" w:rsidRDefault="001C32E5" w:rsidP="008D11C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Normal Control (1 </w:t>
            </w:r>
            <w:proofErr w:type="spellStart"/>
            <w:r>
              <w:rPr>
                <w:rFonts w:ascii="Times New Roman" w:hAnsi="Times New Roman"/>
              </w:rPr>
              <w:t>mL</w:t>
            </w:r>
            <w:proofErr w:type="spellEnd"/>
            <w:r>
              <w:rPr>
                <w:rFonts w:ascii="Times New Roman" w:hAnsi="Times New Roman"/>
              </w:rPr>
              <w:t>)</w:t>
            </w:r>
          </w:p>
        </w:tc>
        <w:tc>
          <w:tcPr>
            <w:tcW w:w="2394" w:type="dxa"/>
          </w:tcPr>
          <w:p w:rsidR="001C32E5" w:rsidRDefault="001C32E5" w:rsidP="008D11C2">
            <w:pPr>
              <w:spacing w:after="0" w:line="240" w:lineRule="auto"/>
              <w:jc w:val="both"/>
              <w:cnfStyle w:val="00000000000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85.2 ± 3.1</w:t>
            </w:r>
          </w:p>
        </w:tc>
        <w:tc>
          <w:tcPr>
            <w:tcW w:w="2394" w:type="dxa"/>
          </w:tcPr>
          <w:p w:rsidR="001C32E5" w:rsidRDefault="001C32E5" w:rsidP="008D11C2">
            <w:pPr>
              <w:spacing w:after="0" w:line="240" w:lineRule="auto"/>
              <w:jc w:val="both"/>
              <w:cnfStyle w:val="00000000000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84.5 ± 2.9</w:t>
            </w:r>
          </w:p>
        </w:tc>
        <w:tc>
          <w:tcPr>
            <w:tcW w:w="2394" w:type="dxa"/>
          </w:tcPr>
          <w:p w:rsidR="001C32E5" w:rsidRDefault="001C32E5" w:rsidP="008D11C2">
            <w:pPr>
              <w:spacing w:after="0" w:line="240" w:lineRule="auto"/>
              <w:jc w:val="both"/>
              <w:cnfStyle w:val="00000000000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</w:tr>
      <w:tr w:rsidR="001C32E5" w:rsidTr="008D11C2">
        <w:tc>
          <w:tcPr>
            <w:cnfStyle w:val="001000000000"/>
            <w:tcW w:w="2394" w:type="dxa"/>
          </w:tcPr>
          <w:p w:rsidR="001C32E5" w:rsidRDefault="001C32E5" w:rsidP="008D11C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Diabetic Control (150 mg/kg)</w:t>
            </w:r>
          </w:p>
        </w:tc>
        <w:tc>
          <w:tcPr>
            <w:tcW w:w="2394" w:type="dxa"/>
          </w:tcPr>
          <w:p w:rsidR="001C32E5" w:rsidRDefault="001C32E5" w:rsidP="008D11C2">
            <w:pPr>
              <w:spacing w:after="0" w:line="240" w:lineRule="auto"/>
              <w:jc w:val="both"/>
              <w:cnfStyle w:val="00000000000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245.6 ± 10.2</w:t>
            </w:r>
          </w:p>
        </w:tc>
        <w:tc>
          <w:tcPr>
            <w:tcW w:w="2394" w:type="dxa"/>
          </w:tcPr>
          <w:p w:rsidR="001C32E5" w:rsidRDefault="001C32E5" w:rsidP="008D11C2">
            <w:pPr>
              <w:spacing w:after="0" w:line="240" w:lineRule="auto"/>
              <w:jc w:val="both"/>
              <w:cnfStyle w:val="00000000000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261.2 ± 12.1</w:t>
            </w:r>
          </w:p>
        </w:tc>
        <w:tc>
          <w:tcPr>
            <w:tcW w:w="2394" w:type="dxa"/>
          </w:tcPr>
          <w:p w:rsidR="001C32E5" w:rsidRDefault="001C32E5" w:rsidP="008D11C2">
            <w:pPr>
              <w:spacing w:after="0" w:line="240" w:lineRule="auto"/>
              <w:jc w:val="both"/>
              <w:cnfStyle w:val="00000000000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</w:tr>
      <w:tr w:rsidR="001C32E5" w:rsidTr="008D11C2">
        <w:tc>
          <w:tcPr>
            <w:cnfStyle w:val="001000000000"/>
            <w:tcW w:w="2394" w:type="dxa"/>
          </w:tcPr>
          <w:p w:rsidR="001C32E5" w:rsidRDefault="001C32E5" w:rsidP="008D11C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Metformin</w:t>
            </w:r>
            <w:proofErr w:type="spellEnd"/>
            <w:r>
              <w:rPr>
                <w:rFonts w:ascii="Times New Roman" w:hAnsi="Times New Roman"/>
              </w:rPr>
              <w:t xml:space="preserve"> (100 mg/kg)</w:t>
            </w:r>
          </w:p>
        </w:tc>
        <w:tc>
          <w:tcPr>
            <w:tcW w:w="2394" w:type="dxa"/>
          </w:tcPr>
          <w:p w:rsidR="001C32E5" w:rsidRDefault="001C32E5" w:rsidP="008D11C2">
            <w:pPr>
              <w:spacing w:after="0" w:line="240" w:lineRule="auto"/>
              <w:jc w:val="both"/>
              <w:cnfStyle w:val="00000000000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240.1 ± 9.5</w:t>
            </w:r>
          </w:p>
        </w:tc>
        <w:tc>
          <w:tcPr>
            <w:tcW w:w="2394" w:type="dxa"/>
          </w:tcPr>
          <w:p w:rsidR="001C32E5" w:rsidRDefault="001C32E5" w:rsidP="008D11C2">
            <w:pPr>
              <w:spacing w:after="0" w:line="240" w:lineRule="auto"/>
              <w:jc w:val="both"/>
              <w:cnfStyle w:val="00000000000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140.3 ± 6.2a</w:t>
            </w:r>
          </w:p>
        </w:tc>
        <w:tc>
          <w:tcPr>
            <w:tcW w:w="2394" w:type="dxa"/>
          </w:tcPr>
          <w:p w:rsidR="001C32E5" w:rsidRDefault="001C32E5" w:rsidP="008D11C2">
            <w:pPr>
              <w:spacing w:after="0" w:line="240" w:lineRule="auto"/>
              <w:jc w:val="both"/>
              <w:cnfStyle w:val="00000000000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41.5%</w:t>
            </w:r>
          </w:p>
        </w:tc>
      </w:tr>
      <w:tr w:rsidR="001C32E5" w:rsidTr="008D11C2">
        <w:tc>
          <w:tcPr>
            <w:cnfStyle w:val="001000000000"/>
            <w:tcW w:w="2394" w:type="dxa"/>
          </w:tcPr>
          <w:p w:rsidR="001C32E5" w:rsidRDefault="001C32E5" w:rsidP="008D11C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Vernoniaamygdalina</w:t>
            </w:r>
            <w:proofErr w:type="spellEnd"/>
            <w:r>
              <w:rPr>
                <w:rFonts w:ascii="Times New Roman" w:hAnsi="Times New Roman"/>
              </w:rPr>
              <w:t xml:space="preserve"> (200 mg/kg)</w:t>
            </w:r>
          </w:p>
        </w:tc>
        <w:tc>
          <w:tcPr>
            <w:tcW w:w="2394" w:type="dxa"/>
          </w:tcPr>
          <w:p w:rsidR="001C32E5" w:rsidRDefault="001C32E5" w:rsidP="008D11C2">
            <w:pPr>
              <w:spacing w:after="0" w:line="240" w:lineRule="auto"/>
              <w:jc w:val="both"/>
              <w:cnfStyle w:val="00000000000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242.5 ± 10.5</w:t>
            </w:r>
          </w:p>
        </w:tc>
        <w:tc>
          <w:tcPr>
            <w:tcW w:w="2394" w:type="dxa"/>
          </w:tcPr>
          <w:p w:rsidR="001C32E5" w:rsidRDefault="001C32E5" w:rsidP="008D11C2">
            <w:pPr>
              <w:spacing w:after="0" w:line="240" w:lineRule="auto"/>
              <w:jc w:val="both"/>
              <w:cnfStyle w:val="00000000000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170.2 ± 7.3b</w:t>
            </w:r>
          </w:p>
        </w:tc>
        <w:tc>
          <w:tcPr>
            <w:tcW w:w="2394" w:type="dxa"/>
          </w:tcPr>
          <w:p w:rsidR="001C32E5" w:rsidRDefault="001C32E5" w:rsidP="008D11C2">
            <w:pPr>
              <w:spacing w:after="0" w:line="240" w:lineRule="auto"/>
              <w:jc w:val="both"/>
              <w:cnfStyle w:val="00000000000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29.8%</w:t>
            </w:r>
          </w:p>
        </w:tc>
      </w:tr>
      <w:tr w:rsidR="001C32E5" w:rsidTr="008D11C2">
        <w:tc>
          <w:tcPr>
            <w:cnfStyle w:val="001000000000"/>
            <w:tcW w:w="2394" w:type="dxa"/>
          </w:tcPr>
          <w:p w:rsidR="001C32E5" w:rsidRDefault="001C32E5" w:rsidP="008D11C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Vernoniaamygdalina</w:t>
            </w:r>
            <w:proofErr w:type="spellEnd"/>
            <w:r>
              <w:rPr>
                <w:rFonts w:ascii="Times New Roman" w:hAnsi="Times New Roman"/>
              </w:rPr>
              <w:t xml:space="preserve"> (400 mg/kg)</w:t>
            </w:r>
          </w:p>
        </w:tc>
        <w:tc>
          <w:tcPr>
            <w:tcW w:w="2394" w:type="dxa"/>
          </w:tcPr>
          <w:p w:rsidR="001C32E5" w:rsidRDefault="001C32E5" w:rsidP="008D11C2">
            <w:pPr>
              <w:spacing w:after="0" w:line="240" w:lineRule="auto"/>
              <w:jc w:val="both"/>
              <w:cnfStyle w:val="00000000000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239.2 ± 9.2</w:t>
            </w:r>
          </w:p>
        </w:tc>
        <w:tc>
          <w:tcPr>
            <w:tcW w:w="2394" w:type="dxa"/>
          </w:tcPr>
          <w:p w:rsidR="001C32E5" w:rsidRDefault="001C32E5" w:rsidP="008D11C2">
            <w:pPr>
              <w:spacing w:after="0" w:line="240" w:lineRule="auto"/>
              <w:jc w:val="both"/>
              <w:cnfStyle w:val="00000000000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120.5 ± 5.5c</w:t>
            </w:r>
          </w:p>
        </w:tc>
        <w:tc>
          <w:tcPr>
            <w:tcW w:w="2394" w:type="dxa"/>
          </w:tcPr>
          <w:p w:rsidR="001C32E5" w:rsidRDefault="001C32E5" w:rsidP="008D11C2">
            <w:pPr>
              <w:spacing w:after="0" w:line="240" w:lineRule="auto"/>
              <w:jc w:val="both"/>
              <w:cnfStyle w:val="00000000000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49.6%</w:t>
            </w:r>
          </w:p>
        </w:tc>
      </w:tr>
    </w:tbl>
    <w:p w:rsidR="001C32E5" w:rsidRDefault="001C32E5" w:rsidP="001C32E5">
      <w:pPr>
        <w:spacing w:after="0" w:line="48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Values are mean ± SEM (n=6). </w:t>
      </w:r>
      <w:proofErr w:type="gramStart"/>
      <w:r>
        <w:rPr>
          <w:rFonts w:ascii="Times New Roman" w:hAnsi="Times New Roman"/>
          <w:sz w:val="20"/>
          <w:szCs w:val="20"/>
        </w:rPr>
        <w:t>a</w:t>
      </w:r>
      <w:proofErr w:type="gramEnd"/>
      <w:r>
        <w:rPr>
          <w:rFonts w:ascii="Times New Roman" w:hAnsi="Times New Roman"/>
          <w:sz w:val="20"/>
          <w:szCs w:val="20"/>
        </w:rPr>
        <w:t>, b, and c indicate significant difference (p&lt;0.05) between groups.</w:t>
      </w:r>
    </w:p>
    <w:p w:rsidR="001C32E5" w:rsidRDefault="001C32E5" w:rsidP="001C32E5">
      <w:pPr>
        <w:spacing w:after="0" w:line="48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noProof/>
          <w:sz w:val="20"/>
          <w:szCs w:val="20"/>
          <w:lang w:eastAsia="en-US"/>
        </w:rPr>
        <w:drawing>
          <wp:inline distT="0" distB="0" distL="114300" distR="114300">
            <wp:extent cx="5619751" cy="4495800"/>
            <wp:effectExtent l="0" t="0" r="0" b="0"/>
            <wp:docPr id="2" name="Image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</wp:inline>
        </w:drawing>
      </w:r>
    </w:p>
    <w:p w:rsidR="001C32E5" w:rsidRDefault="001C32E5" w:rsidP="001C32E5">
      <w:pPr>
        <w:spacing w:after="0" w:line="480" w:lineRule="auto"/>
        <w:jc w:val="both"/>
        <w:rPr>
          <w:rFonts w:ascii="Times New Roman" w:hAnsi="Times New Roman"/>
          <w:b/>
          <w:sz w:val="20"/>
          <w:szCs w:val="20"/>
        </w:rPr>
      </w:pPr>
      <w:proofErr w:type="gramStart"/>
      <w:r>
        <w:rPr>
          <w:rFonts w:ascii="Times New Roman" w:hAnsi="Times New Roman"/>
          <w:b/>
          <w:sz w:val="20"/>
          <w:szCs w:val="20"/>
        </w:rPr>
        <w:t>Figure 1.</w:t>
      </w:r>
      <w:proofErr w:type="gramEnd"/>
      <w:r>
        <w:rPr>
          <w:rFonts w:ascii="Times New Roman" w:hAnsi="Times New Roman"/>
          <w:b/>
          <w:sz w:val="20"/>
          <w:szCs w:val="20"/>
        </w:rPr>
        <w:t xml:space="preserve"> Effects of </w:t>
      </w:r>
      <w:proofErr w:type="spellStart"/>
      <w:r>
        <w:rPr>
          <w:rFonts w:ascii="Times New Roman" w:hAnsi="Times New Roman"/>
          <w:b/>
          <w:i/>
          <w:sz w:val="20"/>
          <w:szCs w:val="20"/>
        </w:rPr>
        <w:t>Vernoniaamygdalina</w:t>
      </w:r>
      <w:proofErr w:type="spellEnd"/>
      <w:r>
        <w:rPr>
          <w:rFonts w:ascii="Times New Roman" w:hAnsi="Times New Roman"/>
          <w:b/>
          <w:sz w:val="20"/>
          <w:szCs w:val="20"/>
        </w:rPr>
        <w:t xml:space="preserve"> extract on blood glucose levels in </w:t>
      </w:r>
      <w:proofErr w:type="spellStart"/>
      <w:r>
        <w:rPr>
          <w:rFonts w:ascii="Times New Roman" w:hAnsi="Times New Roman"/>
          <w:b/>
          <w:sz w:val="20"/>
          <w:szCs w:val="20"/>
        </w:rPr>
        <w:t>alloxan</w:t>
      </w:r>
      <w:proofErr w:type="spellEnd"/>
      <w:r>
        <w:rPr>
          <w:rFonts w:ascii="Times New Roman" w:hAnsi="Times New Roman"/>
          <w:b/>
          <w:sz w:val="20"/>
          <w:szCs w:val="20"/>
        </w:rPr>
        <w:t>-induced diabetic rats</w:t>
      </w:r>
    </w:p>
    <w:p w:rsidR="00EC1130" w:rsidRDefault="001C32E5">
      <w:r w:rsidRPr="001C32E5">
        <w:lastRenderedPageBreak/>
        <w:drawing>
          <wp:inline distT="0" distB="0" distL="114300" distR="114300">
            <wp:extent cx="5419725" cy="3886199"/>
            <wp:effectExtent l="0" t="0" r="0" b="0"/>
            <wp:docPr id="1029" name="Image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inline>
        </w:drawing>
      </w:r>
    </w:p>
    <w:p w:rsidR="001C32E5" w:rsidRDefault="001C32E5"/>
    <w:p w:rsidR="001C32E5" w:rsidRDefault="001C32E5" w:rsidP="001C32E5">
      <w:pPr>
        <w:spacing w:after="0" w:line="480" w:lineRule="auto"/>
        <w:jc w:val="both"/>
        <w:rPr>
          <w:rFonts w:ascii="Times New Roman" w:hAnsi="Times New Roman"/>
          <w:sz w:val="20"/>
          <w:szCs w:val="20"/>
        </w:rPr>
      </w:pPr>
      <w:proofErr w:type="gramStart"/>
      <w:r>
        <w:rPr>
          <w:rFonts w:ascii="Times New Roman" w:hAnsi="Times New Roman"/>
          <w:b/>
          <w:sz w:val="20"/>
          <w:szCs w:val="20"/>
        </w:rPr>
        <w:t>Table 2.</w:t>
      </w:r>
      <w:proofErr w:type="gramEnd"/>
      <w:r>
        <w:rPr>
          <w:rFonts w:ascii="Times New Roman" w:hAnsi="Times New Roman"/>
          <w:sz w:val="20"/>
          <w:szCs w:val="20"/>
        </w:rPr>
        <w:t xml:space="preserve"> Effects of </w:t>
      </w:r>
      <w:proofErr w:type="spellStart"/>
      <w:r>
        <w:rPr>
          <w:rFonts w:ascii="Times New Roman" w:hAnsi="Times New Roman"/>
          <w:sz w:val="20"/>
          <w:szCs w:val="20"/>
        </w:rPr>
        <w:t>Vernoniaamygdalina</w:t>
      </w:r>
      <w:proofErr w:type="spellEnd"/>
      <w:r>
        <w:rPr>
          <w:rFonts w:ascii="Times New Roman" w:hAnsi="Times New Roman"/>
          <w:sz w:val="20"/>
          <w:szCs w:val="20"/>
        </w:rPr>
        <w:t xml:space="preserve"> extract on lipid profiles in </w:t>
      </w:r>
      <w:proofErr w:type="spellStart"/>
      <w:r>
        <w:rPr>
          <w:rFonts w:ascii="Times New Roman" w:hAnsi="Times New Roman"/>
          <w:sz w:val="20"/>
          <w:szCs w:val="20"/>
        </w:rPr>
        <w:t>alloxan</w:t>
      </w:r>
      <w:proofErr w:type="spellEnd"/>
      <w:r>
        <w:rPr>
          <w:rFonts w:ascii="Times New Roman" w:hAnsi="Times New Roman"/>
          <w:sz w:val="20"/>
          <w:szCs w:val="20"/>
        </w:rPr>
        <w:t>-induced diabetic rats</w:t>
      </w:r>
    </w:p>
    <w:tbl>
      <w:tblPr>
        <w:tblStyle w:val="LightShading"/>
        <w:tblW w:w="0" w:type="auto"/>
        <w:tblLook w:val="06A0"/>
      </w:tblPr>
      <w:tblGrid>
        <w:gridCol w:w="2017"/>
        <w:gridCol w:w="1888"/>
        <w:gridCol w:w="1894"/>
        <w:gridCol w:w="1888"/>
        <w:gridCol w:w="1889"/>
      </w:tblGrid>
      <w:tr w:rsidR="001C32E5" w:rsidTr="008D11C2">
        <w:trPr>
          <w:cnfStyle w:val="100000000000"/>
        </w:trPr>
        <w:tc>
          <w:tcPr>
            <w:cnfStyle w:val="001000000000"/>
            <w:tcW w:w="1915" w:type="dxa"/>
          </w:tcPr>
          <w:p w:rsidR="001C32E5" w:rsidRDefault="001C32E5" w:rsidP="008D11C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Group</w:t>
            </w:r>
          </w:p>
        </w:tc>
        <w:tc>
          <w:tcPr>
            <w:tcW w:w="1915" w:type="dxa"/>
          </w:tcPr>
          <w:p w:rsidR="001C32E5" w:rsidRDefault="001C32E5" w:rsidP="008D11C2">
            <w:pPr>
              <w:spacing w:after="0" w:line="240" w:lineRule="auto"/>
              <w:jc w:val="both"/>
              <w:cnfStyle w:val="10000000000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Total Cholesterol (mg/</w:t>
            </w:r>
            <w:proofErr w:type="spellStart"/>
            <w:r>
              <w:rPr>
                <w:rFonts w:ascii="Times New Roman" w:hAnsi="Times New Roman"/>
              </w:rPr>
              <w:t>dL</w:t>
            </w:r>
            <w:proofErr w:type="spellEnd"/>
            <w:r>
              <w:rPr>
                <w:rFonts w:ascii="Times New Roman" w:hAnsi="Times New Roman"/>
              </w:rPr>
              <w:t>)</w:t>
            </w:r>
          </w:p>
        </w:tc>
        <w:tc>
          <w:tcPr>
            <w:tcW w:w="1915" w:type="dxa"/>
          </w:tcPr>
          <w:p w:rsidR="001C32E5" w:rsidRDefault="001C32E5" w:rsidP="008D11C2">
            <w:pPr>
              <w:spacing w:after="0" w:line="240" w:lineRule="auto"/>
              <w:jc w:val="both"/>
              <w:cnfStyle w:val="10000000000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Triglycerides (mg/</w:t>
            </w:r>
            <w:proofErr w:type="spellStart"/>
            <w:r>
              <w:rPr>
                <w:rFonts w:ascii="Times New Roman" w:hAnsi="Times New Roman"/>
              </w:rPr>
              <w:t>dL</w:t>
            </w:r>
            <w:proofErr w:type="spellEnd"/>
            <w:r>
              <w:rPr>
                <w:rFonts w:ascii="Times New Roman" w:hAnsi="Times New Roman"/>
              </w:rPr>
              <w:t>)</w:t>
            </w:r>
          </w:p>
        </w:tc>
        <w:tc>
          <w:tcPr>
            <w:tcW w:w="1915" w:type="dxa"/>
          </w:tcPr>
          <w:p w:rsidR="001C32E5" w:rsidRDefault="001C32E5" w:rsidP="008D11C2">
            <w:pPr>
              <w:spacing w:after="0" w:line="240" w:lineRule="auto"/>
              <w:jc w:val="both"/>
              <w:cnfStyle w:val="10000000000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HDL-Cholesterol (mg/</w:t>
            </w:r>
            <w:proofErr w:type="spellStart"/>
            <w:r>
              <w:rPr>
                <w:rFonts w:ascii="Times New Roman" w:hAnsi="Times New Roman"/>
              </w:rPr>
              <w:t>dL</w:t>
            </w:r>
            <w:proofErr w:type="spellEnd"/>
            <w:r>
              <w:rPr>
                <w:rFonts w:ascii="Times New Roman" w:hAnsi="Times New Roman"/>
              </w:rPr>
              <w:t>)</w:t>
            </w:r>
          </w:p>
        </w:tc>
        <w:tc>
          <w:tcPr>
            <w:tcW w:w="1916" w:type="dxa"/>
          </w:tcPr>
          <w:p w:rsidR="001C32E5" w:rsidRDefault="001C32E5" w:rsidP="008D11C2">
            <w:pPr>
              <w:spacing w:after="0" w:line="240" w:lineRule="auto"/>
              <w:jc w:val="both"/>
              <w:cnfStyle w:val="10000000000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LDL-Cholesterol (mg/</w:t>
            </w:r>
            <w:proofErr w:type="spellStart"/>
            <w:r>
              <w:rPr>
                <w:rFonts w:ascii="Times New Roman" w:hAnsi="Times New Roman"/>
              </w:rPr>
              <w:t>dL</w:t>
            </w:r>
            <w:proofErr w:type="spellEnd"/>
            <w:r>
              <w:rPr>
                <w:rFonts w:ascii="Times New Roman" w:hAnsi="Times New Roman"/>
              </w:rPr>
              <w:t>)</w:t>
            </w:r>
          </w:p>
        </w:tc>
      </w:tr>
      <w:tr w:rsidR="001C32E5" w:rsidTr="008D11C2">
        <w:tc>
          <w:tcPr>
            <w:cnfStyle w:val="001000000000"/>
            <w:tcW w:w="1915" w:type="dxa"/>
          </w:tcPr>
          <w:p w:rsidR="001C32E5" w:rsidRDefault="001C32E5" w:rsidP="008D11C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Normal Control</w:t>
            </w:r>
          </w:p>
        </w:tc>
        <w:tc>
          <w:tcPr>
            <w:tcW w:w="1915" w:type="dxa"/>
          </w:tcPr>
          <w:p w:rsidR="001C32E5" w:rsidRDefault="001C32E5" w:rsidP="008D11C2">
            <w:pPr>
              <w:spacing w:after="0" w:line="240" w:lineRule="auto"/>
              <w:jc w:val="both"/>
              <w:cnfStyle w:val="00000000000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70.2 ± 3.5</w:t>
            </w:r>
          </w:p>
        </w:tc>
        <w:tc>
          <w:tcPr>
            <w:tcW w:w="1915" w:type="dxa"/>
          </w:tcPr>
          <w:p w:rsidR="001C32E5" w:rsidRDefault="001C32E5" w:rsidP="008D11C2">
            <w:pPr>
              <w:spacing w:after="0" w:line="240" w:lineRule="auto"/>
              <w:jc w:val="both"/>
              <w:cnfStyle w:val="00000000000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60.5 ± 2.9</w:t>
            </w:r>
          </w:p>
        </w:tc>
        <w:tc>
          <w:tcPr>
            <w:tcW w:w="1915" w:type="dxa"/>
          </w:tcPr>
          <w:p w:rsidR="001C32E5" w:rsidRDefault="001C32E5" w:rsidP="008D11C2">
            <w:pPr>
              <w:spacing w:after="0" w:line="240" w:lineRule="auto"/>
              <w:jc w:val="both"/>
              <w:cnfStyle w:val="00000000000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35.2 ± 1.8</w:t>
            </w:r>
          </w:p>
        </w:tc>
        <w:tc>
          <w:tcPr>
            <w:tcW w:w="1916" w:type="dxa"/>
          </w:tcPr>
          <w:p w:rsidR="001C32E5" w:rsidRDefault="001C32E5" w:rsidP="008D11C2">
            <w:pPr>
              <w:spacing w:after="0" w:line="240" w:lineRule="auto"/>
              <w:jc w:val="both"/>
              <w:cnfStyle w:val="00000000000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25.1 ± 1.3</w:t>
            </w:r>
          </w:p>
        </w:tc>
      </w:tr>
      <w:tr w:rsidR="001C32E5" w:rsidTr="008D11C2">
        <w:tc>
          <w:tcPr>
            <w:cnfStyle w:val="001000000000"/>
            <w:tcW w:w="1915" w:type="dxa"/>
          </w:tcPr>
          <w:p w:rsidR="001C32E5" w:rsidRDefault="001C32E5" w:rsidP="008D11C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Diabetic Control</w:t>
            </w:r>
          </w:p>
        </w:tc>
        <w:tc>
          <w:tcPr>
            <w:tcW w:w="1915" w:type="dxa"/>
          </w:tcPr>
          <w:p w:rsidR="001C32E5" w:rsidRDefault="001C32E5" w:rsidP="008D11C2">
            <w:pPr>
              <w:spacing w:after="0" w:line="240" w:lineRule="auto"/>
              <w:jc w:val="both"/>
              <w:cnfStyle w:val="00000000000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120.5 ± 6.2</w:t>
            </w:r>
          </w:p>
        </w:tc>
        <w:tc>
          <w:tcPr>
            <w:tcW w:w="1915" w:type="dxa"/>
          </w:tcPr>
          <w:p w:rsidR="001C32E5" w:rsidRDefault="001C32E5" w:rsidP="008D11C2">
            <w:pPr>
              <w:spacing w:after="0" w:line="240" w:lineRule="auto"/>
              <w:jc w:val="both"/>
              <w:cnfStyle w:val="00000000000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100.2 ± 5.1</w:t>
            </w:r>
          </w:p>
        </w:tc>
        <w:tc>
          <w:tcPr>
            <w:tcW w:w="1915" w:type="dxa"/>
          </w:tcPr>
          <w:p w:rsidR="001C32E5" w:rsidRDefault="001C32E5" w:rsidP="008D11C2">
            <w:pPr>
              <w:spacing w:after="0" w:line="240" w:lineRule="auto"/>
              <w:jc w:val="both"/>
              <w:cnfStyle w:val="00000000000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20.5 ± 1.2</w:t>
            </w:r>
          </w:p>
        </w:tc>
        <w:tc>
          <w:tcPr>
            <w:tcW w:w="1916" w:type="dxa"/>
          </w:tcPr>
          <w:p w:rsidR="001C32E5" w:rsidRDefault="001C32E5" w:rsidP="008D11C2">
            <w:pPr>
              <w:spacing w:after="0" w:line="240" w:lineRule="auto"/>
              <w:jc w:val="both"/>
              <w:cnfStyle w:val="00000000000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50.2 ± 2.6</w:t>
            </w:r>
          </w:p>
        </w:tc>
      </w:tr>
      <w:tr w:rsidR="001C32E5" w:rsidTr="008D11C2">
        <w:tc>
          <w:tcPr>
            <w:cnfStyle w:val="001000000000"/>
            <w:tcW w:w="1915" w:type="dxa"/>
          </w:tcPr>
          <w:p w:rsidR="001C32E5" w:rsidRDefault="001C32E5" w:rsidP="008D11C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Metformin</w:t>
            </w:r>
            <w:proofErr w:type="spellEnd"/>
            <w:r>
              <w:rPr>
                <w:rFonts w:ascii="Times New Roman" w:hAnsi="Times New Roman"/>
              </w:rPr>
              <w:t xml:space="preserve"> (100 mg/kg)</w:t>
            </w:r>
          </w:p>
        </w:tc>
        <w:tc>
          <w:tcPr>
            <w:tcW w:w="1915" w:type="dxa"/>
          </w:tcPr>
          <w:p w:rsidR="001C32E5" w:rsidRDefault="001C32E5" w:rsidP="008D11C2">
            <w:pPr>
              <w:spacing w:after="0" w:line="240" w:lineRule="auto"/>
              <w:jc w:val="both"/>
              <w:cnfStyle w:val="00000000000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90.2 ± 4.5a</w:t>
            </w:r>
          </w:p>
        </w:tc>
        <w:tc>
          <w:tcPr>
            <w:tcW w:w="1915" w:type="dxa"/>
          </w:tcPr>
          <w:p w:rsidR="001C32E5" w:rsidRDefault="001C32E5" w:rsidP="008D11C2">
            <w:pPr>
              <w:spacing w:after="0" w:line="240" w:lineRule="auto"/>
              <w:jc w:val="both"/>
              <w:cnfStyle w:val="00000000000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70.1 ± 3.5</w:t>
            </w:r>
            <w:r>
              <w:rPr>
                <w:rFonts w:ascii="Times New Roman" w:hAnsi="Times New Roman"/>
                <w:vertAlign w:val="superscript"/>
              </w:rPr>
              <w:t>a</w:t>
            </w:r>
          </w:p>
        </w:tc>
        <w:tc>
          <w:tcPr>
            <w:tcW w:w="1915" w:type="dxa"/>
          </w:tcPr>
          <w:p w:rsidR="001C32E5" w:rsidRDefault="001C32E5" w:rsidP="008D11C2">
            <w:pPr>
              <w:spacing w:after="0" w:line="240" w:lineRule="auto"/>
              <w:jc w:val="both"/>
              <w:cnfStyle w:val="00000000000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30.2 ± 1.6</w:t>
            </w:r>
            <w:r>
              <w:rPr>
                <w:rFonts w:ascii="Times New Roman" w:hAnsi="Times New Roman"/>
                <w:vertAlign w:val="superscript"/>
              </w:rPr>
              <w:t>a</w:t>
            </w:r>
          </w:p>
        </w:tc>
        <w:tc>
          <w:tcPr>
            <w:tcW w:w="1916" w:type="dxa"/>
          </w:tcPr>
          <w:p w:rsidR="001C32E5" w:rsidRDefault="001C32E5" w:rsidP="008D11C2">
            <w:pPr>
              <w:spacing w:after="0" w:line="240" w:lineRule="auto"/>
              <w:jc w:val="both"/>
              <w:cnfStyle w:val="00000000000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30.1 ± 1.6</w:t>
            </w:r>
            <w:r>
              <w:rPr>
                <w:rFonts w:ascii="Times New Roman" w:hAnsi="Times New Roman"/>
                <w:vertAlign w:val="superscript"/>
              </w:rPr>
              <w:t>a</w:t>
            </w:r>
          </w:p>
        </w:tc>
      </w:tr>
      <w:tr w:rsidR="001C32E5" w:rsidTr="008D11C2">
        <w:tc>
          <w:tcPr>
            <w:cnfStyle w:val="001000000000"/>
            <w:tcW w:w="1915" w:type="dxa"/>
          </w:tcPr>
          <w:p w:rsidR="001C32E5" w:rsidRDefault="001C32E5" w:rsidP="008D11C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Vernoniaamygdalina</w:t>
            </w:r>
            <w:proofErr w:type="spellEnd"/>
            <w:r>
              <w:rPr>
                <w:rFonts w:ascii="Times New Roman" w:hAnsi="Times New Roman"/>
              </w:rPr>
              <w:t xml:space="preserve"> (200 mg/kg)</w:t>
            </w:r>
          </w:p>
        </w:tc>
        <w:tc>
          <w:tcPr>
            <w:tcW w:w="1915" w:type="dxa"/>
          </w:tcPr>
          <w:p w:rsidR="001C32E5" w:rsidRDefault="001C32E5" w:rsidP="008D11C2">
            <w:pPr>
              <w:spacing w:after="0" w:line="240" w:lineRule="auto"/>
              <w:jc w:val="both"/>
              <w:cnfStyle w:val="00000000000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100.5 ± 5.2</w:t>
            </w:r>
            <w:r>
              <w:rPr>
                <w:rFonts w:ascii="Times New Roman" w:hAnsi="Times New Roman"/>
                <w:vertAlign w:val="superscript"/>
              </w:rPr>
              <w:t>b</w:t>
            </w:r>
          </w:p>
        </w:tc>
        <w:tc>
          <w:tcPr>
            <w:tcW w:w="1915" w:type="dxa"/>
          </w:tcPr>
          <w:p w:rsidR="001C32E5" w:rsidRDefault="001C32E5" w:rsidP="008D11C2">
            <w:pPr>
              <w:spacing w:after="0" w:line="240" w:lineRule="auto"/>
              <w:jc w:val="both"/>
              <w:cnfStyle w:val="00000000000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80.2 ± 4.1</w:t>
            </w:r>
            <w:r>
              <w:rPr>
                <w:rFonts w:ascii="Times New Roman" w:hAnsi="Times New Roman"/>
                <w:vertAlign w:val="superscript"/>
              </w:rPr>
              <w:t>b</w:t>
            </w:r>
          </w:p>
        </w:tc>
        <w:tc>
          <w:tcPr>
            <w:tcW w:w="1915" w:type="dxa"/>
          </w:tcPr>
          <w:p w:rsidR="001C32E5" w:rsidRDefault="001C32E5" w:rsidP="008D11C2">
            <w:pPr>
              <w:spacing w:after="0" w:line="240" w:lineRule="auto"/>
              <w:jc w:val="both"/>
              <w:cnfStyle w:val="00000000000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25.1 ± 1.4</w:t>
            </w:r>
            <w:r>
              <w:rPr>
                <w:rFonts w:ascii="Times New Roman" w:hAnsi="Times New Roman"/>
                <w:vertAlign w:val="superscript"/>
              </w:rPr>
              <w:t>b</w:t>
            </w:r>
          </w:p>
        </w:tc>
        <w:tc>
          <w:tcPr>
            <w:tcW w:w="1916" w:type="dxa"/>
          </w:tcPr>
          <w:p w:rsidR="001C32E5" w:rsidRDefault="001C32E5" w:rsidP="008D11C2">
            <w:pPr>
              <w:spacing w:after="0" w:line="240" w:lineRule="auto"/>
              <w:jc w:val="both"/>
              <w:cnfStyle w:val="00000000000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40.2 ± 2.2</w:t>
            </w:r>
            <w:r>
              <w:rPr>
                <w:rFonts w:ascii="Times New Roman" w:hAnsi="Times New Roman"/>
                <w:vertAlign w:val="superscript"/>
              </w:rPr>
              <w:t>b</w:t>
            </w:r>
          </w:p>
        </w:tc>
      </w:tr>
      <w:tr w:rsidR="001C32E5" w:rsidTr="008D11C2">
        <w:tc>
          <w:tcPr>
            <w:cnfStyle w:val="001000000000"/>
            <w:tcW w:w="1915" w:type="dxa"/>
          </w:tcPr>
          <w:p w:rsidR="001C32E5" w:rsidRDefault="001C32E5" w:rsidP="008D11C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Vernoniaamygdalina</w:t>
            </w:r>
            <w:proofErr w:type="spellEnd"/>
            <w:r>
              <w:rPr>
                <w:rFonts w:ascii="Times New Roman" w:hAnsi="Times New Roman"/>
              </w:rPr>
              <w:t xml:space="preserve"> (400 mg/kg)</w:t>
            </w:r>
          </w:p>
        </w:tc>
        <w:tc>
          <w:tcPr>
            <w:tcW w:w="1915" w:type="dxa"/>
          </w:tcPr>
          <w:p w:rsidR="001C32E5" w:rsidRDefault="001C32E5" w:rsidP="008D11C2">
            <w:pPr>
              <w:spacing w:after="0" w:line="240" w:lineRule="auto"/>
              <w:jc w:val="both"/>
              <w:cnfStyle w:val="00000000000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80.1 ± 4.1c</w:t>
            </w:r>
          </w:p>
        </w:tc>
        <w:tc>
          <w:tcPr>
            <w:tcW w:w="1915" w:type="dxa"/>
          </w:tcPr>
          <w:p w:rsidR="001C32E5" w:rsidRDefault="001C32E5" w:rsidP="008D11C2">
            <w:pPr>
              <w:spacing w:after="0" w:line="240" w:lineRule="auto"/>
              <w:jc w:val="both"/>
              <w:cnfStyle w:val="00000000000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60.5 ± 3.2</w:t>
            </w:r>
            <w:r>
              <w:rPr>
                <w:rFonts w:ascii="Times New Roman" w:hAnsi="Times New Roman"/>
                <w:vertAlign w:val="superscript"/>
              </w:rPr>
              <w:t>c</w:t>
            </w:r>
          </w:p>
        </w:tc>
        <w:tc>
          <w:tcPr>
            <w:tcW w:w="1915" w:type="dxa"/>
          </w:tcPr>
          <w:p w:rsidR="001C32E5" w:rsidRDefault="001C32E5" w:rsidP="008D11C2">
            <w:pPr>
              <w:spacing w:after="0" w:line="240" w:lineRule="auto"/>
              <w:jc w:val="both"/>
              <w:cnfStyle w:val="00000000000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35.1 ± 1.9</w:t>
            </w:r>
            <w:r>
              <w:rPr>
                <w:rFonts w:ascii="Times New Roman" w:hAnsi="Times New Roman"/>
                <w:vertAlign w:val="superscript"/>
              </w:rPr>
              <w:t>c</w:t>
            </w:r>
          </w:p>
        </w:tc>
        <w:tc>
          <w:tcPr>
            <w:tcW w:w="1916" w:type="dxa"/>
          </w:tcPr>
          <w:p w:rsidR="001C32E5" w:rsidRDefault="001C32E5" w:rsidP="008D11C2">
            <w:pPr>
              <w:spacing w:after="0" w:line="240" w:lineRule="auto"/>
              <w:jc w:val="both"/>
              <w:cnfStyle w:val="00000000000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25.2 ± 1.4</w:t>
            </w:r>
            <w:r>
              <w:rPr>
                <w:rFonts w:ascii="Times New Roman" w:hAnsi="Times New Roman"/>
                <w:vertAlign w:val="superscript"/>
              </w:rPr>
              <w:t>c</w:t>
            </w:r>
          </w:p>
        </w:tc>
      </w:tr>
    </w:tbl>
    <w:p w:rsidR="001C32E5" w:rsidRDefault="001C32E5" w:rsidP="001C32E5">
      <w:pPr>
        <w:spacing w:after="0" w:line="48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Values are mean ± SEM (n=6). </w:t>
      </w:r>
      <w:proofErr w:type="gramStart"/>
      <w:r>
        <w:rPr>
          <w:rFonts w:ascii="Times New Roman" w:hAnsi="Times New Roman"/>
          <w:sz w:val="20"/>
          <w:szCs w:val="20"/>
        </w:rPr>
        <w:t>a</w:t>
      </w:r>
      <w:proofErr w:type="gramEnd"/>
      <w:r>
        <w:rPr>
          <w:rFonts w:ascii="Times New Roman" w:hAnsi="Times New Roman"/>
          <w:sz w:val="20"/>
          <w:szCs w:val="20"/>
        </w:rPr>
        <w:t>, b, and c indicate significant difference (p&lt;0.05) between groups.</w:t>
      </w:r>
    </w:p>
    <w:p w:rsidR="001C32E5" w:rsidRDefault="001C32E5" w:rsidP="001C32E5">
      <w:pPr>
        <w:spacing w:after="0" w:line="480" w:lineRule="auto"/>
        <w:jc w:val="both"/>
        <w:rPr>
          <w:rFonts w:ascii="Times New Roman" w:hAnsi="Times New Roman"/>
          <w:sz w:val="20"/>
          <w:szCs w:val="20"/>
        </w:rPr>
      </w:pPr>
    </w:p>
    <w:p w:rsidR="001C32E5" w:rsidRDefault="001C32E5" w:rsidP="001C32E5">
      <w:pPr>
        <w:spacing w:after="0" w:line="48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noProof/>
          <w:sz w:val="24"/>
          <w:szCs w:val="24"/>
          <w:lang w:eastAsia="en-US"/>
        </w:rPr>
        <w:lastRenderedPageBreak/>
        <w:drawing>
          <wp:inline distT="0" distB="0" distL="114300" distR="114300">
            <wp:extent cx="5943600" cy="4905375"/>
            <wp:effectExtent l="0" t="0" r="0" b="0"/>
            <wp:docPr id="4" name="Image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</w:p>
    <w:p w:rsidR="001C32E5" w:rsidRDefault="001C32E5" w:rsidP="001C32E5">
      <w:pPr>
        <w:spacing w:after="0" w:line="480" w:lineRule="auto"/>
        <w:jc w:val="both"/>
        <w:rPr>
          <w:rFonts w:ascii="Times New Roman" w:hAnsi="Times New Roman"/>
          <w:b/>
          <w:sz w:val="20"/>
          <w:szCs w:val="20"/>
        </w:rPr>
      </w:pPr>
      <w:proofErr w:type="gramStart"/>
      <w:r>
        <w:rPr>
          <w:rFonts w:ascii="Times New Roman" w:hAnsi="Times New Roman"/>
          <w:b/>
          <w:sz w:val="20"/>
          <w:szCs w:val="20"/>
        </w:rPr>
        <w:t>Figure 3.</w:t>
      </w:r>
      <w:proofErr w:type="gramEnd"/>
      <w:r>
        <w:rPr>
          <w:rFonts w:ascii="Times New Roman" w:hAnsi="Times New Roman"/>
          <w:b/>
          <w:sz w:val="20"/>
          <w:szCs w:val="20"/>
        </w:rPr>
        <w:t xml:space="preserve"> Effects of </w:t>
      </w:r>
      <w:proofErr w:type="spellStart"/>
      <w:r>
        <w:rPr>
          <w:rFonts w:ascii="Times New Roman" w:hAnsi="Times New Roman"/>
          <w:b/>
          <w:i/>
          <w:sz w:val="20"/>
          <w:szCs w:val="20"/>
        </w:rPr>
        <w:t>Vernoniaamygdalina</w:t>
      </w:r>
      <w:proofErr w:type="spellEnd"/>
      <w:r>
        <w:rPr>
          <w:rFonts w:ascii="Times New Roman" w:hAnsi="Times New Roman"/>
          <w:b/>
          <w:sz w:val="20"/>
          <w:szCs w:val="20"/>
        </w:rPr>
        <w:t xml:space="preserve"> extract on lipid profiles in </w:t>
      </w:r>
      <w:proofErr w:type="spellStart"/>
      <w:r>
        <w:rPr>
          <w:rFonts w:ascii="Times New Roman" w:hAnsi="Times New Roman"/>
          <w:b/>
          <w:sz w:val="20"/>
          <w:szCs w:val="20"/>
        </w:rPr>
        <w:t>alloxan</w:t>
      </w:r>
      <w:proofErr w:type="spellEnd"/>
      <w:r>
        <w:rPr>
          <w:rFonts w:ascii="Times New Roman" w:hAnsi="Times New Roman"/>
          <w:b/>
          <w:sz w:val="20"/>
          <w:szCs w:val="20"/>
        </w:rPr>
        <w:t>-induced diabetic rats</w:t>
      </w:r>
    </w:p>
    <w:p w:rsidR="001C32E5" w:rsidRDefault="001C32E5" w:rsidP="001C32E5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Values are presented in Mean ± Standard Error of three replicate determinations. Values with different alphabets on the bars are significantly different (p&lt;0.05).</w:t>
      </w:r>
    </w:p>
    <w:p w:rsidR="001C32E5" w:rsidRDefault="001C32E5" w:rsidP="001C32E5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1C32E5" w:rsidRDefault="001C32E5"/>
    <w:p w:rsidR="001C32E5" w:rsidRDefault="001C32E5" w:rsidP="001C32E5">
      <w:pPr>
        <w:spacing w:after="0" w:line="480" w:lineRule="auto"/>
        <w:jc w:val="both"/>
        <w:rPr>
          <w:rFonts w:ascii="Times New Roman" w:hAnsi="Times New Roman"/>
          <w:sz w:val="20"/>
          <w:szCs w:val="20"/>
        </w:rPr>
      </w:pPr>
      <w:proofErr w:type="gramStart"/>
      <w:r>
        <w:rPr>
          <w:rFonts w:ascii="Times New Roman" w:hAnsi="Times New Roman"/>
          <w:b/>
          <w:sz w:val="20"/>
          <w:szCs w:val="20"/>
        </w:rPr>
        <w:t>Table 3</w:t>
      </w:r>
      <w:r>
        <w:rPr>
          <w:rFonts w:ascii="Times New Roman" w:hAnsi="Times New Roman"/>
          <w:sz w:val="20"/>
          <w:szCs w:val="20"/>
        </w:rPr>
        <w:t>.</w:t>
      </w:r>
      <w:proofErr w:type="gramEnd"/>
      <w:r>
        <w:rPr>
          <w:rFonts w:ascii="Times New Roman" w:hAnsi="Times New Roman"/>
          <w:sz w:val="20"/>
          <w:szCs w:val="20"/>
        </w:rPr>
        <w:t xml:space="preserve"> Effects of </w:t>
      </w:r>
      <w:proofErr w:type="spellStart"/>
      <w:r>
        <w:rPr>
          <w:rFonts w:ascii="Times New Roman" w:hAnsi="Times New Roman"/>
          <w:sz w:val="20"/>
          <w:szCs w:val="20"/>
        </w:rPr>
        <w:t>Vernoniaamygdalina</w:t>
      </w:r>
      <w:proofErr w:type="spellEnd"/>
      <w:r>
        <w:rPr>
          <w:rFonts w:ascii="Times New Roman" w:hAnsi="Times New Roman"/>
          <w:sz w:val="20"/>
          <w:szCs w:val="20"/>
        </w:rPr>
        <w:t xml:space="preserve"> extract on liver enzymes in </w:t>
      </w:r>
      <w:proofErr w:type="spellStart"/>
      <w:r>
        <w:rPr>
          <w:rFonts w:ascii="Times New Roman" w:hAnsi="Times New Roman"/>
          <w:sz w:val="20"/>
          <w:szCs w:val="20"/>
        </w:rPr>
        <w:t>alloxan</w:t>
      </w:r>
      <w:proofErr w:type="spellEnd"/>
      <w:r>
        <w:rPr>
          <w:rFonts w:ascii="Times New Roman" w:hAnsi="Times New Roman"/>
          <w:sz w:val="20"/>
          <w:szCs w:val="20"/>
        </w:rPr>
        <w:t>-induced diabetic rats</w:t>
      </w:r>
    </w:p>
    <w:tbl>
      <w:tblPr>
        <w:tblStyle w:val="LightShading"/>
        <w:tblW w:w="0" w:type="auto"/>
        <w:tblLook w:val="06A0"/>
      </w:tblPr>
      <w:tblGrid>
        <w:gridCol w:w="2394"/>
        <w:gridCol w:w="2394"/>
        <w:gridCol w:w="2394"/>
        <w:gridCol w:w="2394"/>
      </w:tblGrid>
      <w:tr w:rsidR="001C32E5" w:rsidTr="008D11C2">
        <w:trPr>
          <w:cnfStyle w:val="100000000000"/>
        </w:trPr>
        <w:tc>
          <w:tcPr>
            <w:cnfStyle w:val="001000000000"/>
            <w:tcW w:w="2394" w:type="dxa"/>
          </w:tcPr>
          <w:p w:rsidR="001C32E5" w:rsidRDefault="001C32E5" w:rsidP="008D11C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Group</w:t>
            </w:r>
          </w:p>
        </w:tc>
        <w:tc>
          <w:tcPr>
            <w:tcW w:w="2394" w:type="dxa"/>
          </w:tcPr>
          <w:p w:rsidR="001C32E5" w:rsidRDefault="001C32E5" w:rsidP="008D11C2">
            <w:pPr>
              <w:spacing w:line="240" w:lineRule="auto"/>
              <w:jc w:val="both"/>
              <w:cnfStyle w:val="10000000000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ALT (U/L)</w:t>
            </w:r>
          </w:p>
        </w:tc>
        <w:tc>
          <w:tcPr>
            <w:tcW w:w="2394" w:type="dxa"/>
          </w:tcPr>
          <w:p w:rsidR="001C32E5" w:rsidRDefault="001C32E5" w:rsidP="008D11C2">
            <w:pPr>
              <w:spacing w:line="240" w:lineRule="auto"/>
              <w:jc w:val="both"/>
              <w:cnfStyle w:val="10000000000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AST (U/L)</w:t>
            </w:r>
          </w:p>
        </w:tc>
        <w:tc>
          <w:tcPr>
            <w:tcW w:w="2394" w:type="dxa"/>
          </w:tcPr>
          <w:p w:rsidR="001C32E5" w:rsidRDefault="001C32E5" w:rsidP="008D11C2">
            <w:pPr>
              <w:spacing w:line="240" w:lineRule="auto"/>
              <w:jc w:val="both"/>
              <w:cnfStyle w:val="10000000000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ALP (U/L)</w:t>
            </w:r>
          </w:p>
        </w:tc>
      </w:tr>
      <w:tr w:rsidR="001C32E5" w:rsidTr="008D11C2">
        <w:tc>
          <w:tcPr>
            <w:cnfStyle w:val="001000000000"/>
            <w:tcW w:w="2394" w:type="dxa"/>
          </w:tcPr>
          <w:p w:rsidR="001C32E5" w:rsidRDefault="001C32E5" w:rsidP="008D11C2">
            <w:pPr>
              <w:spacing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Normal Control</w:t>
            </w:r>
          </w:p>
        </w:tc>
        <w:tc>
          <w:tcPr>
            <w:tcW w:w="2394" w:type="dxa"/>
          </w:tcPr>
          <w:p w:rsidR="001C32E5" w:rsidRDefault="001C32E5" w:rsidP="008D11C2">
            <w:pPr>
              <w:spacing w:line="240" w:lineRule="auto"/>
              <w:jc w:val="both"/>
              <w:cnfStyle w:val="00000000000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20.2 ± 1.2</w:t>
            </w:r>
          </w:p>
        </w:tc>
        <w:tc>
          <w:tcPr>
            <w:tcW w:w="2394" w:type="dxa"/>
          </w:tcPr>
          <w:p w:rsidR="001C32E5" w:rsidRDefault="001C32E5" w:rsidP="008D11C2">
            <w:pPr>
              <w:spacing w:line="240" w:lineRule="auto"/>
              <w:jc w:val="both"/>
              <w:cnfStyle w:val="00000000000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30.1 ± 1.8</w:t>
            </w:r>
          </w:p>
        </w:tc>
        <w:tc>
          <w:tcPr>
            <w:tcW w:w="2394" w:type="dxa"/>
          </w:tcPr>
          <w:p w:rsidR="001C32E5" w:rsidRDefault="001C32E5" w:rsidP="008D11C2">
            <w:pPr>
              <w:spacing w:line="240" w:lineRule="auto"/>
              <w:jc w:val="both"/>
              <w:cnfStyle w:val="00000000000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50.2 ± 3.1</w:t>
            </w:r>
          </w:p>
        </w:tc>
      </w:tr>
      <w:tr w:rsidR="001C32E5" w:rsidTr="008D11C2">
        <w:tc>
          <w:tcPr>
            <w:cnfStyle w:val="001000000000"/>
            <w:tcW w:w="2394" w:type="dxa"/>
          </w:tcPr>
          <w:p w:rsidR="001C32E5" w:rsidRDefault="001C32E5" w:rsidP="008D11C2">
            <w:pPr>
              <w:spacing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Diabetic Control</w:t>
            </w:r>
          </w:p>
        </w:tc>
        <w:tc>
          <w:tcPr>
            <w:tcW w:w="2394" w:type="dxa"/>
          </w:tcPr>
          <w:p w:rsidR="001C32E5" w:rsidRDefault="001C32E5" w:rsidP="008D11C2">
            <w:pPr>
              <w:spacing w:line="240" w:lineRule="auto"/>
              <w:jc w:val="both"/>
              <w:cnfStyle w:val="00000000000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40.5 ± 2.6</w:t>
            </w:r>
          </w:p>
        </w:tc>
        <w:tc>
          <w:tcPr>
            <w:tcW w:w="2394" w:type="dxa"/>
          </w:tcPr>
          <w:p w:rsidR="001C32E5" w:rsidRDefault="001C32E5" w:rsidP="008D11C2">
            <w:pPr>
              <w:spacing w:line="240" w:lineRule="auto"/>
              <w:jc w:val="both"/>
              <w:cnfStyle w:val="00000000000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60.2 ± 3.8</w:t>
            </w:r>
          </w:p>
        </w:tc>
        <w:tc>
          <w:tcPr>
            <w:tcW w:w="2394" w:type="dxa"/>
          </w:tcPr>
          <w:p w:rsidR="001C32E5" w:rsidRDefault="001C32E5" w:rsidP="008D11C2">
            <w:pPr>
              <w:spacing w:line="240" w:lineRule="auto"/>
              <w:jc w:val="both"/>
              <w:cnfStyle w:val="00000000000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100.5 ± 6.3</w:t>
            </w:r>
          </w:p>
        </w:tc>
      </w:tr>
      <w:tr w:rsidR="001C32E5" w:rsidTr="008D11C2">
        <w:tc>
          <w:tcPr>
            <w:cnfStyle w:val="001000000000"/>
            <w:tcW w:w="2394" w:type="dxa"/>
          </w:tcPr>
          <w:p w:rsidR="001C32E5" w:rsidRDefault="001C32E5" w:rsidP="008D11C2">
            <w:pPr>
              <w:spacing w:line="240" w:lineRule="auto"/>
              <w:jc w:val="both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Metformin</w:t>
            </w:r>
            <w:proofErr w:type="spellEnd"/>
            <w:r>
              <w:rPr>
                <w:rFonts w:ascii="Times New Roman" w:hAnsi="Times New Roman"/>
              </w:rPr>
              <w:t xml:space="preserve"> (100 mg/kg)</w:t>
            </w:r>
          </w:p>
        </w:tc>
        <w:tc>
          <w:tcPr>
            <w:tcW w:w="2394" w:type="dxa"/>
          </w:tcPr>
          <w:p w:rsidR="001C32E5" w:rsidRDefault="001C32E5" w:rsidP="008D11C2">
            <w:pPr>
              <w:spacing w:line="240" w:lineRule="auto"/>
              <w:jc w:val="both"/>
              <w:cnfStyle w:val="00000000000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25.1 ± 1.6</w:t>
            </w:r>
            <w:r>
              <w:rPr>
                <w:rFonts w:ascii="Times New Roman" w:hAnsi="Times New Roman"/>
                <w:vertAlign w:val="superscript"/>
              </w:rPr>
              <w:t>a</w:t>
            </w:r>
          </w:p>
        </w:tc>
        <w:tc>
          <w:tcPr>
            <w:tcW w:w="2394" w:type="dxa"/>
          </w:tcPr>
          <w:p w:rsidR="001C32E5" w:rsidRDefault="001C32E5" w:rsidP="008D11C2">
            <w:pPr>
              <w:spacing w:line="240" w:lineRule="auto"/>
              <w:jc w:val="both"/>
              <w:cnfStyle w:val="00000000000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35.2 ± 2.2</w:t>
            </w:r>
            <w:r>
              <w:rPr>
                <w:rFonts w:ascii="Times New Roman" w:hAnsi="Times New Roman"/>
                <w:vertAlign w:val="superscript"/>
              </w:rPr>
              <w:t>a</w:t>
            </w:r>
          </w:p>
        </w:tc>
        <w:tc>
          <w:tcPr>
            <w:tcW w:w="2394" w:type="dxa"/>
          </w:tcPr>
          <w:p w:rsidR="001C32E5" w:rsidRDefault="001C32E5" w:rsidP="008D11C2">
            <w:pPr>
              <w:spacing w:line="240" w:lineRule="auto"/>
              <w:jc w:val="both"/>
              <w:cnfStyle w:val="00000000000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60.1 ± 3.9</w:t>
            </w:r>
            <w:r>
              <w:rPr>
                <w:rFonts w:ascii="Times New Roman" w:hAnsi="Times New Roman"/>
                <w:vertAlign w:val="superscript"/>
              </w:rPr>
              <w:t>a</w:t>
            </w:r>
          </w:p>
        </w:tc>
      </w:tr>
      <w:tr w:rsidR="001C32E5" w:rsidTr="008D11C2">
        <w:tc>
          <w:tcPr>
            <w:cnfStyle w:val="001000000000"/>
            <w:tcW w:w="2394" w:type="dxa"/>
          </w:tcPr>
          <w:p w:rsidR="001C32E5" w:rsidRDefault="001C32E5" w:rsidP="008D11C2">
            <w:pPr>
              <w:spacing w:line="240" w:lineRule="auto"/>
              <w:jc w:val="both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Vernoniaamygdalina</w:t>
            </w:r>
            <w:proofErr w:type="spellEnd"/>
            <w:r>
              <w:rPr>
                <w:rFonts w:ascii="Times New Roman" w:hAnsi="Times New Roman"/>
              </w:rPr>
              <w:t xml:space="preserve"> (200 mg/kg)</w:t>
            </w:r>
          </w:p>
        </w:tc>
        <w:tc>
          <w:tcPr>
            <w:tcW w:w="2394" w:type="dxa"/>
          </w:tcPr>
          <w:p w:rsidR="001C32E5" w:rsidRDefault="001C32E5" w:rsidP="008D11C2">
            <w:pPr>
              <w:spacing w:line="240" w:lineRule="auto"/>
              <w:jc w:val="both"/>
              <w:cnfStyle w:val="00000000000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30.2 ± 2.1</w:t>
            </w:r>
            <w:r>
              <w:rPr>
                <w:rFonts w:ascii="Times New Roman" w:hAnsi="Times New Roman"/>
                <w:vertAlign w:val="superscript"/>
              </w:rPr>
              <w:t>b</w:t>
            </w:r>
          </w:p>
        </w:tc>
        <w:tc>
          <w:tcPr>
            <w:tcW w:w="2394" w:type="dxa"/>
          </w:tcPr>
          <w:p w:rsidR="001C32E5" w:rsidRDefault="001C32E5" w:rsidP="008D11C2">
            <w:pPr>
              <w:spacing w:line="240" w:lineRule="auto"/>
              <w:jc w:val="both"/>
              <w:cnfStyle w:val="00000000000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45.1 ± 2.9</w:t>
            </w:r>
            <w:r>
              <w:rPr>
                <w:rFonts w:ascii="Times New Roman" w:hAnsi="Times New Roman"/>
                <w:vertAlign w:val="superscript"/>
              </w:rPr>
              <w:t>b</w:t>
            </w:r>
          </w:p>
        </w:tc>
        <w:tc>
          <w:tcPr>
            <w:tcW w:w="2394" w:type="dxa"/>
          </w:tcPr>
          <w:p w:rsidR="001C32E5" w:rsidRDefault="001C32E5" w:rsidP="008D11C2">
            <w:pPr>
              <w:spacing w:line="240" w:lineRule="auto"/>
              <w:jc w:val="both"/>
              <w:cnfStyle w:val="00000000000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80.2 ± 5.2</w:t>
            </w:r>
            <w:r>
              <w:rPr>
                <w:rFonts w:ascii="Times New Roman" w:hAnsi="Times New Roman"/>
                <w:vertAlign w:val="superscript"/>
              </w:rPr>
              <w:t>b</w:t>
            </w:r>
          </w:p>
        </w:tc>
      </w:tr>
      <w:tr w:rsidR="001C32E5" w:rsidTr="008D11C2">
        <w:tc>
          <w:tcPr>
            <w:cnfStyle w:val="001000000000"/>
            <w:tcW w:w="2394" w:type="dxa"/>
          </w:tcPr>
          <w:p w:rsidR="001C32E5" w:rsidRDefault="001C32E5" w:rsidP="008D11C2">
            <w:pPr>
              <w:spacing w:line="240" w:lineRule="auto"/>
              <w:jc w:val="both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Vernoniaamygdalina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lastRenderedPageBreak/>
              <w:t>(400 mg/kg)</w:t>
            </w:r>
          </w:p>
        </w:tc>
        <w:tc>
          <w:tcPr>
            <w:tcW w:w="2394" w:type="dxa"/>
          </w:tcPr>
          <w:p w:rsidR="001C32E5" w:rsidRDefault="001C32E5" w:rsidP="008D11C2">
            <w:pPr>
              <w:spacing w:line="240" w:lineRule="auto"/>
              <w:jc w:val="both"/>
              <w:cnfStyle w:val="00000000000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22.1 ± 1.5</w:t>
            </w:r>
            <w:r>
              <w:rPr>
                <w:rFonts w:ascii="Times New Roman" w:hAnsi="Times New Roman"/>
                <w:vertAlign w:val="superscript"/>
              </w:rPr>
              <w:t>c</w:t>
            </w:r>
          </w:p>
        </w:tc>
        <w:tc>
          <w:tcPr>
            <w:tcW w:w="2394" w:type="dxa"/>
          </w:tcPr>
          <w:p w:rsidR="001C32E5" w:rsidRDefault="001C32E5" w:rsidP="008D11C2">
            <w:pPr>
              <w:spacing w:line="240" w:lineRule="auto"/>
              <w:jc w:val="both"/>
              <w:cnfStyle w:val="00000000000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32.1 ± 2.1</w:t>
            </w:r>
            <w:r>
              <w:rPr>
                <w:rFonts w:ascii="Times New Roman" w:hAnsi="Times New Roman"/>
                <w:vertAlign w:val="superscript"/>
              </w:rPr>
              <w:t>c</w:t>
            </w:r>
          </w:p>
        </w:tc>
        <w:tc>
          <w:tcPr>
            <w:tcW w:w="2394" w:type="dxa"/>
          </w:tcPr>
          <w:p w:rsidR="001C32E5" w:rsidRDefault="001C32E5" w:rsidP="008D11C2">
            <w:pPr>
              <w:spacing w:line="240" w:lineRule="auto"/>
              <w:jc w:val="both"/>
              <w:cnfStyle w:val="00000000000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55.1 ± 3.6</w:t>
            </w:r>
            <w:r>
              <w:rPr>
                <w:rFonts w:ascii="Times New Roman" w:hAnsi="Times New Roman"/>
                <w:vertAlign w:val="superscript"/>
              </w:rPr>
              <w:t>c</w:t>
            </w:r>
          </w:p>
        </w:tc>
      </w:tr>
    </w:tbl>
    <w:p w:rsidR="001C32E5" w:rsidRDefault="001C32E5" w:rsidP="001C32E5">
      <w:pPr>
        <w:spacing w:line="48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lastRenderedPageBreak/>
        <w:t xml:space="preserve">Values are mean ± SEM (n=6). </w:t>
      </w:r>
      <w:proofErr w:type="gramStart"/>
      <w:r>
        <w:rPr>
          <w:rFonts w:ascii="Times New Roman" w:hAnsi="Times New Roman"/>
          <w:sz w:val="20"/>
          <w:szCs w:val="20"/>
        </w:rPr>
        <w:t>a</w:t>
      </w:r>
      <w:proofErr w:type="gramEnd"/>
      <w:r>
        <w:rPr>
          <w:rFonts w:ascii="Times New Roman" w:hAnsi="Times New Roman"/>
          <w:sz w:val="20"/>
          <w:szCs w:val="20"/>
        </w:rPr>
        <w:t>, b, and c indicate significant difference (p&lt;0.05)</w:t>
      </w:r>
    </w:p>
    <w:p w:rsidR="001C32E5" w:rsidRDefault="001C32E5" w:rsidP="001C32E5">
      <w:pPr>
        <w:spacing w:line="480" w:lineRule="auto"/>
        <w:jc w:val="both"/>
        <w:rPr>
          <w:rFonts w:ascii="Times New Roman" w:hAnsi="Times New Roman"/>
          <w:sz w:val="20"/>
          <w:szCs w:val="20"/>
        </w:rPr>
      </w:pPr>
    </w:p>
    <w:p w:rsidR="001C32E5" w:rsidRDefault="001C32E5" w:rsidP="001C32E5">
      <w:pPr>
        <w:spacing w:line="480" w:lineRule="auto"/>
        <w:jc w:val="both"/>
        <w:rPr>
          <w:rFonts w:ascii="Times New Roman" w:hAnsi="Times New Roman"/>
          <w:sz w:val="20"/>
          <w:szCs w:val="20"/>
        </w:rPr>
      </w:pPr>
    </w:p>
    <w:p w:rsidR="001C32E5" w:rsidRDefault="001C32E5" w:rsidP="001C32E5">
      <w:pPr>
        <w:spacing w:line="48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en-US"/>
        </w:rPr>
        <w:drawing>
          <wp:inline distT="0" distB="0" distL="114300" distR="114300">
            <wp:extent cx="5429250" cy="3809999"/>
            <wp:effectExtent l="0" t="0" r="0" b="0"/>
            <wp:docPr id="7" name="Image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 w:rsidR="001C32E5" w:rsidRDefault="001C32E5" w:rsidP="001C32E5">
      <w:pPr>
        <w:spacing w:after="0" w:line="48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b/>
          <w:sz w:val="20"/>
          <w:szCs w:val="20"/>
        </w:rPr>
        <w:t>Figure5</w:t>
      </w:r>
      <w:r>
        <w:rPr>
          <w:rFonts w:ascii="Times New Roman" w:hAnsi="Times New Roman"/>
          <w:sz w:val="20"/>
          <w:szCs w:val="20"/>
        </w:rPr>
        <w:t xml:space="preserve">. Effects of </w:t>
      </w:r>
      <w:proofErr w:type="spellStart"/>
      <w:r>
        <w:rPr>
          <w:rFonts w:ascii="Times New Roman" w:hAnsi="Times New Roman"/>
          <w:i/>
          <w:sz w:val="20"/>
          <w:szCs w:val="20"/>
        </w:rPr>
        <w:t>Vernoniaamygdalina</w:t>
      </w:r>
      <w:proofErr w:type="spellEnd"/>
      <w:r>
        <w:rPr>
          <w:rFonts w:ascii="Times New Roman" w:hAnsi="Times New Roman"/>
          <w:sz w:val="20"/>
          <w:szCs w:val="20"/>
        </w:rPr>
        <w:t xml:space="preserve"> extract on liver enzymes in </w:t>
      </w:r>
      <w:proofErr w:type="spellStart"/>
      <w:r>
        <w:rPr>
          <w:rFonts w:ascii="Times New Roman" w:hAnsi="Times New Roman"/>
          <w:sz w:val="20"/>
          <w:szCs w:val="20"/>
        </w:rPr>
        <w:t>alloxan</w:t>
      </w:r>
      <w:proofErr w:type="spellEnd"/>
      <w:r>
        <w:rPr>
          <w:rFonts w:ascii="Times New Roman" w:hAnsi="Times New Roman"/>
          <w:sz w:val="20"/>
          <w:szCs w:val="20"/>
        </w:rPr>
        <w:t>-induced diabetic rats</w:t>
      </w:r>
    </w:p>
    <w:p w:rsidR="001C32E5" w:rsidRDefault="001C32E5" w:rsidP="001C32E5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Values are presented in Mean ± Standard Error of three replicate determinations. Values with different alphabets on the bars are significantly different (p&lt;0.05).</w:t>
      </w:r>
    </w:p>
    <w:p w:rsidR="001C32E5" w:rsidRDefault="001C32E5"/>
    <w:p w:rsidR="001C32E5" w:rsidRDefault="001C32E5" w:rsidP="001C32E5">
      <w:pPr>
        <w:spacing w:after="0" w:line="480" w:lineRule="auto"/>
        <w:jc w:val="both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b/>
          <w:sz w:val="24"/>
          <w:szCs w:val="24"/>
        </w:rPr>
        <w:t>Table 4.</w:t>
      </w:r>
      <w:proofErr w:type="gramEnd"/>
      <w:r>
        <w:rPr>
          <w:rFonts w:ascii="Times New Roman" w:hAnsi="Times New Roman"/>
          <w:sz w:val="24"/>
          <w:szCs w:val="24"/>
        </w:rPr>
        <w:t xml:space="preserve"> In vitro antioxidant activity of </w:t>
      </w:r>
      <w:proofErr w:type="spellStart"/>
      <w:r>
        <w:rPr>
          <w:rFonts w:ascii="Times New Roman" w:hAnsi="Times New Roman"/>
          <w:sz w:val="24"/>
          <w:szCs w:val="24"/>
        </w:rPr>
        <w:t>Vernoniaamygdalina</w:t>
      </w:r>
      <w:proofErr w:type="spellEnd"/>
      <w:r>
        <w:rPr>
          <w:rFonts w:ascii="Times New Roman" w:hAnsi="Times New Roman"/>
          <w:sz w:val="24"/>
          <w:szCs w:val="24"/>
        </w:rPr>
        <w:t xml:space="preserve"> extract</w:t>
      </w:r>
    </w:p>
    <w:tbl>
      <w:tblPr>
        <w:tblStyle w:val="LightShading"/>
        <w:tblW w:w="0" w:type="auto"/>
        <w:tblLook w:val="06A0"/>
      </w:tblPr>
      <w:tblGrid>
        <w:gridCol w:w="2394"/>
        <w:gridCol w:w="2394"/>
        <w:gridCol w:w="2394"/>
        <w:gridCol w:w="2394"/>
      </w:tblGrid>
      <w:tr w:rsidR="001C32E5" w:rsidTr="008D11C2">
        <w:trPr>
          <w:cnfStyle w:val="100000000000"/>
        </w:trPr>
        <w:tc>
          <w:tcPr>
            <w:cnfStyle w:val="001000000000"/>
            <w:tcW w:w="2394" w:type="dxa"/>
          </w:tcPr>
          <w:p w:rsidR="001C32E5" w:rsidRDefault="001C32E5" w:rsidP="008D11C2">
            <w:pPr>
              <w:spacing w:after="0" w:line="240" w:lineRule="auto"/>
              <w:jc w:val="both"/>
            </w:pPr>
            <w:r>
              <w:rPr>
                <w:rFonts w:ascii="Times New Roman" w:hAnsi="Times New Roman"/>
              </w:rPr>
              <w:t>Concentration (</w:t>
            </w:r>
            <w:proofErr w:type="spellStart"/>
            <w:r>
              <w:rPr>
                <w:rFonts w:ascii="Times New Roman" w:hAnsi="Times New Roman"/>
              </w:rPr>
              <w:t>μg</w:t>
            </w:r>
            <w:proofErr w:type="spellEnd"/>
            <w:r>
              <w:rPr>
                <w:rFonts w:ascii="Times New Roman" w:hAnsi="Times New Roman"/>
              </w:rPr>
              <w:t>/</w:t>
            </w:r>
            <w:proofErr w:type="spellStart"/>
            <w:r>
              <w:rPr>
                <w:rFonts w:ascii="Times New Roman" w:hAnsi="Times New Roman"/>
              </w:rPr>
              <w:t>mL</w:t>
            </w:r>
            <w:proofErr w:type="spellEnd"/>
            <w:r>
              <w:rPr>
                <w:rFonts w:ascii="Times New Roman" w:hAnsi="Times New Roman"/>
              </w:rPr>
              <w:t>)</w:t>
            </w:r>
          </w:p>
        </w:tc>
        <w:tc>
          <w:tcPr>
            <w:tcW w:w="2394" w:type="dxa"/>
          </w:tcPr>
          <w:p w:rsidR="001C32E5" w:rsidRDefault="001C32E5" w:rsidP="008D11C2">
            <w:pPr>
              <w:spacing w:line="240" w:lineRule="auto"/>
              <w:jc w:val="both"/>
              <w:cnfStyle w:val="10000000000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DPPH Radical Scavenging Activity (%)</w:t>
            </w:r>
          </w:p>
        </w:tc>
        <w:tc>
          <w:tcPr>
            <w:tcW w:w="2394" w:type="dxa"/>
          </w:tcPr>
          <w:p w:rsidR="001C32E5" w:rsidRDefault="001C32E5" w:rsidP="008D11C2">
            <w:pPr>
              <w:spacing w:line="240" w:lineRule="auto"/>
              <w:jc w:val="both"/>
              <w:cnfStyle w:val="10000000000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Superoxide Anion Radical Scavenging Activity (%)</w:t>
            </w:r>
          </w:p>
        </w:tc>
        <w:tc>
          <w:tcPr>
            <w:tcW w:w="2394" w:type="dxa"/>
          </w:tcPr>
          <w:p w:rsidR="001C32E5" w:rsidRDefault="001C32E5" w:rsidP="008D11C2">
            <w:pPr>
              <w:spacing w:line="240" w:lineRule="auto"/>
              <w:jc w:val="both"/>
              <w:cnfStyle w:val="10000000000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Reducing Power (Absorbance at 700 nm)</w:t>
            </w:r>
          </w:p>
        </w:tc>
      </w:tr>
      <w:tr w:rsidR="001C32E5" w:rsidTr="008D11C2">
        <w:tc>
          <w:tcPr>
            <w:cnfStyle w:val="001000000000"/>
            <w:tcW w:w="2394" w:type="dxa"/>
          </w:tcPr>
          <w:p w:rsidR="001C32E5" w:rsidRDefault="001C32E5" w:rsidP="008D11C2">
            <w:pPr>
              <w:spacing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</w:t>
            </w:r>
          </w:p>
        </w:tc>
        <w:tc>
          <w:tcPr>
            <w:tcW w:w="2394" w:type="dxa"/>
          </w:tcPr>
          <w:p w:rsidR="001C32E5" w:rsidRDefault="001C32E5" w:rsidP="008D11C2">
            <w:pPr>
              <w:spacing w:line="240" w:lineRule="auto"/>
              <w:jc w:val="both"/>
              <w:cnfStyle w:val="00000000000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20.5 ± 1.2</w:t>
            </w:r>
          </w:p>
        </w:tc>
        <w:tc>
          <w:tcPr>
            <w:tcW w:w="2394" w:type="dxa"/>
          </w:tcPr>
          <w:p w:rsidR="001C32E5" w:rsidRDefault="001C32E5" w:rsidP="008D11C2">
            <w:pPr>
              <w:spacing w:line="240" w:lineRule="auto"/>
              <w:jc w:val="both"/>
              <w:cnfStyle w:val="00000000000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15.2 ± 0.9</w:t>
            </w:r>
          </w:p>
        </w:tc>
        <w:tc>
          <w:tcPr>
            <w:tcW w:w="2394" w:type="dxa"/>
          </w:tcPr>
          <w:p w:rsidR="001C32E5" w:rsidRDefault="001C32E5" w:rsidP="008D11C2">
            <w:pPr>
              <w:spacing w:line="240" w:lineRule="auto"/>
              <w:jc w:val="both"/>
              <w:cnfStyle w:val="00000000000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0.20 ± 0.01</w:t>
            </w:r>
          </w:p>
        </w:tc>
      </w:tr>
      <w:tr w:rsidR="001C32E5" w:rsidTr="008D11C2">
        <w:tc>
          <w:tcPr>
            <w:cnfStyle w:val="001000000000"/>
            <w:tcW w:w="2394" w:type="dxa"/>
          </w:tcPr>
          <w:p w:rsidR="001C32E5" w:rsidRDefault="001C32E5" w:rsidP="008D11C2">
            <w:pPr>
              <w:spacing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</w:t>
            </w:r>
          </w:p>
        </w:tc>
        <w:tc>
          <w:tcPr>
            <w:tcW w:w="2394" w:type="dxa"/>
          </w:tcPr>
          <w:p w:rsidR="001C32E5" w:rsidRDefault="001C32E5" w:rsidP="008D11C2">
            <w:pPr>
              <w:spacing w:line="240" w:lineRule="auto"/>
              <w:jc w:val="both"/>
              <w:cnfStyle w:val="00000000000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35.2 ± 2.1</w:t>
            </w:r>
          </w:p>
        </w:tc>
        <w:tc>
          <w:tcPr>
            <w:tcW w:w="2394" w:type="dxa"/>
          </w:tcPr>
          <w:p w:rsidR="001C32E5" w:rsidRDefault="001C32E5" w:rsidP="008D11C2">
            <w:pPr>
              <w:spacing w:line="240" w:lineRule="auto"/>
              <w:jc w:val="both"/>
              <w:cnfStyle w:val="00000000000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25.1 ± 1.5</w:t>
            </w:r>
          </w:p>
        </w:tc>
        <w:tc>
          <w:tcPr>
            <w:tcW w:w="2394" w:type="dxa"/>
          </w:tcPr>
          <w:p w:rsidR="001C32E5" w:rsidRDefault="001C32E5" w:rsidP="008D11C2">
            <w:pPr>
              <w:spacing w:line="240" w:lineRule="auto"/>
              <w:jc w:val="both"/>
              <w:cnfStyle w:val="00000000000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0.35 ± 0.02</w:t>
            </w:r>
          </w:p>
        </w:tc>
      </w:tr>
      <w:tr w:rsidR="001C32E5" w:rsidTr="008D11C2">
        <w:tc>
          <w:tcPr>
            <w:cnfStyle w:val="001000000000"/>
            <w:tcW w:w="2394" w:type="dxa"/>
          </w:tcPr>
          <w:p w:rsidR="001C32E5" w:rsidRDefault="001C32E5" w:rsidP="008D11C2">
            <w:pPr>
              <w:spacing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50</w:t>
            </w:r>
          </w:p>
        </w:tc>
        <w:tc>
          <w:tcPr>
            <w:tcW w:w="2394" w:type="dxa"/>
          </w:tcPr>
          <w:p w:rsidR="001C32E5" w:rsidRDefault="001C32E5" w:rsidP="008D11C2">
            <w:pPr>
              <w:spacing w:line="240" w:lineRule="auto"/>
              <w:jc w:val="both"/>
              <w:cnfStyle w:val="00000000000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60.5 ± 3.5</w:t>
            </w:r>
          </w:p>
        </w:tc>
        <w:tc>
          <w:tcPr>
            <w:tcW w:w="2394" w:type="dxa"/>
          </w:tcPr>
          <w:p w:rsidR="001C32E5" w:rsidRDefault="001C32E5" w:rsidP="008D11C2">
            <w:pPr>
              <w:spacing w:line="240" w:lineRule="auto"/>
              <w:jc w:val="both"/>
              <w:cnfStyle w:val="00000000000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45.2 ± 2.7</w:t>
            </w:r>
          </w:p>
        </w:tc>
        <w:tc>
          <w:tcPr>
            <w:tcW w:w="2394" w:type="dxa"/>
          </w:tcPr>
          <w:p w:rsidR="001C32E5" w:rsidRDefault="001C32E5" w:rsidP="008D11C2">
            <w:pPr>
              <w:spacing w:line="240" w:lineRule="auto"/>
              <w:jc w:val="both"/>
              <w:cnfStyle w:val="00000000000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0.60 ± 0.03</w:t>
            </w:r>
          </w:p>
        </w:tc>
      </w:tr>
      <w:tr w:rsidR="001C32E5" w:rsidTr="008D11C2">
        <w:tc>
          <w:tcPr>
            <w:cnfStyle w:val="001000000000"/>
            <w:tcW w:w="2394" w:type="dxa"/>
          </w:tcPr>
          <w:p w:rsidR="001C32E5" w:rsidRDefault="001C32E5" w:rsidP="008D11C2">
            <w:pPr>
              <w:spacing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100</w:t>
            </w:r>
          </w:p>
        </w:tc>
        <w:tc>
          <w:tcPr>
            <w:tcW w:w="2394" w:type="dxa"/>
          </w:tcPr>
          <w:p w:rsidR="001C32E5" w:rsidRDefault="001C32E5" w:rsidP="008D11C2">
            <w:pPr>
              <w:spacing w:line="240" w:lineRule="auto"/>
              <w:jc w:val="both"/>
              <w:cnfStyle w:val="00000000000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80.2 ± 4.2</w:t>
            </w:r>
          </w:p>
        </w:tc>
        <w:tc>
          <w:tcPr>
            <w:tcW w:w="2394" w:type="dxa"/>
          </w:tcPr>
          <w:p w:rsidR="001C32E5" w:rsidRDefault="001C32E5" w:rsidP="008D11C2">
            <w:pPr>
              <w:spacing w:line="240" w:lineRule="auto"/>
              <w:jc w:val="both"/>
              <w:cnfStyle w:val="00000000000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65.1 ± 3.9</w:t>
            </w:r>
          </w:p>
        </w:tc>
        <w:tc>
          <w:tcPr>
            <w:tcW w:w="2394" w:type="dxa"/>
          </w:tcPr>
          <w:p w:rsidR="001C32E5" w:rsidRDefault="001C32E5" w:rsidP="008D11C2">
            <w:pPr>
              <w:spacing w:line="240" w:lineRule="auto"/>
              <w:jc w:val="both"/>
              <w:cnfStyle w:val="00000000000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0.80 ± 0.04</w:t>
            </w:r>
          </w:p>
        </w:tc>
      </w:tr>
      <w:tr w:rsidR="001C32E5" w:rsidTr="008D11C2">
        <w:tc>
          <w:tcPr>
            <w:cnfStyle w:val="001000000000"/>
            <w:tcW w:w="2394" w:type="dxa"/>
          </w:tcPr>
          <w:p w:rsidR="001C32E5" w:rsidRDefault="001C32E5" w:rsidP="008D11C2">
            <w:pPr>
              <w:spacing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Ascorbic acid (positive control)</w:t>
            </w:r>
          </w:p>
        </w:tc>
        <w:tc>
          <w:tcPr>
            <w:tcW w:w="2394" w:type="dxa"/>
          </w:tcPr>
          <w:p w:rsidR="001C32E5" w:rsidRDefault="001C32E5" w:rsidP="008D11C2">
            <w:pPr>
              <w:spacing w:line="240" w:lineRule="auto"/>
              <w:jc w:val="both"/>
              <w:cnfStyle w:val="00000000000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90.1 ± 4.5</w:t>
            </w:r>
          </w:p>
        </w:tc>
        <w:tc>
          <w:tcPr>
            <w:tcW w:w="2394" w:type="dxa"/>
          </w:tcPr>
          <w:p w:rsidR="001C32E5" w:rsidRDefault="001C32E5" w:rsidP="008D11C2">
            <w:pPr>
              <w:spacing w:line="240" w:lineRule="auto"/>
              <w:jc w:val="both"/>
              <w:cnfStyle w:val="00000000000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80.2 ± 4.2</w:t>
            </w:r>
          </w:p>
        </w:tc>
        <w:tc>
          <w:tcPr>
            <w:tcW w:w="2394" w:type="dxa"/>
          </w:tcPr>
          <w:p w:rsidR="001C32E5" w:rsidRDefault="001C32E5" w:rsidP="008D11C2">
            <w:pPr>
              <w:spacing w:line="240" w:lineRule="auto"/>
              <w:jc w:val="both"/>
              <w:cnfStyle w:val="00000000000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1.00 ± 0.05</w:t>
            </w:r>
          </w:p>
        </w:tc>
      </w:tr>
    </w:tbl>
    <w:p w:rsidR="001C32E5" w:rsidRDefault="001C32E5" w:rsidP="001C32E5">
      <w:pPr>
        <w:spacing w:line="48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Values are mean ± SEM three replicate determination</w:t>
      </w:r>
    </w:p>
    <w:p w:rsidR="001C32E5" w:rsidRDefault="001C32E5" w:rsidP="001C32E5">
      <w:pPr>
        <w:spacing w:line="480" w:lineRule="auto"/>
        <w:jc w:val="both"/>
        <w:rPr>
          <w:rFonts w:ascii="Times New Roman" w:hAnsi="Times New Roman"/>
          <w:sz w:val="24"/>
          <w:szCs w:val="24"/>
        </w:rPr>
      </w:pPr>
    </w:p>
    <w:p w:rsidR="001C32E5" w:rsidRDefault="001C32E5" w:rsidP="001C32E5">
      <w:pPr>
        <w:spacing w:after="0" w:line="48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en-US"/>
        </w:rPr>
        <w:drawing>
          <wp:inline distT="0" distB="0" distL="114300" distR="114300">
            <wp:extent cx="5419726" cy="4105273"/>
            <wp:effectExtent l="0" t="0" r="0" b="0"/>
            <wp:docPr id="9" name="Image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:rsidR="001C32E5" w:rsidRDefault="001C32E5" w:rsidP="001C32E5">
      <w:pPr>
        <w:spacing w:after="0" w:line="480" w:lineRule="auto"/>
        <w:jc w:val="both"/>
        <w:rPr>
          <w:rFonts w:ascii="Times New Roman" w:hAnsi="Times New Roman"/>
          <w:b/>
          <w:sz w:val="20"/>
          <w:szCs w:val="20"/>
        </w:rPr>
      </w:pPr>
      <w:proofErr w:type="gramStart"/>
      <w:r>
        <w:rPr>
          <w:rFonts w:ascii="Times New Roman" w:hAnsi="Times New Roman"/>
          <w:b/>
          <w:sz w:val="20"/>
          <w:szCs w:val="20"/>
        </w:rPr>
        <w:t>Table 6.</w:t>
      </w:r>
      <w:proofErr w:type="gramEnd"/>
      <w:r>
        <w:rPr>
          <w:rFonts w:ascii="Times New Roman" w:hAnsi="Times New Roman"/>
          <w:b/>
          <w:sz w:val="20"/>
          <w:szCs w:val="20"/>
        </w:rPr>
        <w:t xml:space="preserve"> In vitro antioxidant activity of </w:t>
      </w:r>
      <w:proofErr w:type="spellStart"/>
      <w:r>
        <w:rPr>
          <w:rFonts w:ascii="Times New Roman" w:hAnsi="Times New Roman"/>
          <w:b/>
          <w:i/>
          <w:sz w:val="20"/>
          <w:szCs w:val="20"/>
        </w:rPr>
        <w:t>Vernoniaamygdalina</w:t>
      </w:r>
      <w:proofErr w:type="spellEnd"/>
      <w:r>
        <w:rPr>
          <w:rFonts w:ascii="Times New Roman" w:hAnsi="Times New Roman"/>
          <w:b/>
          <w:sz w:val="20"/>
          <w:szCs w:val="20"/>
        </w:rPr>
        <w:t xml:space="preserve"> extract</w:t>
      </w:r>
    </w:p>
    <w:p w:rsidR="001C32E5" w:rsidRDefault="001C32E5"/>
    <w:sectPr w:rsidR="001C32E5" w:rsidSect="005E6F2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characterSpacingControl w:val="doNotCompress"/>
  <w:compat/>
  <w:rsids>
    <w:rsidRoot w:val="001C32E5"/>
    <w:rsid w:val="00167A41"/>
    <w:rsid w:val="001C32E5"/>
    <w:rsid w:val="005E6F29"/>
    <w:rsid w:val="00E17EC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C32E5"/>
    <w:pPr>
      <w:spacing w:after="200" w:line="276" w:lineRule="auto"/>
    </w:pPr>
    <w:rPr>
      <w:rFonts w:ascii="Calibri" w:eastAsia="SimSun" w:hAnsi="Calibri" w:cs="Times New Roman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LightShading">
    <w:name w:val="Light Shading"/>
    <w:basedOn w:val="TableNormal"/>
    <w:uiPriority w:val="60"/>
    <w:rsid w:val="001C32E5"/>
    <w:pPr>
      <w:spacing w:after="0" w:line="240" w:lineRule="auto"/>
    </w:pPr>
    <w:rPr>
      <w:rFonts w:ascii="Calibri" w:eastAsia="SimSun" w:hAnsi="Calibri" w:cs="Times New Roman"/>
      <w:color w:val="000000"/>
      <w:sz w:val="20"/>
      <w:szCs w:val="20"/>
      <w:lang w:eastAsia="zh-CN"/>
    </w:rPr>
    <w:tblPr>
      <w:tblStyleRowBandSize w:val="1"/>
      <w:tblStyleColBandSize w:val="1"/>
      <w:tblInd w:w="0" w:type="dxa"/>
      <w:tblBorders>
        <w:top w:val="single" w:sz="8" w:space="0" w:color="000000"/>
        <w:bottom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1C32E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C32E5"/>
    <w:rPr>
      <w:rFonts w:ascii="Tahoma" w:eastAsia="SimSun" w:hAnsi="Tahoma" w:cs="Tahoma"/>
      <w:sz w:val="16"/>
      <w:szCs w:val="16"/>
      <w:lang w:eastAsia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5.xml"/><Relationship Id="rId3" Type="http://schemas.openxmlformats.org/officeDocument/2006/relationships/webSettings" Target="webSettings.xml"/><Relationship Id="rId7" Type="http://schemas.openxmlformats.org/officeDocument/2006/relationships/chart" Target="charts/chart4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hart" Target="charts/chart3.xml"/><Relationship Id="rId5" Type="http://schemas.openxmlformats.org/officeDocument/2006/relationships/chart" Target="charts/chart2.xml"/><Relationship Id="rId10" Type="http://schemas.openxmlformats.org/officeDocument/2006/relationships/theme" Target="theme/theme1.xml"/><Relationship Id="rId4" Type="http://schemas.openxmlformats.org/officeDocument/2006/relationships/chart" Target="charts/chart1.xml"/><Relationship Id="rId9" Type="http://schemas.openxmlformats.org/officeDocument/2006/relationships/fontTable" Target="fontTable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Book1" TargetMode="External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oleObject" Target="Book1" TargetMode="External"/></Relationships>
</file>

<file path=word/charts/_rels/chart3.xml.rels><?xml version="1.0" encoding="UTF-8" standalone="yes"?>
<Relationships xmlns="http://schemas.openxmlformats.org/package/2006/relationships"><Relationship Id="rId1" Type="http://schemas.openxmlformats.org/officeDocument/2006/relationships/oleObject" Target="Book1" TargetMode="External"/></Relationships>
</file>

<file path=word/charts/_rels/chart4.xml.rels><?xml version="1.0" encoding="UTF-8" standalone="yes"?>
<Relationships xmlns="http://schemas.openxmlformats.org/package/2006/relationships"><Relationship Id="rId1" Type="http://schemas.openxmlformats.org/officeDocument/2006/relationships/oleObject" Target="Book1" TargetMode="External"/></Relationships>
</file>

<file path=word/charts/_rels/chart5.xml.rels><?xml version="1.0" encoding="UTF-8" standalone="yes"?>
<Relationships xmlns="http://schemas.openxmlformats.org/package/2006/relationships"><Relationship Id="rId1" Type="http://schemas.openxmlformats.org/officeDocument/2006/relationships/oleObject" Target="Book1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en-US"/>
  <c:style val="26"/>
  <c:chart>
    <c:plotArea>
      <c:layout>
        <c:manualLayout>
          <c:layoutTarget val="inner"/>
          <c:xMode val="edge"/>
          <c:yMode val="edge"/>
          <c:x val="0.16694920783085704"/>
          <c:y val="3.9581175347733956E-2"/>
          <c:w val="0.54815595469304512"/>
          <c:h val="0.67989894311339683"/>
        </c:manualLayout>
      </c:layout>
      <c:barChart>
        <c:barDir val="col"/>
        <c:grouping val="clustered"/>
        <c:ser>
          <c:idx val="0"/>
          <c:order val="0"/>
          <c:tx>
            <c:strRef>
              <c:f>Sheet1!$A$7</c:f>
              <c:strCache>
                <c:ptCount val="1"/>
                <c:pt idx="0">
                  <c:v>Normal Control (1 mL)</c:v>
                </c:pt>
              </c:strCache>
            </c:strRef>
          </c:tx>
          <c:errBars>
            <c:errBarType val="both"/>
            <c:errValType val="cust"/>
            <c:plus>
              <c:numLit>
                <c:formatCode>General</c:formatCode>
                <c:ptCount val="2"/>
                <c:pt idx="0">
                  <c:v>3.1</c:v>
                </c:pt>
                <c:pt idx="1">
                  <c:v>2.9</c:v>
                </c:pt>
              </c:numLit>
            </c:plus>
            <c:minus>
              <c:numLit>
                <c:formatCode>General</c:formatCode>
                <c:ptCount val="2"/>
                <c:pt idx="0">
                  <c:v>3.1</c:v>
                </c:pt>
                <c:pt idx="1">
                  <c:v>2.9</c:v>
                </c:pt>
              </c:numLit>
            </c:minus>
          </c:errBars>
          <c:cat>
            <c:strRef>
              <c:f>Sheet1!$C$1:$D$1</c:f>
              <c:strCache>
                <c:ptCount val="2"/>
                <c:pt idx="0">
                  <c:v>Initial Blood Glucose (mg/dL)</c:v>
                </c:pt>
                <c:pt idx="1">
                  <c:v>Final Blood Glucose (mg/dL)</c:v>
                </c:pt>
              </c:strCache>
            </c:strRef>
          </c:cat>
          <c:val>
            <c:numRef>
              <c:f>Sheet1!$C$2:$D$2</c:f>
              <c:numCache>
                <c:formatCode>General</c:formatCode>
                <c:ptCount val="2"/>
                <c:pt idx="0">
                  <c:v>85.2</c:v>
                </c:pt>
                <c:pt idx="1">
                  <c:v>84.5</c:v>
                </c:pt>
              </c:numCache>
            </c:numRef>
          </c:val>
        </c:ser>
        <c:ser>
          <c:idx val="1"/>
          <c:order val="1"/>
          <c:tx>
            <c:strRef>
              <c:f>Sheet1!$A$8</c:f>
              <c:strCache>
                <c:ptCount val="1"/>
                <c:pt idx="0">
                  <c:v>Diabetic Control (150 mg/kg)</c:v>
                </c:pt>
              </c:strCache>
            </c:strRef>
          </c:tx>
          <c:errBars>
            <c:errBarType val="both"/>
            <c:errValType val="cust"/>
            <c:plus>
              <c:numLit>
                <c:formatCode>General</c:formatCode>
                <c:ptCount val="2"/>
                <c:pt idx="0">
                  <c:v>10.200000000000001</c:v>
                </c:pt>
                <c:pt idx="1">
                  <c:v>12.1</c:v>
                </c:pt>
              </c:numLit>
            </c:plus>
            <c:minus>
              <c:numLit>
                <c:formatCode>General</c:formatCode>
                <c:ptCount val="2"/>
                <c:pt idx="0">
                  <c:v>10.200000000000001</c:v>
                </c:pt>
                <c:pt idx="1">
                  <c:v>12.1</c:v>
                </c:pt>
              </c:numLit>
            </c:minus>
          </c:errBars>
          <c:cat>
            <c:strRef>
              <c:f>Sheet1!$C$1:$D$1</c:f>
              <c:strCache>
                <c:ptCount val="2"/>
                <c:pt idx="0">
                  <c:v>Initial Blood Glucose (mg/dL)</c:v>
                </c:pt>
                <c:pt idx="1">
                  <c:v>Final Blood Glucose (mg/dL)</c:v>
                </c:pt>
              </c:strCache>
            </c:strRef>
          </c:cat>
          <c:val>
            <c:numRef>
              <c:f>Sheet1!$C$3:$D$3</c:f>
              <c:numCache>
                <c:formatCode>General</c:formatCode>
                <c:ptCount val="2"/>
                <c:pt idx="0">
                  <c:v>245.6</c:v>
                </c:pt>
                <c:pt idx="1">
                  <c:v>261.2</c:v>
                </c:pt>
              </c:numCache>
            </c:numRef>
          </c:val>
        </c:ser>
        <c:ser>
          <c:idx val="2"/>
          <c:order val="2"/>
          <c:tx>
            <c:strRef>
              <c:f>Sheet1!$A$9</c:f>
              <c:strCache>
                <c:ptCount val="1"/>
                <c:pt idx="0">
                  <c:v>Metformin (100 mg/kg)</c:v>
                </c:pt>
              </c:strCache>
            </c:strRef>
          </c:tx>
          <c:dLbls>
            <c:dLbl>
              <c:idx val="0"/>
              <c:layout>
                <c:manualLayout>
                  <c:x val="-4.1430775785950506E-17"/>
                  <c:y val="-9.3240093240093344E-3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a</a:t>
                    </a:r>
                  </a:p>
                </c:rich>
              </c:tx>
              <c:dLblPos val="outEnd"/>
              <c:showVal val="1"/>
            </c:dLbl>
            <c:dLbl>
              <c:idx val="1"/>
              <c:tx>
                <c:rich>
                  <a:bodyPr/>
                  <a:lstStyle/>
                  <a:p>
                    <a:r>
                      <a:rPr lang="en-US"/>
                      <a:t>a</a:t>
                    </a:r>
                  </a:p>
                </c:rich>
              </c:tx>
              <c:dLblPos val="outEnd"/>
              <c:showVal val="1"/>
            </c:dLbl>
            <c:dLblPos val="outEnd"/>
            <c:showVal val="1"/>
            <c:extLst>
              <c:ext xmlns:c15="http://schemas.microsoft.com/office/drawing/2012/chart" uri="{CE6537A1-D6FC-4f65-9D91-7224C49458BB}">
                <c15:layout/>
                <c15:showLeaderLines val="0"/>
              </c:ext>
            </c:extLst>
          </c:dLbls>
          <c:errBars>
            <c:errBarType val="both"/>
            <c:errValType val="cust"/>
            <c:plus>
              <c:numLit>
                <c:formatCode>General</c:formatCode>
                <c:ptCount val="2"/>
                <c:pt idx="0">
                  <c:v>9.5</c:v>
                </c:pt>
                <c:pt idx="1">
                  <c:v>6.2</c:v>
                </c:pt>
              </c:numLit>
            </c:plus>
            <c:minus>
              <c:numLit>
                <c:formatCode>General</c:formatCode>
                <c:ptCount val="2"/>
                <c:pt idx="0">
                  <c:v>9.5</c:v>
                </c:pt>
                <c:pt idx="1">
                  <c:v>6.2</c:v>
                </c:pt>
              </c:numLit>
            </c:minus>
          </c:errBars>
          <c:cat>
            <c:strRef>
              <c:f>Sheet1!$C$1:$D$1</c:f>
              <c:strCache>
                <c:ptCount val="2"/>
                <c:pt idx="0">
                  <c:v>Initial Blood Glucose (mg/dL)</c:v>
                </c:pt>
                <c:pt idx="1">
                  <c:v>Final Blood Glucose (mg/dL)</c:v>
                </c:pt>
              </c:strCache>
            </c:strRef>
          </c:cat>
          <c:val>
            <c:numRef>
              <c:f>Sheet1!$C$4:$D$4</c:f>
              <c:numCache>
                <c:formatCode>General</c:formatCode>
                <c:ptCount val="2"/>
                <c:pt idx="0">
                  <c:v>240.1</c:v>
                </c:pt>
                <c:pt idx="1">
                  <c:v>140.30000000000001</c:v>
                </c:pt>
              </c:numCache>
            </c:numRef>
          </c:val>
        </c:ser>
        <c:ser>
          <c:idx val="3"/>
          <c:order val="3"/>
          <c:tx>
            <c:strRef>
              <c:f>Sheet1!$A$10</c:f>
              <c:strCache>
                <c:ptCount val="1"/>
                <c:pt idx="0">
                  <c:v>Vernonia amygdalina (200 mg/kg)</c:v>
                </c:pt>
              </c:strCache>
            </c:strRef>
          </c:tx>
          <c:dLbls>
            <c:dLbl>
              <c:idx val="0"/>
              <c:layout>
                <c:manualLayout>
                  <c:x val="0"/>
                  <c:y val="-1.2432012432012437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a</a:t>
                    </a:r>
                  </a:p>
                </c:rich>
              </c:tx>
              <c:dLblPos val="outEnd"/>
              <c:showVal val="1"/>
            </c:dLbl>
            <c:dLbl>
              <c:idx val="1"/>
              <c:tx>
                <c:rich>
                  <a:bodyPr/>
                  <a:lstStyle/>
                  <a:p>
                    <a:r>
                      <a:rPr lang="en-US"/>
                      <a:t>b</a:t>
                    </a:r>
                  </a:p>
                </c:rich>
              </c:tx>
              <c:dLblPos val="outEnd"/>
              <c:showVal val="1"/>
            </c:dLbl>
            <c:dLblPos val="outEnd"/>
            <c:showVal val="1"/>
            <c:extLst>
              <c:ext xmlns:c15="http://schemas.microsoft.com/office/drawing/2012/chart" uri="{CE6537A1-D6FC-4f65-9D91-7224C49458BB}">
                <c15:layout/>
                <c15:showLeaderLines val="0"/>
              </c:ext>
            </c:extLst>
          </c:dLbls>
          <c:errBars>
            <c:errBarType val="both"/>
            <c:errValType val="cust"/>
            <c:plus>
              <c:numLit>
                <c:formatCode>General</c:formatCode>
                <c:ptCount val="2"/>
                <c:pt idx="0">
                  <c:v>10.5</c:v>
                </c:pt>
                <c:pt idx="1">
                  <c:v>7.3</c:v>
                </c:pt>
              </c:numLit>
            </c:plus>
            <c:minus>
              <c:numLit>
                <c:formatCode>General</c:formatCode>
                <c:ptCount val="2"/>
                <c:pt idx="0">
                  <c:v>10.5</c:v>
                </c:pt>
                <c:pt idx="1">
                  <c:v>7.3</c:v>
                </c:pt>
              </c:numLit>
            </c:minus>
          </c:errBars>
          <c:cat>
            <c:strRef>
              <c:f>Sheet1!$C$1:$D$1</c:f>
              <c:strCache>
                <c:ptCount val="2"/>
                <c:pt idx="0">
                  <c:v>Initial Blood Glucose (mg/dL)</c:v>
                </c:pt>
                <c:pt idx="1">
                  <c:v>Final Blood Glucose (mg/dL)</c:v>
                </c:pt>
              </c:strCache>
            </c:strRef>
          </c:cat>
          <c:val>
            <c:numRef>
              <c:f>Sheet1!$C$5:$D$5</c:f>
              <c:numCache>
                <c:formatCode>General</c:formatCode>
                <c:ptCount val="2"/>
                <c:pt idx="0">
                  <c:v>242.5</c:v>
                </c:pt>
                <c:pt idx="1">
                  <c:v>170.2</c:v>
                </c:pt>
              </c:numCache>
            </c:numRef>
          </c:val>
        </c:ser>
        <c:ser>
          <c:idx val="4"/>
          <c:order val="4"/>
          <c:tx>
            <c:strRef>
              <c:f>Sheet1!$A$11</c:f>
              <c:strCache>
                <c:ptCount val="1"/>
                <c:pt idx="0">
                  <c:v>Vernonia amygdalina (400 mg/kg)</c:v>
                </c:pt>
              </c:strCache>
            </c:strRef>
          </c:tx>
          <c:dLbls>
            <c:dLbl>
              <c:idx val="0"/>
              <c:layout>
                <c:manualLayout>
                  <c:x val="0"/>
                  <c:y val="-9.3240093240093691E-3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a</a:t>
                    </a:r>
                  </a:p>
                </c:rich>
              </c:tx>
              <c:dLblPos val="outEnd"/>
              <c:showVal val="1"/>
            </c:dLbl>
            <c:dLbl>
              <c:idx val="1"/>
              <c:tx>
                <c:rich>
                  <a:bodyPr/>
                  <a:lstStyle/>
                  <a:p>
                    <a:r>
                      <a:rPr lang="en-US"/>
                      <a:t>c</a:t>
                    </a:r>
                  </a:p>
                </c:rich>
              </c:tx>
              <c:dLblPos val="outEnd"/>
              <c:showVal val="1"/>
            </c:dLbl>
            <c:delete val="1"/>
            <c:extLst>
              <c:ext xmlns:c15="http://schemas.microsoft.com/office/drawing/2012/chart" uri="{CE6537A1-D6FC-4f65-9D91-7224C49458BB}">
                <c15:layout/>
                <c15:showLeaderLines val="0"/>
              </c:ext>
            </c:extLst>
          </c:dLbls>
          <c:errBars>
            <c:errBarType val="both"/>
            <c:errValType val="cust"/>
            <c:plus>
              <c:numLit>
                <c:formatCode>General</c:formatCode>
                <c:ptCount val="2"/>
                <c:pt idx="0">
                  <c:v>9.2000000000000011</c:v>
                </c:pt>
                <c:pt idx="1">
                  <c:v>5.5</c:v>
                </c:pt>
              </c:numLit>
            </c:plus>
            <c:minus>
              <c:numLit>
                <c:formatCode>General</c:formatCode>
                <c:ptCount val="2"/>
                <c:pt idx="0">
                  <c:v>9.2000000000000011</c:v>
                </c:pt>
                <c:pt idx="1">
                  <c:v>5.5</c:v>
                </c:pt>
              </c:numLit>
            </c:minus>
          </c:errBars>
          <c:cat>
            <c:strRef>
              <c:f>Sheet1!$C$1:$D$1</c:f>
              <c:strCache>
                <c:ptCount val="2"/>
                <c:pt idx="0">
                  <c:v>Initial Blood Glucose (mg/dL)</c:v>
                </c:pt>
                <c:pt idx="1">
                  <c:v>Final Blood Glucose (mg/dL)</c:v>
                </c:pt>
              </c:strCache>
            </c:strRef>
          </c:cat>
          <c:val>
            <c:numRef>
              <c:f>Sheet1!$C$6:$D$6</c:f>
              <c:numCache>
                <c:formatCode>General</c:formatCode>
                <c:ptCount val="2"/>
                <c:pt idx="0">
                  <c:v>239.2</c:v>
                </c:pt>
                <c:pt idx="1">
                  <c:v>120.5</c:v>
                </c:pt>
              </c:numCache>
            </c:numRef>
          </c:val>
        </c:ser>
        <c:axId val="224380032"/>
        <c:axId val="224514048"/>
      </c:barChart>
      <c:catAx>
        <c:axId val="224380032"/>
        <c:scaling>
          <c:orientation val="minMax"/>
        </c:scaling>
        <c:axPos val="b"/>
        <c:tickLblPos val="nextTo"/>
        <c:crossAx val="224514048"/>
        <c:crosses val="autoZero"/>
        <c:auto val="1"/>
        <c:lblAlgn val="ctr"/>
        <c:lblOffset val="100"/>
      </c:catAx>
      <c:valAx>
        <c:axId val="224514048"/>
        <c:scaling>
          <c:orientation val="minMax"/>
        </c:scaling>
        <c:axPos val="l"/>
        <c:title>
          <c:tx>
            <c:rich>
              <a:bodyPr rot="-5400000" vert="horz"/>
              <a:lstStyle/>
              <a:p>
                <a:pPr>
                  <a:defRPr/>
                </a:pPr>
                <a:r>
                  <a:rPr lang="en-US"/>
                  <a:t>Hypoglycemic effect mg/dL</a:t>
                </a:r>
              </a:p>
            </c:rich>
          </c:tx>
        </c:title>
        <c:numFmt formatCode="General" sourceLinked="1"/>
        <c:tickLblPos val="nextTo"/>
        <c:crossAx val="224380032"/>
        <c:crosses val="autoZero"/>
        <c:crossBetween val="between"/>
      </c:valAx>
    </c:plotArea>
    <c:legend>
      <c:legendPos val="r"/>
      <c:layout>
        <c:manualLayout>
          <c:xMode val="edge"/>
          <c:yMode val="edge"/>
          <c:x val="0.72785213511790947"/>
          <c:y val="0.15984111611717042"/>
          <c:w val="0.25685149776928046"/>
          <c:h val="0.67318764298847888"/>
        </c:manualLayout>
      </c:layout>
    </c:legend>
    <c:plotVisOnly val="1"/>
    <c:dispBlanksAs val="gap"/>
  </c:chart>
  <c:spPr>
    <a:ln>
      <a:noFill/>
    </a:ln>
  </c:spPr>
  <c:externalData r:id="rId1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en-US"/>
  <c:style val="26"/>
  <c:chart>
    <c:autoTitleDeleted val="1"/>
    <c:plotArea>
      <c:layout>
        <c:manualLayout>
          <c:layoutTarget val="inner"/>
          <c:xMode val="edge"/>
          <c:yMode val="edge"/>
          <c:x val="0.2045856570213434"/>
          <c:y val="6.7740483696280107E-2"/>
          <c:w val="0.56886428739465567"/>
          <c:h val="0.68753478656136746"/>
        </c:manualLayout>
      </c:layout>
      <c:barChart>
        <c:barDir val="col"/>
        <c:grouping val="clustered"/>
        <c:ser>
          <c:idx val="0"/>
          <c:order val="0"/>
          <c:tx>
            <c:strRef>
              <c:f>Sheet1!$B$6</c:f>
              <c:strCache>
                <c:ptCount val="1"/>
                <c:pt idx="0">
                  <c:v>% Reduction</c:v>
                </c:pt>
              </c:strCache>
            </c:strRef>
          </c:tx>
          <c:cat>
            <c:strRef>
              <c:f>Sheet1!$A$7:$A$11</c:f>
              <c:strCache>
                <c:ptCount val="5"/>
                <c:pt idx="0">
                  <c:v>Normal Control (1 mL)</c:v>
                </c:pt>
                <c:pt idx="1">
                  <c:v>Diabetic Control (150 mg/kg)</c:v>
                </c:pt>
                <c:pt idx="2">
                  <c:v>Metformin (100 mg/kg)</c:v>
                </c:pt>
                <c:pt idx="3">
                  <c:v>Vernonia amygdalina (200 mg/kg)</c:v>
                </c:pt>
                <c:pt idx="4">
                  <c:v>Vernonia amygdalina (400 mg/kg)</c:v>
                </c:pt>
              </c:strCache>
            </c:strRef>
          </c:cat>
          <c:val>
            <c:numRef>
              <c:f>Sheet1!$B$7:$B$11</c:f>
              <c:numCache>
                <c:formatCode>General</c:formatCode>
                <c:ptCount val="5"/>
                <c:pt idx="0">
                  <c:v>0</c:v>
                </c:pt>
                <c:pt idx="1">
                  <c:v>0</c:v>
                </c:pt>
                <c:pt idx="2" formatCode="0.00%">
                  <c:v>0.41500000000000031</c:v>
                </c:pt>
                <c:pt idx="3" formatCode="0.00%">
                  <c:v>0.29800000000000032</c:v>
                </c:pt>
                <c:pt idx="4" formatCode="0.00%">
                  <c:v>0.49600000000000033</c:v>
                </c:pt>
              </c:numCache>
            </c:numRef>
          </c:val>
        </c:ser>
        <c:axId val="231176448"/>
        <c:axId val="231203200"/>
      </c:barChart>
      <c:catAx>
        <c:axId val="231176448"/>
        <c:scaling>
          <c:orientation val="minMax"/>
        </c:scaling>
        <c:axPos val="b"/>
        <c:tickLblPos val="nextTo"/>
        <c:crossAx val="231203200"/>
        <c:crosses val="autoZero"/>
        <c:auto val="1"/>
        <c:lblAlgn val="ctr"/>
        <c:lblOffset val="100"/>
      </c:catAx>
      <c:valAx>
        <c:axId val="231203200"/>
        <c:scaling>
          <c:orientation val="minMax"/>
        </c:scaling>
        <c:axPos val="l"/>
        <c:title>
          <c:tx>
            <c:rich>
              <a:bodyPr rot="-5400000" vert="horz"/>
              <a:lstStyle/>
              <a:p>
                <a:pPr>
                  <a:defRPr/>
                </a:pPr>
                <a:r>
                  <a:rPr lang="en-US"/>
                  <a:t>Percentage Reduction</a:t>
                </a:r>
              </a:p>
            </c:rich>
          </c:tx>
        </c:title>
        <c:numFmt formatCode="General" sourceLinked="1"/>
        <c:tickLblPos val="nextTo"/>
        <c:crossAx val="231176448"/>
        <c:crosses val="autoZero"/>
        <c:crossBetween val="between"/>
      </c:valAx>
    </c:plotArea>
    <c:legend>
      <c:legendPos val="r"/>
    </c:legend>
    <c:plotVisOnly val="1"/>
    <c:dispBlanksAs val="gap"/>
  </c:chart>
  <c:spPr>
    <a:ln>
      <a:noFill/>
    </a:ln>
  </c:spPr>
  <c:externalData r:id="rId1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en-US"/>
  <c:style val="26"/>
  <c:chart>
    <c:plotArea>
      <c:layout>
        <c:manualLayout>
          <c:layoutTarget val="inner"/>
          <c:xMode val="edge"/>
          <c:yMode val="edge"/>
          <c:x val="0.16903071326610489"/>
          <c:y val="4.5658281478860085E-2"/>
          <c:w val="0.61613833342774604"/>
          <c:h val="0.74233462985801468"/>
        </c:manualLayout>
      </c:layout>
      <c:barChart>
        <c:barDir val="col"/>
        <c:grouping val="clustered"/>
        <c:ser>
          <c:idx val="0"/>
          <c:order val="0"/>
          <c:tx>
            <c:strRef>
              <c:f>Sheet2!$A$2</c:f>
              <c:strCache>
                <c:ptCount val="1"/>
                <c:pt idx="0">
                  <c:v>Normal Control</c:v>
                </c:pt>
              </c:strCache>
            </c:strRef>
          </c:tx>
          <c:dLbls>
            <c:dLbl>
              <c:idx val="4"/>
              <c:layout>
                <c:manualLayout>
                  <c:x val="8.5768989696135385E-17"/>
                  <c:y val="-2.2471910112359692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c</a:t>
                    </a:r>
                  </a:p>
                </c:rich>
              </c:tx>
              <c:dLblPos val="outEnd"/>
              <c:showVal val="1"/>
            </c:dLbl>
            <c:delete val="1"/>
            <c:extLst>
              <c:ext xmlns:c15="http://schemas.microsoft.com/office/drawing/2012/chart" uri="{CE6537A1-D6FC-4f65-9D91-7224C49458BB}">
                <c15:layout/>
                <c15:showLeaderLines val="0"/>
              </c:ext>
            </c:extLst>
          </c:dLbls>
          <c:errBars>
            <c:errBarType val="both"/>
            <c:errValType val="cust"/>
            <c:plus>
              <c:numLit>
                <c:formatCode>General</c:formatCode>
                <c:ptCount val="5"/>
                <c:pt idx="0">
                  <c:v>3.5</c:v>
                </c:pt>
                <c:pt idx="1">
                  <c:v>6.2</c:v>
                </c:pt>
                <c:pt idx="2">
                  <c:v>4.5</c:v>
                </c:pt>
                <c:pt idx="3">
                  <c:v>5.2</c:v>
                </c:pt>
                <c:pt idx="4">
                  <c:v>4.0999999999999996</c:v>
                </c:pt>
              </c:numLit>
            </c:plus>
            <c:minus>
              <c:numLit>
                <c:formatCode>General</c:formatCode>
                <c:ptCount val="5"/>
                <c:pt idx="0">
                  <c:v>3.5</c:v>
                </c:pt>
                <c:pt idx="1">
                  <c:v>6.2</c:v>
                </c:pt>
                <c:pt idx="2">
                  <c:v>4.5</c:v>
                </c:pt>
                <c:pt idx="3">
                  <c:v>5.2</c:v>
                </c:pt>
                <c:pt idx="4">
                  <c:v>4.0999999999999996</c:v>
                </c:pt>
              </c:numLit>
            </c:minus>
          </c:errBars>
          <c:cat>
            <c:strRef>
              <c:f>Sheet2!$B$1:$E$1</c:f>
              <c:strCache>
                <c:ptCount val="4"/>
                <c:pt idx="0">
                  <c:v>Total Cholesterol (mg/dL)</c:v>
                </c:pt>
                <c:pt idx="1">
                  <c:v>Triglycerides (mg/dL)</c:v>
                </c:pt>
                <c:pt idx="2">
                  <c:v>HDL-Cholesterol (mg/dL)</c:v>
                </c:pt>
                <c:pt idx="3">
                  <c:v>LDL-Cholesterol (mg/dL)</c:v>
                </c:pt>
              </c:strCache>
            </c:strRef>
          </c:cat>
          <c:val>
            <c:numRef>
              <c:f>Sheet2!$B$2:$E$2</c:f>
              <c:numCache>
                <c:formatCode>General</c:formatCode>
                <c:ptCount val="4"/>
                <c:pt idx="0">
                  <c:v>70.2</c:v>
                </c:pt>
                <c:pt idx="1">
                  <c:v>60.5</c:v>
                </c:pt>
                <c:pt idx="2">
                  <c:v>35.200000000000003</c:v>
                </c:pt>
                <c:pt idx="3">
                  <c:v>25.1</c:v>
                </c:pt>
              </c:numCache>
            </c:numRef>
          </c:val>
        </c:ser>
        <c:ser>
          <c:idx val="1"/>
          <c:order val="1"/>
          <c:tx>
            <c:strRef>
              <c:f>Sheet2!$A$3</c:f>
              <c:strCache>
                <c:ptCount val="1"/>
                <c:pt idx="0">
                  <c:v>Diabetic Control</c:v>
                </c:pt>
              </c:strCache>
            </c:strRef>
          </c:tx>
          <c:dLbls>
            <c:dLbl>
              <c:idx val="0"/>
              <c:delete val="1"/>
            </c:dLbl>
            <c:dLbl>
              <c:idx val="1"/>
              <c:delete val="1"/>
            </c:dLbl>
            <c:dLbl>
              <c:idx val="2"/>
              <c:delete val="1"/>
            </c:dLbl>
            <c:dLbl>
              <c:idx val="3"/>
              <c:delete val="1"/>
            </c:dLbl>
            <c:dLbl>
              <c:idx val="4"/>
              <c:layout>
                <c:manualLayout>
                  <c:x val="-8.5768989696135385E-17"/>
                  <c:y val="-1.4981273408239702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c</a:t>
                    </a:r>
                  </a:p>
                </c:rich>
              </c:tx>
              <c:dLblPos val="outEnd"/>
              <c:showVal val="1"/>
            </c:dLbl>
            <c:dLblPos val="outEnd"/>
            <c:showVal val="1"/>
            <c:extLst>
              <c:ext xmlns:c15="http://schemas.microsoft.com/office/drawing/2012/chart" uri="{CE6537A1-D6FC-4f65-9D91-7224C49458BB}">
                <c15:layout/>
                <c15:showLeaderLines val="0"/>
              </c:ext>
            </c:extLst>
          </c:dLbls>
          <c:errBars>
            <c:errBarType val="both"/>
            <c:errValType val="cust"/>
            <c:plus>
              <c:numLit>
                <c:formatCode>General</c:formatCode>
                <c:ptCount val="5"/>
                <c:pt idx="0">
                  <c:v>2.9</c:v>
                </c:pt>
                <c:pt idx="1">
                  <c:v>5.0999999999999996</c:v>
                </c:pt>
                <c:pt idx="2">
                  <c:v>3.5</c:v>
                </c:pt>
                <c:pt idx="3">
                  <c:v>4.0999999999999996</c:v>
                </c:pt>
                <c:pt idx="4">
                  <c:v>3.2</c:v>
                </c:pt>
              </c:numLit>
            </c:plus>
            <c:minus>
              <c:numLit>
                <c:formatCode>General</c:formatCode>
                <c:ptCount val="5"/>
                <c:pt idx="0">
                  <c:v>2.9</c:v>
                </c:pt>
                <c:pt idx="1">
                  <c:v>5.0999999999999996</c:v>
                </c:pt>
                <c:pt idx="2">
                  <c:v>3.5</c:v>
                </c:pt>
                <c:pt idx="3">
                  <c:v>4.0999999999999996</c:v>
                </c:pt>
                <c:pt idx="4">
                  <c:v>3.2</c:v>
                </c:pt>
              </c:numLit>
            </c:minus>
          </c:errBars>
          <c:cat>
            <c:strRef>
              <c:f>Sheet2!$B$1:$E$1</c:f>
              <c:strCache>
                <c:ptCount val="4"/>
                <c:pt idx="0">
                  <c:v>Total Cholesterol (mg/dL)</c:v>
                </c:pt>
                <c:pt idx="1">
                  <c:v>Triglycerides (mg/dL)</c:v>
                </c:pt>
                <c:pt idx="2">
                  <c:v>HDL-Cholesterol (mg/dL)</c:v>
                </c:pt>
                <c:pt idx="3">
                  <c:v>LDL-Cholesterol (mg/dL)</c:v>
                </c:pt>
              </c:strCache>
            </c:strRef>
          </c:cat>
          <c:val>
            <c:numRef>
              <c:f>Sheet2!$B$3:$E$3</c:f>
              <c:numCache>
                <c:formatCode>General</c:formatCode>
                <c:ptCount val="4"/>
                <c:pt idx="0">
                  <c:v>120.5</c:v>
                </c:pt>
                <c:pt idx="1">
                  <c:v>100.2</c:v>
                </c:pt>
                <c:pt idx="2">
                  <c:v>20.5</c:v>
                </c:pt>
                <c:pt idx="3">
                  <c:v>50.2</c:v>
                </c:pt>
              </c:numCache>
            </c:numRef>
          </c:val>
        </c:ser>
        <c:ser>
          <c:idx val="2"/>
          <c:order val="2"/>
          <c:tx>
            <c:strRef>
              <c:f>Sheet2!$A$4</c:f>
              <c:strCache>
                <c:ptCount val="1"/>
                <c:pt idx="0">
                  <c:v>Metformin (100 mg/kg)</c:v>
                </c:pt>
              </c:strCache>
            </c:strRef>
          </c:tx>
          <c:dLbls>
            <c:dLbl>
              <c:idx val="0"/>
              <c:tx>
                <c:rich>
                  <a:bodyPr/>
                  <a:lstStyle/>
                  <a:p>
                    <a:r>
                      <a:rPr lang="en-US"/>
                      <a:t>a</a:t>
                    </a:r>
                  </a:p>
                </c:rich>
              </c:tx>
              <c:dLblPos val="outEnd"/>
              <c:showVal val="1"/>
            </c:dLbl>
            <c:dLbl>
              <c:idx val="1"/>
              <c:tx>
                <c:rich>
                  <a:bodyPr/>
                  <a:lstStyle/>
                  <a:p>
                    <a:r>
                      <a:rPr lang="en-US"/>
                      <a:t>a</a:t>
                    </a:r>
                  </a:p>
                </c:rich>
              </c:tx>
              <c:dLblPos val="outEnd"/>
              <c:showVal val="1"/>
            </c:dLbl>
            <c:dLbl>
              <c:idx val="2"/>
              <c:tx>
                <c:rich>
                  <a:bodyPr/>
                  <a:lstStyle/>
                  <a:p>
                    <a:r>
                      <a:rPr lang="en-US"/>
                      <a:t>a</a:t>
                    </a:r>
                  </a:p>
                </c:rich>
              </c:tx>
              <c:dLblPos val="outEnd"/>
              <c:showVal val="1"/>
            </c:dLbl>
            <c:dLbl>
              <c:idx val="3"/>
              <c:tx>
                <c:rich>
                  <a:bodyPr/>
                  <a:lstStyle/>
                  <a:p>
                    <a:r>
                      <a:rPr lang="en-US"/>
                      <a:t>a</a:t>
                    </a:r>
                  </a:p>
                </c:rich>
              </c:tx>
              <c:dLblPos val="outEnd"/>
              <c:showVal val="1"/>
            </c:dLbl>
            <c:dLbl>
              <c:idx val="4"/>
              <c:tx>
                <c:rich>
                  <a:bodyPr/>
                  <a:lstStyle/>
                  <a:p>
                    <a:r>
                      <a:rPr lang="en-US"/>
                      <a:t>c</a:t>
                    </a:r>
                  </a:p>
                </c:rich>
              </c:tx>
              <c:dLblPos val="outEnd"/>
              <c:showVal val="1"/>
            </c:dLbl>
            <c:delete val="1"/>
            <c:extLst>
              <c:ext xmlns:c15="http://schemas.microsoft.com/office/drawing/2012/chart" uri="{CE6537A1-D6FC-4f65-9D91-7224C49458BB}">
                <c15:layout/>
                <c15:showLeaderLines val="0"/>
              </c:ext>
            </c:extLst>
          </c:dLbls>
          <c:errBars>
            <c:errBarType val="both"/>
            <c:errValType val="cust"/>
            <c:plus>
              <c:numLit>
                <c:formatCode>General</c:formatCode>
                <c:ptCount val="5"/>
                <c:pt idx="0">
                  <c:v>1.8</c:v>
                </c:pt>
                <c:pt idx="1">
                  <c:v>1.2</c:v>
                </c:pt>
                <c:pt idx="2">
                  <c:v>1.6</c:v>
                </c:pt>
                <c:pt idx="3">
                  <c:v>1.4</c:v>
                </c:pt>
                <c:pt idx="4">
                  <c:v>1.9000000000000001</c:v>
                </c:pt>
              </c:numLit>
            </c:plus>
            <c:minus>
              <c:numLit>
                <c:formatCode>General</c:formatCode>
                <c:ptCount val="5"/>
                <c:pt idx="0">
                  <c:v>1.8</c:v>
                </c:pt>
                <c:pt idx="1">
                  <c:v>1.2</c:v>
                </c:pt>
                <c:pt idx="2">
                  <c:v>1.6</c:v>
                </c:pt>
                <c:pt idx="3">
                  <c:v>1.4</c:v>
                </c:pt>
                <c:pt idx="4">
                  <c:v>1.9000000000000001</c:v>
                </c:pt>
              </c:numLit>
            </c:minus>
          </c:errBars>
          <c:cat>
            <c:strRef>
              <c:f>Sheet2!$B$1:$E$1</c:f>
              <c:strCache>
                <c:ptCount val="4"/>
                <c:pt idx="0">
                  <c:v>Total Cholesterol (mg/dL)</c:v>
                </c:pt>
                <c:pt idx="1">
                  <c:v>Triglycerides (mg/dL)</c:v>
                </c:pt>
                <c:pt idx="2">
                  <c:v>HDL-Cholesterol (mg/dL)</c:v>
                </c:pt>
                <c:pt idx="3">
                  <c:v>LDL-Cholesterol (mg/dL)</c:v>
                </c:pt>
              </c:strCache>
            </c:strRef>
          </c:cat>
          <c:val>
            <c:numRef>
              <c:f>Sheet2!$B$4:$E$4</c:f>
              <c:numCache>
                <c:formatCode>General</c:formatCode>
                <c:ptCount val="4"/>
                <c:pt idx="0">
                  <c:v>90.2</c:v>
                </c:pt>
                <c:pt idx="1">
                  <c:v>70.099999999999994</c:v>
                </c:pt>
                <c:pt idx="2">
                  <c:v>30.2</c:v>
                </c:pt>
                <c:pt idx="3">
                  <c:v>30.1</c:v>
                </c:pt>
              </c:numCache>
            </c:numRef>
          </c:val>
        </c:ser>
        <c:ser>
          <c:idx val="3"/>
          <c:order val="3"/>
          <c:tx>
            <c:strRef>
              <c:f>Sheet2!$A$5</c:f>
              <c:strCache>
                <c:ptCount val="1"/>
                <c:pt idx="0">
                  <c:v>Vernonia amygdalina (200 mg/kg)</c:v>
                </c:pt>
              </c:strCache>
            </c:strRef>
          </c:tx>
          <c:dLbls>
            <c:dLbl>
              <c:idx val="0"/>
              <c:tx>
                <c:rich>
                  <a:bodyPr/>
                  <a:lstStyle/>
                  <a:p>
                    <a:r>
                      <a:rPr lang="en-US"/>
                      <a:t>b</a:t>
                    </a:r>
                  </a:p>
                </c:rich>
              </c:tx>
              <c:dLblPos val="outEnd"/>
              <c:showVal val="1"/>
            </c:dLbl>
            <c:dLbl>
              <c:idx val="1"/>
              <c:tx>
                <c:rich>
                  <a:bodyPr/>
                  <a:lstStyle/>
                  <a:p>
                    <a:r>
                      <a:rPr lang="en-US"/>
                      <a:t>b</a:t>
                    </a:r>
                  </a:p>
                </c:rich>
              </c:tx>
              <c:dLblPos val="outEnd"/>
              <c:showVal val="1"/>
            </c:dLbl>
            <c:dLbl>
              <c:idx val="2"/>
              <c:tx>
                <c:rich>
                  <a:bodyPr/>
                  <a:lstStyle/>
                  <a:p>
                    <a:r>
                      <a:rPr lang="en-US"/>
                      <a:t>b</a:t>
                    </a:r>
                  </a:p>
                </c:rich>
              </c:tx>
              <c:dLblPos val="outEnd"/>
              <c:showVal val="1"/>
            </c:dLbl>
            <c:dLbl>
              <c:idx val="3"/>
              <c:tx>
                <c:rich>
                  <a:bodyPr/>
                  <a:lstStyle/>
                  <a:p>
                    <a:r>
                      <a:rPr lang="en-US"/>
                      <a:t>b</a:t>
                    </a:r>
                  </a:p>
                </c:rich>
              </c:tx>
              <c:dLblPos val="outEnd"/>
              <c:showVal val="1"/>
            </c:dLbl>
            <c:dLbl>
              <c:idx val="4"/>
              <c:tx>
                <c:rich>
                  <a:bodyPr/>
                  <a:lstStyle/>
                  <a:p>
                    <a:r>
                      <a:rPr lang="en-US"/>
                      <a:t>c</a:t>
                    </a:r>
                  </a:p>
                </c:rich>
              </c:tx>
              <c:dLblPos val="outEnd"/>
              <c:showVal val="1"/>
            </c:dLbl>
            <c:delete val="1"/>
            <c:extLst>
              <c:ext xmlns:c15="http://schemas.microsoft.com/office/drawing/2012/chart" uri="{CE6537A1-D6FC-4f65-9D91-7224C49458BB}">
                <c15:layout/>
                <c15:showLeaderLines val="0"/>
              </c:ext>
            </c:extLst>
          </c:dLbls>
          <c:errBars>
            <c:errBarType val="both"/>
            <c:errValType val="cust"/>
            <c:plus>
              <c:numLit>
                <c:formatCode>General</c:formatCode>
                <c:ptCount val="5"/>
                <c:pt idx="0">
                  <c:v>1.3</c:v>
                </c:pt>
                <c:pt idx="1">
                  <c:v>2.6</c:v>
                </c:pt>
                <c:pt idx="2">
                  <c:v>1.6</c:v>
                </c:pt>
                <c:pt idx="3">
                  <c:v>2.2000000000000002</c:v>
                </c:pt>
                <c:pt idx="4">
                  <c:v>1.4</c:v>
                </c:pt>
              </c:numLit>
            </c:plus>
            <c:minus>
              <c:numLit>
                <c:formatCode>General</c:formatCode>
                <c:ptCount val="5"/>
                <c:pt idx="0">
                  <c:v>1.3</c:v>
                </c:pt>
                <c:pt idx="1">
                  <c:v>2.6</c:v>
                </c:pt>
                <c:pt idx="2">
                  <c:v>1.6</c:v>
                </c:pt>
                <c:pt idx="3">
                  <c:v>2.2000000000000002</c:v>
                </c:pt>
                <c:pt idx="4">
                  <c:v>1.4</c:v>
                </c:pt>
              </c:numLit>
            </c:minus>
          </c:errBars>
          <c:cat>
            <c:strRef>
              <c:f>Sheet2!$B$1:$E$1</c:f>
              <c:strCache>
                <c:ptCount val="4"/>
                <c:pt idx="0">
                  <c:v>Total Cholesterol (mg/dL)</c:v>
                </c:pt>
                <c:pt idx="1">
                  <c:v>Triglycerides (mg/dL)</c:v>
                </c:pt>
                <c:pt idx="2">
                  <c:v>HDL-Cholesterol (mg/dL)</c:v>
                </c:pt>
                <c:pt idx="3">
                  <c:v>LDL-Cholesterol (mg/dL)</c:v>
                </c:pt>
              </c:strCache>
            </c:strRef>
          </c:cat>
          <c:val>
            <c:numRef>
              <c:f>Sheet2!$B$5:$E$5</c:f>
              <c:numCache>
                <c:formatCode>General</c:formatCode>
                <c:ptCount val="4"/>
                <c:pt idx="0">
                  <c:v>100.5</c:v>
                </c:pt>
                <c:pt idx="1">
                  <c:v>80.2</c:v>
                </c:pt>
                <c:pt idx="2">
                  <c:v>25.1</c:v>
                </c:pt>
                <c:pt idx="3">
                  <c:v>40.200000000000003</c:v>
                </c:pt>
              </c:numCache>
            </c:numRef>
          </c:val>
        </c:ser>
        <c:ser>
          <c:idx val="4"/>
          <c:order val="4"/>
          <c:tx>
            <c:strRef>
              <c:f>Sheet2!$A$6</c:f>
              <c:strCache>
                <c:ptCount val="1"/>
                <c:pt idx="0">
                  <c:v>Vernonia amygdalina (400 mg/kg)</c:v>
                </c:pt>
              </c:strCache>
            </c:strRef>
          </c:tx>
          <c:dLbls>
            <c:dLbl>
              <c:idx val="0"/>
              <c:layout>
                <c:manualLayout>
                  <c:x val="2.3391812865497102E-3"/>
                  <c:y val="-2.2471910112359692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c</a:t>
                    </a:r>
                  </a:p>
                </c:rich>
              </c:tx>
              <c:dLblPos val="outEnd"/>
              <c:showVal val="1"/>
            </c:dLbl>
            <c:dLbl>
              <c:idx val="1"/>
              <c:layout>
                <c:manualLayout>
                  <c:x val="2.3391812865497102E-3"/>
                  <c:y val="-1.7478152309612985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c</a:t>
                    </a:r>
                  </a:p>
                </c:rich>
              </c:tx>
              <c:dLblPos val="outEnd"/>
              <c:showVal val="1"/>
            </c:dLbl>
            <c:dLbl>
              <c:idx val="2"/>
              <c:tx>
                <c:rich>
                  <a:bodyPr/>
                  <a:lstStyle/>
                  <a:p>
                    <a:r>
                      <a:rPr lang="en-US"/>
                      <a:t>c</a:t>
                    </a:r>
                  </a:p>
                </c:rich>
              </c:tx>
              <c:dLblPos val="outEnd"/>
              <c:showVal val="1"/>
            </c:dLbl>
            <c:dLbl>
              <c:idx val="3"/>
              <c:tx>
                <c:rich>
                  <a:bodyPr/>
                  <a:lstStyle/>
                  <a:p>
                    <a:r>
                      <a:rPr lang="en-US"/>
                      <a:t>c</a:t>
                    </a:r>
                  </a:p>
                </c:rich>
              </c:tx>
              <c:dLblPos val="outEnd"/>
              <c:showVal val="1"/>
            </c:dLbl>
            <c:dLblPos val="outEnd"/>
            <c:showVal val="1"/>
            <c:extLst>
              <c:ext xmlns:c15="http://schemas.microsoft.com/office/drawing/2012/chart" uri="{CE6537A1-D6FC-4f65-9D91-7224C49458BB}">
                <c15:layout/>
                <c15:showLeaderLines val="0"/>
              </c:ext>
            </c:extLst>
          </c:dLbls>
          <c:errBars>
            <c:errBarType val="both"/>
            <c:errValType val="cust"/>
            <c:plus>
              <c:numLit>
                <c:formatCode>General</c:formatCode>
                <c:ptCount val="4"/>
                <c:pt idx="0">
                  <c:v>4.0999999999999996</c:v>
                </c:pt>
                <c:pt idx="1">
                  <c:v>3.2</c:v>
                </c:pt>
                <c:pt idx="2">
                  <c:v>1.9000000000000001</c:v>
                </c:pt>
                <c:pt idx="3">
                  <c:v>1.4</c:v>
                </c:pt>
              </c:numLit>
            </c:plus>
            <c:minus>
              <c:numLit>
                <c:formatCode>General</c:formatCode>
                <c:ptCount val="4"/>
                <c:pt idx="0">
                  <c:v>4.0999999999999996</c:v>
                </c:pt>
                <c:pt idx="1">
                  <c:v>3.2</c:v>
                </c:pt>
                <c:pt idx="2">
                  <c:v>1.9000000000000001</c:v>
                </c:pt>
                <c:pt idx="3">
                  <c:v>1.4</c:v>
                </c:pt>
              </c:numLit>
            </c:minus>
          </c:errBars>
          <c:cat>
            <c:strRef>
              <c:f>Sheet2!$B$1:$E$1</c:f>
              <c:strCache>
                <c:ptCount val="4"/>
                <c:pt idx="0">
                  <c:v>Total Cholesterol (mg/dL)</c:v>
                </c:pt>
                <c:pt idx="1">
                  <c:v>Triglycerides (mg/dL)</c:v>
                </c:pt>
                <c:pt idx="2">
                  <c:v>HDL-Cholesterol (mg/dL)</c:v>
                </c:pt>
                <c:pt idx="3">
                  <c:v>LDL-Cholesterol (mg/dL)</c:v>
                </c:pt>
              </c:strCache>
            </c:strRef>
          </c:cat>
          <c:val>
            <c:numRef>
              <c:f>Sheet2!$B$6:$E$6</c:f>
              <c:numCache>
                <c:formatCode>General</c:formatCode>
                <c:ptCount val="4"/>
                <c:pt idx="0">
                  <c:v>80.099999999999994</c:v>
                </c:pt>
                <c:pt idx="1">
                  <c:v>60.5</c:v>
                </c:pt>
                <c:pt idx="2">
                  <c:v>35.1</c:v>
                </c:pt>
                <c:pt idx="3">
                  <c:v>25.2</c:v>
                </c:pt>
              </c:numCache>
            </c:numRef>
          </c:val>
        </c:ser>
        <c:axId val="233469824"/>
        <c:axId val="233471360"/>
      </c:barChart>
      <c:catAx>
        <c:axId val="233469824"/>
        <c:scaling>
          <c:orientation val="minMax"/>
        </c:scaling>
        <c:axPos val="b"/>
        <c:tickLblPos val="nextTo"/>
        <c:crossAx val="233471360"/>
        <c:crosses val="autoZero"/>
        <c:auto val="1"/>
        <c:lblAlgn val="ctr"/>
        <c:lblOffset val="100"/>
      </c:catAx>
      <c:valAx>
        <c:axId val="233471360"/>
        <c:scaling>
          <c:orientation val="minMax"/>
        </c:scaling>
        <c:axPos val="l"/>
        <c:title>
          <c:tx>
            <c:rich>
              <a:bodyPr rot="-5400000" vert="horz"/>
              <a:lstStyle/>
              <a:p>
                <a:pPr>
                  <a:defRPr/>
                </a:pPr>
                <a:r>
                  <a:rPr lang="en-US"/>
                  <a:t>Lipid profile mg/dL</a:t>
                </a:r>
              </a:p>
            </c:rich>
          </c:tx>
        </c:title>
        <c:numFmt formatCode="General" sourceLinked="1"/>
        <c:tickLblPos val="nextTo"/>
        <c:crossAx val="233469824"/>
        <c:crosses val="autoZero"/>
        <c:crossBetween val="between"/>
      </c:valAx>
    </c:plotArea>
    <c:legend>
      <c:legendPos val="r"/>
      <c:layout>
        <c:manualLayout>
          <c:xMode val="edge"/>
          <c:yMode val="edge"/>
          <c:x val="0.78037293000245389"/>
          <c:y val="0.23601328147234676"/>
          <c:w val="0.20523858078891224"/>
          <c:h val="0.53761173829174969"/>
        </c:manualLayout>
      </c:layout>
    </c:legend>
    <c:plotVisOnly val="1"/>
    <c:dispBlanksAs val="gap"/>
  </c:chart>
  <c:spPr>
    <a:ln>
      <a:noFill/>
    </a:ln>
  </c:spPr>
  <c:externalData r:id="rId1"/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en-US"/>
  <c:style val="26"/>
  <c:chart>
    <c:plotArea>
      <c:layout>
        <c:manualLayout>
          <c:layoutTarget val="inner"/>
          <c:xMode val="edge"/>
          <c:yMode val="edge"/>
          <c:x val="0.16637165187419933"/>
          <c:y val="4.1234984902653184E-2"/>
          <c:w val="0.61203960792659429"/>
          <c:h val="0.83813041475665129"/>
        </c:manualLayout>
      </c:layout>
      <c:barChart>
        <c:barDir val="col"/>
        <c:grouping val="clustered"/>
        <c:ser>
          <c:idx val="0"/>
          <c:order val="0"/>
          <c:tx>
            <c:strRef>
              <c:f>Sheet3!$A$2</c:f>
              <c:strCache>
                <c:ptCount val="1"/>
                <c:pt idx="0">
                  <c:v>Normal Control</c:v>
                </c:pt>
              </c:strCache>
            </c:strRef>
          </c:tx>
          <c:errBars>
            <c:errBarType val="both"/>
            <c:errValType val="cust"/>
            <c:plus>
              <c:numLit>
                <c:formatCode>General</c:formatCode>
                <c:ptCount val="3"/>
                <c:pt idx="0">
                  <c:v>1.2</c:v>
                </c:pt>
                <c:pt idx="1">
                  <c:v>1.8</c:v>
                </c:pt>
                <c:pt idx="2">
                  <c:v>3.1</c:v>
                </c:pt>
              </c:numLit>
            </c:plus>
            <c:minus>
              <c:numLit>
                <c:formatCode>General</c:formatCode>
                <c:ptCount val="3"/>
                <c:pt idx="0">
                  <c:v>1.2</c:v>
                </c:pt>
                <c:pt idx="1">
                  <c:v>1.8</c:v>
                </c:pt>
                <c:pt idx="2">
                  <c:v>3.1</c:v>
                </c:pt>
              </c:numLit>
            </c:minus>
          </c:errBars>
          <c:cat>
            <c:strRef>
              <c:f>Sheet3!$B$1:$D$1</c:f>
              <c:strCache>
                <c:ptCount val="3"/>
                <c:pt idx="0">
                  <c:v>ALT (U/L)</c:v>
                </c:pt>
                <c:pt idx="1">
                  <c:v>AST (U/L)</c:v>
                </c:pt>
                <c:pt idx="2">
                  <c:v>ALP (U/L)</c:v>
                </c:pt>
              </c:strCache>
            </c:strRef>
          </c:cat>
          <c:val>
            <c:numRef>
              <c:f>Sheet3!$B$2:$D$2</c:f>
              <c:numCache>
                <c:formatCode>General</c:formatCode>
                <c:ptCount val="3"/>
                <c:pt idx="0">
                  <c:v>20.2</c:v>
                </c:pt>
                <c:pt idx="1">
                  <c:v>30.1</c:v>
                </c:pt>
                <c:pt idx="2">
                  <c:v>50.2</c:v>
                </c:pt>
              </c:numCache>
            </c:numRef>
          </c:val>
        </c:ser>
        <c:ser>
          <c:idx val="1"/>
          <c:order val="1"/>
          <c:tx>
            <c:strRef>
              <c:f>Sheet3!$A$3</c:f>
              <c:strCache>
                <c:ptCount val="1"/>
                <c:pt idx="0">
                  <c:v>Diabetic Control</c:v>
                </c:pt>
              </c:strCache>
            </c:strRef>
          </c:tx>
          <c:errBars>
            <c:errBarType val="both"/>
            <c:errValType val="cust"/>
            <c:plus>
              <c:numLit>
                <c:formatCode>General</c:formatCode>
                <c:ptCount val="3"/>
                <c:pt idx="0">
                  <c:v>2.6</c:v>
                </c:pt>
                <c:pt idx="1">
                  <c:v>3.8</c:v>
                </c:pt>
                <c:pt idx="2">
                  <c:v>6.3</c:v>
                </c:pt>
              </c:numLit>
            </c:plus>
            <c:minus>
              <c:numLit>
                <c:formatCode>General</c:formatCode>
                <c:ptCount val="3"/>
                <c:pt idx="0">
                  <c:v>2.6</c:v>
                </c:pt>
                <c:pt idx="1">
                  <c:v>3.8</c:v>
                </c:pt>
                <c:pt idx="2">
                  <c:v>6.3</c:v>
                </c:pt>
              </c:numLit>
            </c:minus>
          </c:errBars>
          <c:cat>
            <c:strRef>
              <c:f>Sheet3!$B$1:$D$1</c:f>
              <c:strCache>
                <c:ptCount val="3"/>
                <c:pt idx="0">
                  <c:v>ALT (U/L)</c:v>
                </c:pt>
                <c:pt idx="1">
                  <c:v>AST (U/L)</c:v>
                </c:pt>
                <c:pt idx="2">
                  <c:v>ALP (U/L)</c:v>
                </c:pt>
              </c:strCache>
            </c:strRef>
          </c:cat>
          <c:val>
            <c:numRef>
              <c:f>Sheet3!$B$3:$D$3</c:f>
              <c:numCache>
                <c:formatCode>General</c:formatCode>
                <c:ptCount val="3"/>
                <c:pt idx="0">
                  <c:v>40.5</c:v>
                </c:pt>
                <c:pt idx="1">
                  <c:v>60.2</c:v>
                </c:pt>
                <c:pt idx="2">
                  <c:v>100.5</c:v>
                </c:pt>
              </c:numCache>
            </c:numRef>
          </c:val>
        </c:ser>
        <c:ser>
          <c:idx val="2"/>
          <c:order val="2"/>
          <c:tx>
            <c:strRef>
              <c:f>Sheet3!$A$4</c:f>
              <c:strCache>
                <c:ptCount val="1"/>
                <c:pt idx="0">
                  <c:v>Metformin (100 mg/kg)</c:v>
                </c:pt>
              </c:strCache>
            </c:strRef>
          </c:tx>
          <c:dLbls>
            <c:dLbl>
              <c:idx val="0"/>
              <c:tx>
                <c:rich>
                  <a:bodyPr/>
                  <a:lstStyle/>
                  <a:p>
                    <a:r>
                      <a:rPr lang="en-US"/>
                      <a:t>a</a:t>
                    </a:r>
                  </a:p>
                </c:rich>
              </c:tx>
              <c:dLblPos val="outEnd"/>
              <c:showVal val="1"/>
            </c:dLbl>
            <c:dLbl>
              <c:idx val="1"/>
              <c:tx>
                <c:rich>
                  <a:bodyPr/>
                  <a:lstStyle/>
                  <a:p>
                    <a:r>
                      <a:rPr lang="en-US"/>
                      <a:t>a</a:t>
                    </a:r>
                  </a:p>
                </c:rich>
              </c:tx>
              <c:dLblPos val="outEnd"/>
              <c:showVal val="1"/>
            </c:dLbl>
            <c:dLbl>
              <c:idx val="2"/>
              <c:layout>
                <c:manualLayout>
                  <c:x val="0"/>
                  <c:y val="-2.3054755043227668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a</a:t>
                    </a:r>
                  </a:p>
                </c:rich>
              </c:tx>
              <c:dLblPos val="outEnd"/>
              <c:showVal val="1"/>
            </c:dLbl>
            <c:dLblPos val="outEnd"/>
            <c:showVal val="1"/>
            <c:extLst>
              <c:ext xmlns:c15="http://schemas.microsoft.com/office/drawing/2012/chart" uri="{CE6537A1-D6FC-4f65-9D91-7224C49458BB}">
                <c15:layout/>
                <c15:showLeaderLines val="0"/>
              </c:ext>
            </c:extLst>
          </c:dLbls>
          <c:errBars>
            <c:errBarType val="both"/>
            <c:errValType val="cust"/>
            <c:plus>
              <c:numLit>
                <c:formatCode>General</c:formatCode>
                <c:ptCount val="3"/>
                <c:pt idx="0">
                  <c:v>1.6</c:v>
                </c:pt>
                <c:pt idx="1">
                  <c:v>2.2000000000000002</c:v>
                </c:pt>
                <c:pt idx="2">
                  <c:v>3.9</c:v>
                </c:pt>
              </c:numLit>
            </c:plus>
            <c:minus>
              <c:numLit>
                <c:formatCode>General</c:formatCode>
                <c:ptCount val="3"/>
                <c:pt idx="0">
                  <c:v>1.6</c:v>
                </c:pt>
                <c:pt idx="1">
                  <c:v>2.2000000000000002</c:v>
                </c:pt>
                <c:pt idx="2">
                  <c:v>3.9</c:v>
                </c:pt>
              </c:numLit>
            </c:minus>
          </c:errBars>
          <c:cat>
            <c:strRef>
              <c:f>Sheet3!$B$1:$D$1</c:f>
              <c:strCache>
                <c:ptCount val="3"/>
                <c:pt idx="0">
                  <c:v>ALT (U/L)</c:v>
                </c:pt>
                <c:pt idx="1">
                  <c:v>AST (U/L)</c:v>
                </c:pt>
                <c:pt idx="2">
                  <c:v>ALP (U/L)</c:v>
                </c:pt>
              </c:strCache>
            </c:strRef>
          </c:cat>
          <c:val>
            <c:numRef>
              <c:f>Sheet3!$B$4:$D$4</c:f>
              <c:numCache>
                <c:formatCode>General</c:formatCode>
                <c:ptCount val="3"/>
                <c:pt idx="0">
                  <c:v>25.1</c:v>
                </c:pt>
                <c:pt idx="1">
                  <c:v>35.200000000000003</c:v>
                </c:pt>
                <c:pt idx="2">
                  <c:v>60.1</c:v>
                </c:pt>
              </c:numCache>
            </c:numRef>
          </c:val>
        </c:ser>
        <c:ser>
          <c:idx val="3"/>
          <c:order val="3"/>
          <c:tx>
            <c:strRef>
              <c:f>Sheet3!$A$5</c:f>
              <c:strCache>
                <c:ptCount val="1"/>
                <c:pt idx="0">
                  <c:v>Vernonia amygdalina (200 mg/kg)</c:v>
                </c:pt>
              </c:strCache>
            </c:strRef>
          </c:tx>
          <c:dLbls>
            <c:dLbl>
              <c:idx val="0"/>
              <c:tx>
                <c:rich>
                  <a:bodyPr/>
                  <a:lstStyle/>
                  <a:p>
                    <a:r>
                      <a:rPr lang="en-US"/>
                      <a:t>b</a:t>
                    </a:r>
                  </a:p>
                </c:rich>
              </c:tx>
              <c:dLblPos val="outEnd"/>
              <c:showVal val="1"/>
            </c:dLbl>
            <c:dLbl>
              <c:idx val="1"/>
              <c:tx>
                <c:rich>
                  <a:bodyPr/>
                  <a:lstStyle/>
                  <a:p>
                    <a:r>
                      <a:rPr lang="en-US"/>
                      <a:t>b</a:t>
                    </a:r>
                  </a:p>
                </c:rich>
              </c:tx>
              <c:dLblPos val="outEnd"/>
              <c:showVal val="1"/>
            </c:dLbl>
            <c:dLbl>
              <c:idx val="2"/>
              <c:layout>
                <c:manualLayout>
                  <c:x val="-9.3835554945868142E-17"/>
                  <c:y val="-1.5369836695485115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b</a:t>
                    </a:r>
                  </a:p>
                </c:rich>
              </c:tx>
              <c:dLblPos val="outEnd"/>
              <c:showVal val="1"/>
            </c:dLbl>
            <c:dLblPos val="outEnd"/>
            <c:showVal val="1"/>
            <c:extLst>
              <c:ext xmlns:c15="http://schemas.microsoft.com/office/drawing/2012/chart" uri="{CE6537A1-D6FC-4f65-9D91-7224C49458BB}">
                <c15:layout/>
                <c15:showLeaderLines val="0"/>
              </c:ext>
            </c:extLst>
          </c:dLbls>
          <c:errBars>
            <c:errBarType val="both"/>
            <c:errValType val="cust"/>
            <c:plus>
              <c:numLit>
                <c:formatCode>General</c:formatCode>
                <c:ptCount val="3"/>
                <c:pt idx="0">
                  <c:v>2.1</c:v>
                </c:pt>
                <c:pt idx="1">
                  <c:v>2.9</c:v>
                </c:pt>
                <c:pt idx="2">
                  <c:v>5.2</c:v>
                </c:pt>
              </c:numLit>
            </c:plus>
            <c:minus>
              <c:numLit>
                <c:formatCode>General</c:formatCode>
                <c:ptCount val="3"/>
                <c:pt idx="0">
                  <c:v>2.1</c:v>
                </c:pt>
                <c:pt idx="1">
                  <c:v>2.9</c:v>
                </c:pt>
                <c:pt idx="2">
                  <c:v>5.2</c:v>
                </c:pt>
              </c:numLit>
            </c:minus>
          </c:errBars>
          <c:cat>
            <c:strRef>
              <c:f>Sheet3!$B$1:$D$1</c:f>
              <c:strCache>
                <c:ptCount val="3"/>
                <c:pt idx="0">
                  <c:v>ALT (U/L)</c:v>
                </c:pt>
                <c:pt idx="1">
                  <c:v>AST (U/L)</c:v>
                </c:pt>
                <c:pt idx="2">
                  <c:v>ALP (U/L)</c:v>
                </c:pt>
              </c:strCache>
            </c:strRef>
          </c:cat>
          <c:val>
            <c:numRef>
              <c:f>Sheet3!$B$5:$D$5</c:f>
              <c:numCache>
                <c:formatCode>General</c:formatCode>
                <c:ptCount val="3"/>
                <c:pt idx="0">
                  <c:v>30.2</c:v>
                </c:pt>
                <c:pt idx="1">
                  <c:v>45.1</c:v>
                </c:pt>
                <c:pt idx="2">
                  <c:v>80.2</c:v>
                </c:pt>
              </c:numCache>
            </c:numRef>
          </c:val>
        </c:ser>
        <c:ser>
          <c:idx val="4"/>
          <c:order val="4"/>
          <c:tx>
            <c:strRef>
              <c:f>Sheet3!$A$6</c:f>
              <c:strCache>
                <c:ptCount val="1"/>
                <c:pt idx="0">
                  <c:v>Vernonia amygdalina (400 mg/kg)</c:v>
                </c:pt>
              </c:strCache>
            </c:strRef>
          </c:tx>
          <c:dLbls>
            <c:dLbl>
              <c:idx val="0"/>
              <c:tx>
                <c:rich>
                  <a:bodyPr/>
                  <a:lstStyle/>
                  <a:p>
                    <a:r>
                      <a:rPr lang="en-US"/>
                      <a:t>c</a:t>
                    </a:r>
                  </a:p>
                </c:rich>
              </c:tx>
              <c:dLblPos val="outEnd"/>
              <c:showVal val="1"/>
            </c:dLbl>
            <c:dLbl>
              <c:idx val="1"/>
              <c:tx>
                <c:rich>
                  <a:bodyPr/>
                  <a:lstStyle/>
                  <a:p>
                    <a:r>
                      <a:rPr lang="en-US"/>
                      <a:t>c</a:t>
                    </a:r>
                  </a:p>
                </c:rich>
              </c:tx>
              <c:dLblPos val="outEnd"/>
              <c:showVal val="1"/>
            </c:dLbl>
            <c:dLbl>
              <c:idx val="2"/>
              <c:tx>
                <c:rich>
                  <a:bodyPr/>
                  <a:lstStyle/>
                  <a:p>
                    <a:r>
                      <a:rPr lang="en-US"/>
                      <a:t>c</a:t>
                    </a:r>
                  </a:p>
                </c:rich>
              </c:tx>
              <c:dLblPos val="outEnd"/>
              <c:showVal val="1"/>
            </c:dLbl>
            <c:dLblPos val="outEnd"/>
            <c:showVal val="1"/>
            <c:extLst>
              <c:ext xmlns:c15="http://schemas.microsoft.com/office/drawing/2012/chart" uri="{CE6537A1-D6FC-4f65-9D91-7224C49458BB}">
                <c15:layout/>
                <c15:showLeaderLines val="0"/>
              </c:ext>
            </c:extLst>
          </c:dLbls>
          <c:errBars>
            <c:errBarType val="both"/>
            <c:errValType val="cust"/>
            <c:plus>
              <c:numLit>
                <c:formatCode>General</c:formatCode>
                <c:ptCount val="3"/>
                <c:pt idx="0">
                  <c:v>1.5</c:v>
                </c:pt>
                <c:pt idx="1">
                  <c:v>2.1</c:v>
                </c:pt>
                <c:pt idx="2">
                  <c:v>3.6</c:v>
                </c:pt>
              </c:numLit>
            </c:plus>
            <c:minus>
              <c:numLit>
                <c:formatCode>General</c:formatCode>
                <c:ptCount val="3"/>
                <c:pt idx="0">
                  <c:v>1.5</c:v>
                </c:pt>
                <c:pt idx="1">
                  <c:v>2.1</c:v>
                </c:pt>
                <c:pt idx="2">
                  <c:v>3.6</c:v>
                </c:pt>
              </c:numLit>
            </c:minus>
          </c:errBars>
          <c:cat>
            <c:strRef>
              <c:f>Sheet3!$B$1:$D$1</c:f>
              <c:strCache>
                <c:ptCount val="3"/>
                <c:pt idx="0">
                  <c:v>ALT (U/L)</c:v>
                </c:pt>
                <c:pt idx="1">
                  <c:v>AST (U/L)</c:v>
                </c:pt>
                <c:pt idx="2">
                  <c:v>ALP (U/L)</c:v>
                </c:pt>
              </c:strCache>
            </c:strRef>
          </c:cat>
          <c:val>
            <c:numRef>
              <c:f>Sheet3!$B$6:$D$6</c:f>
              <c:numCache>
                <c:formatCode>General</c:formatCode>
                <c:ptCount val="3"/>
                <c:pt idx="0">
                  <c:v>22.1</c:v>
                </c:pt>
                <c:pt idx="1">
                  <c:v>32.1</c:v>
                </c:pt>
                <c:pt idx="2">
                  <c:v>55.1</c:v>
                </c:pt>
              </c:numCache>
            </c:numRef>
          </c:val>
        </c:ser>
        <c:axId val="233268736"/>
        <c:axId val="233270272"/>
      </c:barChart>
      <c:catAx>
        <c:axId val="233268736"/>
        <c:scaling>
          <c:orientation val="minMax"/>
        </c:scaling>
        <c:axPos val="b"/>
        <c:tickLblPos val="nextTo"/>
        <c:crossAx val="233270272"/>
        <c:crosses val="autoZero"/>
        <c:auto val="1"/>
        <c:lblAlgn val="ctr"/>
        <c:lblOffset val="100"/>
      </c:catAx>
      <c:valAx>
        <c:axId val="233270272"/>
        <c:scaling>
          <c:orientation val="minMax"/>
        </c:scaling>
        <c:axPos val="l"/>
        <c:title>
          <c:tx>
            <c:rich>
              <a:bodyPr rot="-5400000" vert="horz"/>
              <a:lstStyle/>
              <a:p>
                <a:pPr>
                  <a:defRPr/>
                </a:pPr>
                <a:r>
                  <a:rPr lang="en-US"/>
                  <a:t>Enzyme Activity U/L</a:t>
                </a:r>
              </a:p>
            </c:rich>
          </c:tx>
        </c:title>
        <c:numFmt formatCode="General" sourceLinked="1"/>
        <c:tickLblPos val="nextTo"/>
        <c:crossAx val="233268736"/>
        <c:crosses val="autoZero"/>
        <c:crossBetween val="between"/>
      </c:valAx>
    </c:plotArea>
    <c:legend>
      <c:legendPos val="r"/>
      <c:layout>
        <c:manualLayout>
          <c:xMode val="edge"/>
          <c:yMode val="edge"/>
          <c:x val="0.78901009392903787"/>
          <c:y val="0.16496830653828473"/>
          <c:w val="0.19827130511706734"/>
          <c:h val="0.65892132564209571"/>
        </c:manualLayout>
      </c:layout>
    </c:legend>
    <c:plotVisOnly val="1"/>
    <c:dispBlanksAs val="gap"/>
  </c:chart>
  <c:spPr>
    <a:ln>
      <a:noFill/>
    </a:ln>
  </c:spPr>
  <c:externalData r:id="rId1"/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en-US"/>
  <c:style val="18"/>
  <c:chart>
    <c:plotArea>
      <c:layout>
        <c:manualLayout>
          <c:layoutTarget val="inner"/>
          <c:xMode val="edge"/>
          <c:yMode val="edge"/>
          <c:x val="0.18157190972384937"/>
          <c:y val="3.4346550315520974E-2"/>
          <c:w val="0.58371216552275629"/>
          <c:h val="0.75189987318751705"/>
        </c:manualLayout>
      </c:layout>
      <c:lineChart>
        <c:grouping val="standard"/>
        <c:ser>
          <c:idx val="0"/>
          <c:order val="0"/>
          <c:tx>
            <c:strRef>
              <c:f>Sheet4!$B$1</c:f>
              <c:strCache>
                <c:ptCount val="1"/>
                <c:pt idx="0">
                  <c:v>DPPH Radical Scavenging Activity (%)</c:v>
                </c:pt>
              </c:strCache>
            </c:strRef>
          </c:tx>
          <c:errBars>
            <c:errDir val="y"/>
            <c:errBarType val="both"/>
            <c:errValType val="cust"/>
            <c:plus>
              <c:numLit>
                <c:formatCode>General</c:formatCode>
                <c:ptCount val="5"/>
                <c:pt idx="0">
                  <c:v>1.2</c:v>
                </c:pt>
                <c:pt idx="1">
                  <c:v>2.1</c:v>
                </c:pt>
                <c:pt idx="2">
                  <c:v>3.5</c:v>
                </c:pt>
                <c:pt idx="3">
                  <c:v>4.2</c:v>
                </c:pt>
                <c:pt idx="4">
                  <c:v>4.5</c:v>
                </c:pt>
              </c:numLit>
            </c:plus>
            <c:minus>
              <c:numLit>
                <c:formatCode>General</c:formatCode>
                <c:ptCount val="5"/>
                <c:pt idx="0">
                  <c:v>1.2</c:v>
                </c:pt>
                <c:pt idx="1">
                  <c:v>2.1</c:v>
                </c:pt>
                <c:pt idx="2">
                  <c:v>3.5</c:v>
                </c:pt>
                <c:pt idx="3">
                  <c:v>4.2</c:v>
                </c:pt>
                <c:pt idx="4">
                  <c:v>4.5</c:v>
                </c:pt>
              </c:numLit>
            </c:minus>
          </c:errBars>
          <c:cat>
            <c:strRef>
              <c:f>Sheet4!$A$2:$A$6</c:f>
              <c:strCache>
                <c:ptCount val="5"/>
                <c:pt idx="0">
                  <c:v>10</c:v>
                </c:pt>
                <c:pt idx="1">
                  <c:v>20</c:v>
                </c:pt>
                <c:pt idx="2">
                  <c:v>50</c:v>
                </c:pt>
                <c:pt idx="3">
                  <c:v>100</c:v>
                </c:pt>
                <c:pt idx="4">
                  <c:v>Ascorbic acid (positive control)</c:v>
                </c:pt>
              </c:strCache>
            </c:strRef>
          </c:cat>
          <c:val>
            <c:numRef>
              <c:f>Sheet4!$B$2:$B$6</c:f>
              <c:numCache>
                <c:formatCode>General</c:formatCode>
                <c:ptCount val="5"/>
                <c:pt idx="0">
                  <c:v>20.5</c:v>
                </c:pt>
                <c:pt idx="1">
                  <c:v>35.200000000000003</c:v>
                </c:pt>
                <c:pt idx="2">
                  <c:v>60.5</c:v>
                </c:pt>
                <c:pt idx="3">
                  <c:v>80.2</c:v>
                </c:pt>
                <c:pt idx="4">
                  <c:v>90.1</c:v>
                </c:pt>
              </c:numCache>
            </c:numRef>
          </c:val>
        </c:ser>
        <c:ser>
          <c:idx val="1"/>
          <c:order val="1"/>
          <c:tx>
            <c:strRef>
              <c:f>Sheet4!$C$1</c:f>
              <c:strCache>
                <c:ptCount val="1"/>
                <c:pt idx="0">
                  <c:v>Superoxide Anion Radical Scavenging Activity (%)</c:v>
                </c:pt>
              </c:strCache>
            </c:strRef>
          </c:tx>
          <c:errBars>
            <c:errDir val="y"/>
            <c:errBarType val="both"/>
            <c:errValType val="cust"/>
            <c:plus>
              <c:numLit>
                <c:formatCode>General</c:formatCode>
                <c:ptCount val="5"/>
                <c:pt idx="0">
                  <c:v>0.9</c:v>
                </c:pt>
                <c:pt idx="1">
                  <c:v>1.5</c:v>
                </c:pt>
                <c:pt idx="2">
                  <c:v>2.7</c:v>
                </c:pt>
                <c:pt idx="3">
                  <c:v>3.9</c:v>
                </c:pt>
                <c:pt idx="4">
                  <c:v>4.2</c:v>
                </c:pt>
              </c:numLit>
            </c:plus>
            <c:minus>
              <c:numLit>
                <c:formatCode>General</c:formatCode>
                <c:ptCount val="5"/>
                <c:pt idx="0">
                  <c:v>0.9</c:v>
                </c:pt>
                <c:pt idx="1">
                  <c:v>1.5</c:v>
                </c:pt>
                <c:pt idx="2">
                  <c:v>2.7</c:v>
                </c:pt>
                <c:pt idx="3">
                  <c:v>3.9</c:v>
                </c:pt>
                <c:pt idx="4">
                  <c:v>4.2</c:v>
                </c:pt>
              </c:numLit>
            </c:minus>
          </c:errBars>
          <c:cat>
            <c:strRef>
              <c:f>Sheet4!$A$2:$A$6</c:f>
              <c:strCache>
                <c:ptCount val="5"/>
                <c:pt idx="0">
                  <c:v>10</c:v>
                </c:pt>
                <c:pt idx="1">
                  <c:v>20</c:v>
                </c:pt>
                <c:pt idx="2">
                  <c:v>50</c:v>
                </c:pt>
                <c:pt idx="3">
                  <c:v>100</c:v>
                </c:pt>
                <c:pt idx="4">
                  <c:v>Ascorbic acid (positive control)</c:v>
                </c:pt>
              </c:strCache>
            </c:strRef>
          </c:cat>
          <c:val>
            <c:numRef>
              <c:f>Sheet4!$C$2:$C$6</c:f>
              <c:numCache>
                <c:formatCode>General</c:formatCode>
                <c:ptCount val="5"/>
                <c:pt idx="0">
                  <c:v>15.2</c:v>
                </c:pt>
                <c:pt idx="1">
                  <c:v>25.1</c:v>
                </c:pt>
                <c:pt idx="2">
                  <c:v>45.2</c:v>
                </c:pt>
                <c:pt idx="3">
                  <c:v>65.099999999999994</c:v>
                </c:pt>
                <c:pt idx="4">
                  <c:v>80.2</c:v>
                </c:pt>
              </c:numCache>
            </c:numRef>
          </c:val>
        </c:ser>
        <c:ser>
          <c:idx val="2"/>
          <c:order val="2"/>
          <c:tx>
            <c:strRef>
              <c:f>Sheet4!$D$1</c:f>
              <c:strCache>
                <c:ptCount val="1"/>
                <c:pt idx="0">
                  <c:v>Reducing Power (Absorbance at 700 nm)</c:v>
                </c:pt>
              </c:strCache>
            </c:strRef>
          </c:tx>
          <c:errBars>
            <c:errDir val="y"/>
            <c:errBarType val="both"/>
            <c:errValType val="cust"/>
            <c:plus>
              <c:numLit>
                <c:formatCode>General</c:formatCode>
                <c:ptCount val="5"/>
                <c:pt idx="0">
                  <c:v>1.0000000000000005E-2</c:v>
                </c:pt>
                <c:pt idx="1">
                  <c:v>2.0000000000000011E-2</c:v>
                </c:pt>
                <c:pt idx="2">
                  <c:v>3.0000000000000002E-2</c:v>
                </c:pt>
                <c:pt idx="3">
                  <c:v>4.0000000000000022E-2</c:v>
                </c:pt>
                <c:pt idx="4">
                  <c:v>0.05</c:v>
                </c:pt>
              </c:numLit>
            </c:plus>
            <c:minus>
              <c:numLit>
                <c:formatCode>General</c:formatCode>
                <c:ptCount val="5"/>
                <c:pt idx="0">
                  <c:v>1.0000000000000005E-2</c:v>
                </c:pt>
                <c:pt idx="1">
                  <c:v>2.0000000000000011E-2</c:v>
                </c:pt>
                <c:pt idx="2">
                  <c:v>3.0000000000000002E-2</c:v>
                </c:pt>
                <c:pt idx="3">
                  <c:v>4.0000000000000022E-2</c:v>
                </c:pt>
                <c:pt idx="4">
                  <c:v>0.05</c:v>
                </c:pt>
              </c:numLit>
            </c:minus>
          </c:errBars>
          <c:cat>
            <c:strRef>
              <c:f>Sheet4!$A$2:$A$6</c:f>
              <c:strCache>
                <c:ptCount val="5"/>
                <c:pt idx="0">
                  <c:v>10</c:v>
                </c:pt>
                <c:pt idx="1">
                  <c:v>20</c:v>
                </c:pt>
                <c:pt idx="2">
                  <c:v>50</c:v>
                </c:pt>
                <c:pt idx="3">
                  <c:v>100</c:v>
                </c:pt>
                <c:pt idx="4">
                  <c:v>Ascorbic acid (positive control)</c:v>
                </c:pt>
              </c:strCache>
            </c:strRef>
          </c:cat>
          <c:val>
            <c:numRef>
              <c:f>Sheet4!$D$2:$D$6</c:f>
              <c:numCache>
                <c:formatCode>General</c:formatCode>
                <c:ptCount val="5"/>
                <c:pt idx="0">
                  <c:v>0.2</c:v>
                </c:pt>
                <c:pt idx="1">
                  <c:v>0.35000000000000031</c:v>
                </c:pt>
                <c:pt idx="2">
                  <c:v>0.60000000000000064</c:v>
                </c:pt>
                <c:pt idx="3">
                  <c:v>0.8</c:v>
                </c:pt>
                <c:pt idx="4">
                  <c:v>1</c:v>
                </c:pt>
              </c:numCache>
            </c:numRef>
          </c:val>
        </c:ser>
        <c:marker val="1"/>
        <c:axId val="233473536"/>
        <c:axId val="233475072"/>
      </c:lineChart>
      <c:catAx>
        <c:axId val="233473536"/>
        <c:scaling>
          <c:orientation val="minMax"/>
        </c:scaling>
        <c:axPos val="b"/>
        <c:tickLblPos val="nextTo"/>
        <c:crossAx val="233475072"/>
        <c:crosses val="autoZero"/>
        <c:auto val="1"/>
        <c:lblAlgn val="ctr"/>
        <c:lblOffset val="100"/>
      </c:catAx>
      <c:valAx>
        <c:axId val="233475072"/>
        <c:scaling>
          <c:orientation val="minMax"/>
        </c:scaling>
        <c:axPos val="l"/>
        <c:title>
          <c:tx>
            <c:rich>
              <a:bodyPr rot="-5400000" vert="horz"/>
              <a:lstStyle/>
              <a:p>
                <a:pPr>
                  <a:defRPr/>
                </a:pPr>
                <a:r>
                  <a:rPr lang="en-US"/>
                  <a:t>Scavenging Activity (%)</a:t>
                </a:r>
              </a:p>
            </c:rich>
          </c:tx>
        </c:title>
        <c:numFmt formatCode="General" sourceLinked="1"/>
        <c:tickLblPos val="nextTo"/>
        <c:crossAx val="233473536"/>
        <c:crosses val="autoZero"/>
        <c:crossBetween val="between"/>
      </c:valAx>
    </c:plotArea>
    <c:legend>
      <c:legendPos val="r"/>
      <c:layout>
        <c:manualLayout>
          <c:xMode val="edge"/>
          <c:yMode val="edge"/>
          <c:x val="0.74419444820642333"/>
          <c:y val="0.21462099728300718"/>
          <c:w val="0.24174580043345398"/>
          <c:h val="0.42535967148599652"/>
        </c:manualLayout>
      </c:layout>
    </c:legend>
    <c:plotVisOnly val="1"/>
    <c:dispBlanksAs val="gap"/>
  </c:chart>
  <c:spPr>
    <a:ln>
      <a:noFill/>
    </a:ln>
  </c:spPr>
  <c:externalData r:id="rId1"/>
</c:chartSpac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438</Words>
  <Characters>2498</Characters>
  <Application>Microsoft Office Word</Application>
  <DocSecurity>0</DocSecurity>
  <Lines>20</Lines>
  <Paragraphs>5</Paragraphs>
  <ScaleCrop>false</ScaleCrop>
  <Company/>
  <LinksUpToDate>false</LinksUpToDate>
  <CharactersWithSpaces>2931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2025-01-12T11:42:00Z</dcterms:created>
  <dcterms:modified xsi:type="dcterms:W3CDTF">2025-01-12T11:44:00Z</dcterms:modified>
</cp:coreProperties>
</file>