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Times New Roman"/>
          <w:color w:val="0000FF"/>
          <w:sz w:val="24"/>
          <w:szCs w:val="24"/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able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1 </w:t>
      </w:r>
      <w:bookmarkStart w:id="0" w:name="_Hlk181008527"/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 concentration, mass proportion of intra-microaggregate particulate organic carbon (iPOC) and the mineral-associated organic carbon (MAOC) in bulk soil at different sampling time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s.</w:t>
      </w:r>
    </w:p>
    <w:bookmarkEnd w:id="0"/>
    <w:tbl>
      <w:tblPr>
        <w:tblStyle w:val="13"/>
        <w:tblW w:w="10207" w:type="dxa"/>
        <w:tblInd w:w="-441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44"/>
        <w:gridCol w:w="1559"/>
        <w:gridCol w:w="1701"/>
        <w:gridCol w:w="1559"/>
        <w:gridCol w:w="284"/>
        <w:gridCol w:w="1559"/>
        <w:gridCol w:w="1418"/>
        <w:gridCol w:w="283"/>
      </w:tblGrid>
      <w:tr>
        <w:trPr>
          <w:trHeight w:val="300" w:hRule="atLeast"/>
        </w:trPr>
        <w:tc>
          <w:tcPr>
            <w:tcW w:w="1844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Sampling days (d)</w:t>
            </w:r>
          </w:p>
        </w:tc>
        <w:tc>
          <w:tcPr>
            <w:tcW w:w="1559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Treatments</w:t>
            </w:r>
          </w:p>
        </w:tc>
        <w:tc>
          <w:tcPr>
            <w:tcW w:w="3260" w:type="dxa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C concentration</w:t>
            </w:r>
          </w:p>
        </w:tc>
        <w:tc>
          <w:tcPr>
            <w:tcW w:w="284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977" w:type="dxa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Mass proportion in bulk soil</w:t>
            </w:r>
          </w:p>
        </w:tc>
        <w:tc>
          <w:tcPr>
            <w:tcW w:w="283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184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(g C kg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vertAlign w:val="superscript"/>
              </w:rPr>
              <w:t>-1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fraction)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28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312" w:hRule="atLeast"/>
        </w:trPr>
        <w:tc>
          <w:tcPr>
            <w:tcW w:w="1844" w:type="dxa"/>
            <w:tcBorders>
              <w:top w:val="nil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iPOC</w:t>
            </w:r>
          </w:p>
        </w:tc>
        <w:tc>
          <w:tcPr>
            <w:tcW w:w="1559" w:type="dxa"/>
            <w:tcBorders>
              <w:top w:val="nil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OC</w:t>
            </w:r>
          </w:p>
        </w:tc>
        <w:tc>
          <w:tcPr>
            <w:tcW w:w="284" w:type="dxa"/>
            <w:tcBorders>
              <w:top w:val="nil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iPOC</w:t>
            </w:r>
          </w:p>
        </w:tc>
        <w:tc>
          <w:tcPr>
            <w:tcW w:w="1418" w:type="dxa"/>
            <w:tcBorders>
              <w:top w:val="nil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OC</w:t>
            </w:r>
          </w:p>
        </w:tc>
        <w:tc>
          <w:tcPr>
            <w:tcW w:w="283" w:type="dxa"/>
            <w:tcBorders>
              <w:top w:val="nil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312" w:hRule="atLeast"/>
        </w:trPr>
        <w:tc>
          <w:tcPr>
            <w:tcW w:w="1844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559" w:type="dxa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MR-SM</w:t>
            </w:r>
          </w:p>
        </w:tc>
        <w:tc>
          <w:tcPr>
            <w:tcW w:w="1701" w:type="dxa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13.17±0.75 ab</w:t>
            </w:r>
          </w:p>
        </w:tc>
        <w:tc>
          <w:tcPr>
            <w:tcW w:w="1559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12.56±0.56 a</w:t>
            </w:r>
          </w:p>
        </w:tc>
        <w:tc>
          <w:tcPr>
            <w:tcW w:w="284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68.55±1.01 b</w:t>
            </w:r>
          </w:p>
        </w:tc>
        <w:tc>
          <w:tcPr>
            <w:tcW w:w="1418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15.20±1.73 g</w:t>
            </w:r>
          </w:p>
        </w:tc>
        <w:tc>
          <w:tcPr>
            <w:tcW w:w="283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312" w:hRule="atLeast"/>
        </w:trPr>
        <w:tc>
          <w:tcPr>
            <w:tcW w:w="184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RR-ER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14.25±1.27 a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12.01±0.28 ab</w:t>
            </w:r>
          </w:p>
        </w:tc>
        <w:tc>
          <w:tcPr>
            <w:tcW w:w="284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66.81±1.14 bc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16.43±0.87 fg</w:t>
            </w:r>
          </w:p>
        </w:tc>
        <w:tc>
          <w:tcPr>
            <w:tcW w:w="283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65" w:hRule="atLeast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4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3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312" w:hRule="atLeast"/>
        </w:trPr>
        <w:tc>
          <w:tcPr>
            <w:tcW w:w="184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MR-SM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12.24±0.49 bcd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11.37±0.34 bc</w:t>
            </w:r>
          </w:p>
        </w:tc>
        <w:tc>
          <w:tcPr>
            <w:tcW w:w="284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63.43±2.60 cde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19.62±1.84 de</w:t>
            </w:r>
          </w:p>
        </w:tc>
        <w:tc>
          <w:tcPr>
            <w:tcW w:w="283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312" w:hRule="atLeast"/>
        </w:trPr>
        <w:tc>
          <w:tcPr>
            <w:tcW w:w="184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RR-ER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12.60±0.43 bc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11.49±1.01 bc</w:t>
            </w:r>
          </w:p>
        </w:tc>
        <w:tc>
          <w:tcPr>
            <w:tcW w:w="284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63.18±2.19 de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20.19±2.18 de</w:t>
            </w:r>
          </w:p>
        </w:tc>
        <w:tc>
          <w:tcPr>
            <w:tcW w:w="283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38" w:hRule="atLeast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4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3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312" w:hRule="atLeast"/>
        </w:trPr>
        <w:tc>
          <w:tcPr>
            <w:tcW w:w="184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MR-SM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12.01±0.45 cde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11.25±0.25 bc</w:t>
            </w:r>
          </w:p>
        </w:tc>
        <w:tc>
          <w:tcPr>
            <w:tcW w:w="284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64.58±0.96 cde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21.72±0.87 cd</w:t>
            </w:r>
          </w:p>
        </w:tc>
        <w:tc>
          <w:tcPr>
            <w:tcW w:w="283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312" w:hRule="atLeast"/>
        </w:trPr>
        <w:tc>
          <w:tcPr>
            <w:tcW w:w="184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RR-ER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11.76±0.27 cde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11.30±0.28 bc</w:t>
            </w:r>
          </w:p>
        </w:tc>
        <w:tc>
          <w:tcPr>
            <w:tcW w:w="284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62.10±1.56 e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27.76±2.17 a</w:t>
            </w:r>
          </w:p>
        </w:tc>
        <w:tc>
          <w:tcPr>
            <w:tcW w:w="283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144" w:hRule="atLeast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4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3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312" w:hRule="atLeast"/>
        </w:trPr>
        <w:tc>
          <w:tcPr>
            <w:tcW w:w="184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709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MR-SM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10.92±0.32 ef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10.61±0.24 cd</w:t>
            </w:r>
          </w:p>
        </w:tc>
        <w:tc>
          <w:tcPr>
            <w:tcW w:w="284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66.16±1.48 bcd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21.17±1.81 de</w:t>
            </w:r>
          </w:p>
        </w:tc>
        <w:tc>
          <w:tcPr>
            <w:tcW w:w="283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312" w:hRule="atLeast"/>
        </w:trPr>
        <w:tc>
          <w:tcPr>
            <w:tcW w:w="184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RR-ER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11.27±0.25 def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11.09±0.65 cd</w:t>
            </w:r>
          </w:p>
        </w:tc>
        <w:tc>
          <w:tcPr>
            <w:tcW w:w="284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65.89±2.64 bcd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26.01±1.99 ab</w:t>
            </w:r>
          </w:p>
        </w:tc>
        <w:tc>
          <w:tcPr>
            <w:tcW w:w="283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100" w:hRule="atLeast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4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3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312" w:hRule="atLeast"/>
        </w:trPr>
        <w:tc>
          <w:tcPr>
            <w:tcW w:w="184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816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MR-SM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10.26±0.15 f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10.30±0.18 d</w:t>
            </w:r>
          </w:p>
        </w:tc>
        <w:tc>
          <w:tcPr>
            <w:tcW w:w="284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74.23±2.08 a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18.33±1.30 ef</w:t>
            </w:r>
          </w:p>
        </w:tc>
        <w:tc>
          <w:tcPr>
            <w:tcW w:w="283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312" w:hRule="atLeast"/>
        </w:trPr>
        <w:tc>
          <w:tcPr>
            <w:tcW w:w="184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RR-ER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10.61±0.11 f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10.25±0.34 d</w:t>
            </w:r>
          </w:p>
        </w:tc>
        <w:tc>
          <w:tcPr>
            <w:tcW w:w="284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68.70±1.51 b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24.40±0.44 bc</w:t>
            </w:r>
          </w:p>
        </w:tc>
        <w:tc>
          <w:tcPr>
            <w:tcW w:w="283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312" w:hRule="atLeast"/>
        </w:trPr>
        <w:tc>
          <w:tcPr>
            <w:tcW w:w="3403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Incubation time (T)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2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*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2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312" w:hRule="atLeast"/>
        </w:trPr>
        <w:tc>
          <w:tcPr>
            <w:tcW w:w="3403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Cropping system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(C)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2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*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2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312" w:hRule="atLeast"/>
        </w:trPr>
        <w:tc>
          <w:tcPr>
            <w:tcW w:w="3403" w:type="dxa"/>
            <w:gridSpan w:val="2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×C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n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284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1418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n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283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rPr>
          <w:rFonts w:ascii="Times New Roman" w:hAnsi="Times New Roman" w:cs="Times New Roman"/>
          <w:color w:val="0000FF"/>
          <w:sz w:val="24"/>
          <w:szCs w:val="24"/>
        </w:rPr>
      </w:pPr>
    </w:p>
    <w:p>
      <w:pPr>
        <w:ind w:firstLine="480" w:firstLineChars="20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MR-SM, the incubation tube with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13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C-enriched spring maize straw; RR-ER, the incubation tube with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13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C-enriched early rice straw. Different lowercase letters for the same item mean significant variations among sampling time and straw types (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&lt; 0.05).</w:t>
      </w:r>
    </w:p>
    <w:p>
      <w:pPr>
        <w:widowControl/>
        <w:jc w:val="left"/>
      </w:pPr>
      <w:r>
        <w:br w:type="page"/>
      </w:r>
    </w:p>
    <w:p>
      <w:r>
        <w:drawing>
          <wp:inline distT="0" distB="0" distL="114300" distR="114300">
            <wp:extent cx="4531995" cy="2641600"/>
            <wp:effectExtent l="0" t="0" r="1460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1995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>
      <w:pPr>
        <w:pStyle w:val="28"/>
        <w:spacing w:line="360" w:lineRule="auto"/>
        <w:ind w:left="0" w:leftChars="0" w:firstLine="0" w:firstLineChars="0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Fig.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S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 Changes in δ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13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value of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the incubated mixture in buried tubes at different sampling days. MR-SM, the incubation tube with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13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C-enriched spring maize straw; RR-ER, the incubation tube with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13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C-enriched early rice straw. Different lowercase letters above the column mean significant variations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for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MR-SM and RR-ER treatments among sampling time (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&lt; 0.05). ns, no significant difference (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&gt; 0.05); * and ** represent significant differences at p&lt;0.05 and p&lt;0.0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</w:t>
      </w:r>
    </w:p>
    <w:p>
      <w:pPr>
        <w:rPr>
          <w:rFonts w:hint="eastAsia"/>
        </w:rPr>
      </w:pPr>
    </w:p>
    <w:p>
      <w:pPr>
        <w:tabs>
          <w:tab w:val="left" w:pos="905"/>
        </w:tabs>
      </w:pPr>
      <w:r>
        <w:tab/>
      </w:r>
    </w:p>
    <w:p>
      <w:pPr>
        <w:tabs>
          <w:tab w:val="left" w:pos="905"/>
        </w:tabs>
      </w:pPr>
    </w:p>
    <w:p>
      <w:pPr>
        <w:tabs>
          <w:tab w:val="left" w:pos="905"/>
        </w:tabs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1FB"/>
    <w:rsid w:val="003538E1"/>
    <w:rsid w:val="003D0E20"/>
    <w:rsid w:val="00534DB5"/>
    <w:rsid w:val="007168BA"/>
    <w:rsid w:val="007419DF"/>
    <w:rsid w:val="0082504C"/>
    <w:rsid w:val="00A5061D"/>
    <w:rsid w:val="00A715BC"/>
    <w:rsid w:val="00B10B68"/>
    <w:rsid w:val="00BA3F18"/>
    <w:rsid w:val="00BC61FB"/>
    <w:rsid w:val="00BE0B18"/>
    <w:rsid w:val="00EC68C2"/>
    <w:rsid w:val="00FE1B85"/>
    <w:rsid w:val="FC6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37609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37609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37609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37609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284</Words>
  <Characters>1625</Characters>
  <Lines>13</Lines>
  <Paragraphs>3</Paragraphs>
  <TotalTime>7</TotalTime>
  <ScaleCrop>false</ScaleCrop>
  <LinksUpToDate>false</LinksUpToDate>
  <CharactersWithSpaces>1906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2024-10-27T19:35:00Z</dcterms:created>
  <dc:creator>ming zhan</dc:creator>
  <cp:lastModifiedBy>展茗</cp:lastModifiedBy>
  <dcterms:modified xsi:type="dcterms:W3CDTF">2024-11-11T12:17:10Z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BC22459835DF67C146853167AD9CEB09_42</vt:lpwstr>
  </property>
</Properties>
</file>