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8E6E" w14:textId="77777777" w:rsidR="00F37F72" w:rsidRPr="007A2A5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09016C">
        <w:rPr>
          <w:color w:val="000000"/>
          <w:sz w:val="22"/>
        </w:rPr>
        <w:t xml:space="preserve">Figure S1 </w:t>
      </w:r>
    </w:p>
    <w:p w14:paraId="523DE08F" w14:textId="77777777" w:rsidR="00F37F72" w:rsidRDefault="00F37F72" w:rsidP="00F37F72">
      <w:pPr>
        <w:pStyle w:val="NormalWeb"/>
        <w:spacing w:before="280" w:after="280" w:line="360" w:lineRule="auto"/>
        <w:jc w:val="both"/>
        <w:rPr>
          <w:color w:val="000000"/>
          <w:sz w:val="22"/>
          <w:szCs w:val="22"/>
        </w:rPr>
      </w:pPr>
      <w:r w:rsidRPr="0009016C">
        <w:rPr>
          <w:noProof/>
          <w:sz w:val="22"/>
          <w:szCs w:val="22"/>
        </w:rPr>
        <w:drawing>
          <wp:inline distT="0" distB="0" distL="0" distR="0" wp14:anchorId="6EC495B7" wp14:editId="47AEE3E7">
            <wp:extent cx="5420982" cy="3286760"/>
            <wp:effectExtent l="0" t="0" r="8890" b="8890"/>
            <wp:docPr id="12" name="Picture 12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collage of graph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6002" cy="3289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CBC8C" w14:textId="77777777" w:rsidR="00F37F72" w:rsidRPr="00D0743F" w:rsidRDefault="00F37F72" w:rsidP="00F37F72">
      <w:pPr>
        <w:pStyle w:val="NormalWeb"/>
        <w:spacing w:before="280" w:after="280" w:line="360" w:lineRule="auto"/>
        <w:jc w:val="both"/>
        <w:rPr>
          <w:color w:val="000000"/>
          <w:sz w:val="22"/>
          <w:szCs w:val="22"/>
        </w:rPr>
      </w:pPr>
      <w:r w:rsidRPr="0009016C">
        <w:rPr>
          <w:b/>
          <w:color w:val="000000"/>
          <w:sz w:val="22"/>
          <w:szCs w:val="22"/>
        </w:rPr>
        <w:t>Figure S1. QQ plots for four COVID-19 GWASs from HGI</w:t>
      </w:r>
    </w:p>
    <w:p w14:paraId="7139FE3B" w14:textId="77777777" w:rsidR="00F37F72" w:rsidRPr="0009016C" w:rsidRDefault="00F37F72" w:rsidP="00F37F72">
      <w:pPr>
        <w:pStyle w:val="NormalWeb"/>
        <w:spacing w:before="280" w:after="280" w:line="360" w:lineRule="auto"/>
        <w:jc w:val="both"/>
        <w:rPr>
          <w:color w:val="000000"/>
          <w:sz w:val="22"/>
          <w:szCs w:val="22"/>
        </w:rPr>
      </w:pPr>
      <w:r w:rsidRPr="0009016C">
        <w:rPr>
          <w:color w:val="000000"/>
          <w:sz w:val="22"/>
          <w:szCs w:val="22"/>
        </w:rPr>
        <w:t>Figure S2</w:t>
      </w:r>
    </w:p>
    <w:p w14:paraId="58DB0030" w14:textId="77777777" w:rsidR="00F37F72" w:rsidRPr="0009016C" w:rsidRDefault="00F37F72" w:rsidP="00F37F72">
      <w:pPr>
        <w:pStyle w:val="NormalWeb"/>
        <w:spacing w:before="280" w:after="280" w:line="360" w:lineRule="auto"/>
        <w:jc w:val="both"/>
        <w:rPr>
          <w:b/>
          <w:sz w:val="22"/>
          <w:szCs w:val="22"/>
        </w:rPr>
      </w:pPr>
      <w:r w:rsidRPr="0009016C">
        <w:rPr>
          <w:noProof/>
          <w:sz w:val="22"/>
          <w:szCs w:val="22"/>
        </w:rPr>
        <w:drawing>
          <wp:inline distT="0" distB="0" distL="0" distR="0" wp14:anchorId="3E0A4664" wp14:editId="1D93BC63">
            <wp:extent cx="5379285" cy="2683895"/>
            <wp:effectExtent l="0" t="0" r="0" b="2540"/>
            <wp:docPr id="4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graph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2701" cy="268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31ADC" w14:textId="77777777" w:rsidR="00F37F72" w:rsidRDefault="00F37F72" w:rsidP="00F37F72">
      <w:pPr>
        <w:pStyle w:val="NormalWeb"/>
        <w:spacing w:before="280" w:after="280" w:line="360" w:lineRule="auto"/>
        <w:jc w:val="both"/>
        <w:rPr>
          <w:sz w:val="22"/>
        </w:rPr>
      </w:pPr>
      <w:r w:rsidRPr="0009016C">
        <w:rPr>
          <w:b/>
          <w:color w:val="000000"/>
          <w:sz w:val="22"/>
          <w:szCs w:val="22"/>
        </w:rPr>
        <w:t xml:space="preserve">Figure S2. Differential effect size analysis for candidate long COVID </w:t>
      </w:r>
      <w:r>
        <w:rPr>
          <w:b/>
          <w:color w:val="000000"/>
          <w:sz w:val="22"/>
          <w:szCs w:val="22"/>
        </w:rPr>
        <w:t>SNPs by SNP categories and GWAS</w:t>
      </w:r>
      <w:r>
        <w:rPr>
          <w:sz w:val="22"/>
        </w:rPr>
        <w:t xml:space="preserve"> </w:t>
      </w:r>
      <w:r>
        <w:rPr>
          <w:sz w:val="22"/>
        </w:rPr>
        <w:br w:type="page"/>
      </w:r>
    </w:p>
    <w:p w14:paraId="604A5990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S3</w:t>
      </w:r>
    </w:p>
    <w:p w14:paraId="1F5ADBE1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1C3C90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1B0F1EAB" wp14:editId="2E183DDF">
            <wp:extent cx="5822950" cy="6629400"/>
            <wp:effectExtent l="0" t="0" r="6350" b="0"/>
            <wp:docPr id="22" name="Picture 22" descr="E:\LongCOVID_HGI_GWAS\Multi_Long_GWAS_Integration\New_LongCOVID_GWAS_Publication_Materials2024\LongCOVID_Figures\Figures1_to_8_simplified_Jan-04_2025\Slide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LongCOVID_HGI_GWAS\Multi_Long_GWAS_Integration\New_LongCOVID_GWAS_Publication_Materials2024\LongCOVID_Figures\Figures1_to_8_simplified_Jan-04_2025\Slide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t="8565" r="749" b="10879"/>
                    <a:stretch/>
                  </pic:blipFill>
                  <pic:spPr bwMode="auto">
                    <a:xfrm>
                      <a:off x="0" y="0"/>
                      <a:ext cx="582295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21629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</w:p>
    <w:p w14:paraId="7A091169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</w:p>
    <w:p w14:paraId="48EDE659" w14:textId="77777777" w:rsidR="00F37F72" w:rsidRPr="007452D0" w:rsidRDefault="00F37F72" w:rsidP="00F37F72">
      <w:pPr>
        <w:pStyle w:val="NormalWeb"/>
        <w:spacing w:before="280" w:after="280" w:line="360" w:lineRule="auto"/>
        <w:jc w:val="both"/>
        <w:rPr>
          <w:b/>
          <w:color w:val="000000"/>
          <w:sz w:val="22"/>
          <w:szCs w:val="22"/>
        </w:rPr>
      </w:pPr>
      <w:r w:rsidRPr="007452D0">
        <w:rPr>
          <w:b/>
          <w:color w:val="000000"/>
          <w:sz w:val="22"/>
          <w:szCs w:val="22"/>
        </w:rPr>
        <w:lastRenderedPageBreak/>
        <w:t>Figure S3. Summary of number of genes adjacent to prioritized long COVID risk SNPs (n=62) in COVID-19 transcriptome-wide association studies (TWASs)</w:t>
      </w:r>
    </w:p>
    <w:p w14:paraId="69AAD240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t>Bar plots illustrating the number of genes a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kern w:val="0"/>
          <w:sz w:val="22"/>
        </w:rPr>
        <w:t>l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kern w:val="0"/>
          <w:sz w:val="22"/>
        </w:rPr>
        <w:t>r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isk SNPs (n=62) 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as well as number of TWASs out of 4 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COVID-19 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related GWAS across 48 GTEx tissues passed different association </w:t>
      </w:r>
      <w:r w:rsidRPr="00CE2B8E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threshold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.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Note the 62 SNPs are colored according to its corresponding long COVID SNP category as depicted in Figure 1. </w:t>
      </w:r>
    </w:p>
    <w:p w14:paraId="5950CCFF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0BD5341F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S4</w:t>
      </w:r>
    </w:p>
    <w:p w14:paraId="0D3D48CE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8C6948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730A4CE1" wp14:editId="6D344EC5">
            <wp:extent cx="5505254" cy="7416800"/>
            <wp:effectExtent l="0" t="0" r="635" b="0"/>
            <wp:docPr id="20" name="Picture 20" descr="E:\LongCOVID_HGI_GWAS\Multi_Long_GWAS_Integration\New_LongCOVID_GWAS_Publication_Materials2024\LongCOVID_Figures\Figures1_to_8_simplified_Jan-04_2025\Slid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ongCOVID_HGI_GWAS\Multi_Long_GWAS_Integration\New_LongCOVID_GWAS_Publication_Materials2024\LongCOVID_Figures\Figures1_to_8_simplified_Jan-04_2025\Slide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01"/>
                    <a:stretch/>
                  </pic:blipFill>
                  <pic:spPr bwMode="auto">
                    <a:xfrm>
                      <a:off x="0" y="0"/>
                      <a:ext cx="5506033" cy="741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EBB84" w14:textId="77777777" w:rsidR="00F37F72" w:rsidRPr="000633DC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lastRenderedPageBreak/>
        <w:t>Figure S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4</w:t>
      </w: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t>. Transcript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ome-w</w:t>
      </w: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t xml:space="preserve">tudies (TWAS) for COVID-19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0633DC">
        <w:rPr>
          <w:rFonts w:ascii="Times New Roman" w:eastAsia="Times New Roman" w:hAnsi="Times New Roman" w:cs="Times New Roman"/>
          <w:b/>
          <w:kern w:val="0"/>
          <w:sz w:val="22"/>
        </w:rPr>
        <w:t xml:space="preserve">usceptibility,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hospitalization, and long COVID</w:t>
      </w:r>
    </w:p>
    <w:p w14:paraId="4D0C5EAA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333BF0">
        <w:rPr>
          <w:rFonts w:ascii="Times New Roman" w:eastAsia="Times New Roman" w:hAnsi="Times New Roman" w:cs="Times New Roman"/>
          <w:kern w:val="0"/>
          <w:sz w:val="22"/>
        </w:rPr>
        <w:t>(A) Top genome-wide significant TWAS-identified genes associated with COVID-19 susceptibility and hospitali</w:t>
      </w:r>
      <w:r>
        <w:rPr>
          <w:rFonts w:ascii="Times New Roman" w:eastAsia="Times New Roman" w:hAnsi="Times New Roman" w:cs="Times New Roman"/>
          <w:kern w:val="0"/>
          <w:sz w:val="22"/>
        </w:rPr>
        <w:t>zation, annotated by their best significant tissue</w:t>
      </w:r>
      <w:r w:rsidRPr="00333BF0">
        <w:rPr>
          <w:rFonts w:ascii="Times New Roman" w:eastAsia="Times New Roman" w:hAnsi="Times New Roman" w:cs="Times New Roman"/>
          <w:kern w:val="0"/>
          <w:sz w:val="22"/>
        </w:rPr>
        <w:t xml:space="preserve"> expression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association</w:t>
      </w:r>
      <w:r w:rsidRPr="00333BF0">
        <w:rPr>
          <w:rFonts w:ascii="Times New Roman" w:eastAsia="Times New Roman" w:hAnsi="Times New Roman" w:cs="Times New Roman"/>
          <w:kern w:val="0"/>
          <w:sz w:val="22"/>
        </w:rPr>
        <w:t xml:space="preserve"> (based on 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48 </w:t>
      </w:r>
      <w:r w:rsidRPr="00333BF0">
        <w:rPr>
          <w:rFonts w:ascii="Times New Roman" w:eastAsia="Times New Roman" w:hAnsi="Times New Roman" w:cs="Times New Roman"/>
          <w:kern w:val="0"/>
          <w:sz w:val="22"/>
        </w:rPr>
        <w:t>GTEx tissues). No genes reached genome-wide significance in TWAS analys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es of long COVID-related GWASs. </w:t>
      </w:r>
      <w:r w:rsidRPr="00333BF0">
        <w:rPr>
          <w:rFonts w:ascii="Times New Roman" w:eastAsia="Times New Roman" w:hAnsi="Times New Roman" w:cs="Times New Roman"/>
          <w:kern w:val="0"/>
          <w:sz w:val="22"/>
        </w:rPr>
        <w:t>(B) Manhattan plots depicting TWAS results for COVID-19 susceptibility and hospitalization (HGI datasets), as well as long COVID GWASs derived from four distinct case-control designs. Each dot represents a gene, with its genomic position along the x-axis and -log10(</w:t>
      </w:r>
      <w:r w:rsidRPr="00D15E13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333BF0">
        <w:rPr>
          <w:rFonts w:ascii="Times New Roman" w:eastAsia="Times New Roman" w:hAnsi="Times New Roman" w:cs="Times New Roman"/>
          <w:kern w:val="0"/>
          <w:sz w:val="22"/>
        </w:rPr>
        <w:t>) on the y-axis.</w:t>
      </w:r>
    </w:p>
    <w:p w14:paraId="6E9883F0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6C0A7968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S5</w:t>
      </w:r>
    </w:p>
    <w:p w14:paraId="68E08849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A16292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0ABEBF4D" wp14:editId="52BD9775">
            <wp:extent cx="5575300" cy="7466127"/>
            <wp:effectExtent l="0" t="0" r="6350" b="1905"/>
            <wp:docPr id="29" name="Picture 29" descr="E:\LongCOVID_HGI_GWAS\Multi_Long_GWAS_Integration\New_LongCOVID_GWAS_Publication_Materials2024\LongCOVID_Figures\longcovid_heat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ongCOVID_HGI_GWAS\Multi_Long_GWAS_Integration\New_LongCOVID_GWAS_Publication_Materials2024\LongCOVID_Figures\longcovid_heatma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84"/>
                    <a:stretch/>
                  </pic:blipFill>
                  <pic:spPr bwMode="auto">
                    <a:xfrm>
                      <a:off x="0" y="0"/>
                      <a:ext cx="5577342" cy="746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D93BF4" w14:textId="77777777" w:rsidR="00F37F72" w:rsidRPr="00B723AF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lastRenderedPageBreak/>
        <w:t>Figure S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5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op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i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dentified from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tudies (TWAS) of COVID-19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usceptibility and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h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ospitalization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c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 xml:space="preserve">orresponding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>ong COVID-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B723AF">
        <w:rPr>
          <w:rFonts w:ascii="Times New Roman" w:eastAsia="Times New Roman" w:hAnsi="Times New Roman" w:cs="Times New Roman"/>
          <w:b/>
          <w:kern w:val="0"/>
          <w:sz w:val="22"/>
        </w:rPr>
        <w:t>elated TWASs</w:t>
      </w:r>
    </w:p>
    <w:p w14:paraId="10DDB48B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6D0E7D">
        <w:rPr>
          <w:rFonts w:ascii="Times New Roman" w:eastAsia="Times New Roman" w:hAnsi="Times New Roman" w:cs="Times New Roman"/>
          <w:kern w:val="0"/>
          <w:sz w:val="22"/>
        </w:rPr>
        <w:t>Heatmap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displaying the significance (</w:t>
      </w:r>
      <w:r w:rsidRPr="004E32DA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) of top genes identified in TWAS analyses of COVID-19 susceptibility and hospitalization across multiple tissues in long COVID-related TWASs. Each cell represents the </w:t>
      </w:r>
      <w:r w:rsidRPr="004E32DA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for the association of a gene with long COVID in a specific tissue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from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GTEx data</w:t>
      </w:r>
      <w:r>
        <w:rPr>
          <w:rFonts w:ascii="Times New Roman" w:eastAsia="Times New Roman" w:hAnsi="Times New Roman" w:cs="Times New Roman"/>
          <w:kern w:val="0"/>
          <w:sz w:val="22"/>
        </w:rPr>
        <w:t>base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>. The color gradient denotes statistical significance: blue (</w:t>
      </w:r>
      <w:r w:rsidRPr="004E32DA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&gt; 0.05), yellow (</w:t>
      </w:r>
      <w:r w:rsidRPr="004E32DA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&lt; 0.05), and red (</w:t>
      </w:r>
      <w:r w:rsidRPr="004E32DA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&lt; 1E-6). Rows are </w:t>
      </w:r>
      <w:r>
        <w:rPr>
          <w:rFonts w:ascii="Times New Roman" w:eastAsia="Times New Roman" w:hAnsi="Times New Roman" w:cs="Times New Roman"/>
          <w:kern w:val="0"/>
          <w:sz w:val="22"/>
        </w:rPr>
        <w:t>sorted</w:t>
      </w:r>
      <w:r w:rsidRPr="006D0E7D">
        <w:rPr>
          <w:rFonts w:ascii="Times New Roman" w:eastAsia="Times New Roman" w:hAnsi="Times New Roman" w:cs="Times New Roman"/>
          <w:kern w:val="0"/>
          <w:sz w:val="22"/>
        </w:rPr>
        <w:t xml:space="preserve"> by genes, and columns represent tissues, allowing visualization of tissue-specific patterns of gene expression relevance.</w:t>
      </w: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2463F51D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S6</w:t>
      </w:r>
    </w:p>
    <w:p w14:paraId="29BF315A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1822DA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4E683CF8" wp14:editId="0FF7CB4A">
            <wp:extent cx="5943600" cy="6271260"/>
            <wp:effectExtent l="0" t="0" r="0" b="0"/>
            <wp:docPr id="11" name="Picture 11" descr="E:\LongCOVID_HGI_GWAS\Multi_Long_GWAS_Integration\New_LongCOVID_GWAS_Publication_Materials2024\LongCOVID_Figures\Figures1_to_8_simplified_Jan-04_2025\Slid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ongCOVID_HGI_GWAS\Multi_Long_GWAS_Integration\New_LongCOVID_GWAS_Publication_Materials2024\LongCOVID_Figures\Figures1_to_8_simplified_Jan-04_2025\Slide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4" b="14722"/>
                    <a:stretch/>
                  </pic:blipFill>
                  <pic:spPr bwMode="auto">
                    <a:xfrm>
                      <a:off x="0" y="0"/>
                      <a:ext cx="5943600" cy="627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D51F0A" w14:textId="77777777" w:rsidR="00F37F72" w:rsidRPr="00F41D95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S6. Other top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isk SNPs (n=29) in long COVID-19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F41D95">
        <w:rPr>
          <w:rFonts w:ascii="Times New Roman" w:eastAsia="Times New Roman" w:hAnsi="Times New Roman" w:cs="Times New Roman"/>
          <w:b/>
          <w:kern w:val="0"/>
          <w:sz w:val="22"/>
        </w:rPr>
        <w:t>tudies (TWASs)</w:t>
      </w:r>
    </w:p>
    <w:p w14:paraId="59149833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t xml:space="preserve">Bar plots illustrating the best </w:t>
      </w:r>
      <w:r w:rsidRPr="00F41D95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for genes a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kern w:val="0"/>
          <w:sz w:val="22"/>
        </w:rPr>
        <w:t>l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kern w:val="0"/>
          <w:sz w:val="22"/>
        </w:rPr>
        <w:t>r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isk SNPs (n=</w:t>
      </w:r>
      <w:r>
        <w:rPr>
          <w:rFonts w:ascii="Times New Roman" w:eastAsia="Times New Roman" w:hAnsi="Times New Roman" w:cs="Times New Roman"/>
          <w:kern w:val="0"/>
          <w:sz w:val="22"/>
        </w:rPr>
        <w:t>29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) </w:t>
      </w:r>
      <w:r>
        <w:rPr>
          <w:rFonts w:ascii="Times New Roman" w:eastAsia="Times New Roman" w:hAnsi="Times New Roman" w:cs="Times New Roman"/>
          <w:kern w:val="0"/>
          <w:sz w:val="22"/>
        </w:rPr>
        <w:t>in 4 l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ong COVID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TWASs across 48 GTEx tissues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.</w:t>
      </w: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061FC701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S7</w:t>
      </w:r>
    </w:p>
    <w:p w14:paraId="0C22291D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C413FE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303E9D84" wp14:editId="6D2D9D4D">
            <wp:extent cx="5329327" cy="7269748"/>
            <wp:effectExtent l="0" t="0" r="5080" b="7620"/>
            <wp:docPr id="14" name="Picture 14" descr="E:\LongCOVID_HGI_GWAS\Multi_Long_GWAS_Integration\New_LongCOVID_GWAS_Publication_Materials2024\LongCOVID_Figures\Figures1_to_8_simplified_Jan-04_2025\Slid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LongCOVID_HGI_GWAS\Multi_Long_GWAS_Integration\New_LongCOVID_GWAS_Publication_Materials2024\LongCOVID_Figures\Figures1_to_8_simplified_Jan-04_2025\Slide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2"/>
                    <a:stretch/>
                  </pic:blipFill>
                  <pic:spPr bwMode="auto">
                    <a:xfrm>
                      <a:off x="0" y="0"/>
                      <a:ext cx="5330932" cy="727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8FF669" w14:textId="77777777" w:rsidR="00F37F72" w:rsidRPr="00C21559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lastRenderedPageBreak/>
        <w:t>Figure S7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. Evaluation of t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op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isk SNPs (n=62)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 xml:space="preserve">tudies (TWAS)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C21559">
        <w:rPr>
          <w:rFonts w:ascii="Times New Roman" w:eastAsia="Times New Roman" w:hAnsi="Times New Roman" w:cs="Times New Roman"/>
          <w:b/>
          <w:kern w:val="0"/>
          <w:sz w:val="22"/>
        </w:rPr>
        <w:t>ong COVID across 48 GTEx tissues</w:t>
      </w:r>
    </w:p>
    <w:p w14:paraId="4EECC873" w14:textId="77777777" w:rsidR="00F37F7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2"/>
        </w:rPr>
      </w:pP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(A) Bar plot showing the </w:t>
      </w:r>
      <w:r>
        <w:rPr>
          <w:rFonts w:ascii="Times New Roman" w:eastAsia="Times New Roman" w:hAnsi="Times New Roman" w:cs="Times New Roman"/>
          <w:kern w:val="0"/>
          <w:sz w:val="22"/>
        </w:rPr>
        <w:t>number of SNP-gene pairs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passed the nominal TWAS association threshold in GTEx tissues. Note SNP-gene pair is defined by combining 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prioritized long COVID risk SNPs 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with its adjacent genes. 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(B) Heatmap depicting the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 significance (</w:t>
      </w:r>
      <w:r w:rsidRPr="003D117B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) of </w:t>
      </w:r>
      <w:r>
        <w:rPr>
          <w:rFonts w:ascii="Times New Roman" w:eastAsia="Times New Roman" w:hAnsi="Times New Roman" w:cs="Times New Roman"/>
          <w:kern w:val="0"/>
          <w:sz w:val="22"/>
        </w:rPr>
        <w:t>SNP-gene pairs across 48 GTEx tissues in long COVID TWASs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. Each cell r</w:t>
      </w:r>
      <w:r>
        <w:rPr>
          <w:rFonts w:ascii="Times New Roman" w:eastAsia="Times New Roman" w:hAnsi="Times New Roman" w:cs="Times New Roman"/>
          <w:kern w:val="0"/>
          <w:sz w:val="22"/>
        </w:rPr>
        <w:t xml:space="preserve">epresents the </w:t>
      </w:r>
      <w:r w:rsidRPr="003D117B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for a specific gene in a given tissue, with a color gradient indicating statistical significance: </w:t>
      </w:r>
      <w:r>
        <w:rPr>
          <w:rFonts w:ascii="Times New Roman" w:eastAsia="Times New Roman" w:hAnsi="Times New Roman" w:cs="Times New Roman"/>
          <w:kern w:val="0"/>
          <w:sz w:val="22"/>
        </w:rPr>
        <w:t>white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(</w:t>
      </w:r>
      <w:r w:rsidRPr="003D117B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&gt; 0.05), yellow (</w:t>
      </w:r>
      <w:r w:rsidRPr="003D117B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&lt; 0.05), and red (</w:t>
      </w:r>
      <w:r w:rsidRPr="003D117B">
        <w:rPr>
          <w:rFonts w:ascii="Times New Roman" w:eastAsia="Times New Roman" w:hAnsi="Times New Roman" w:cs="Times New Roman"/>
          <w:i/>
          <w:kern w:val="0"/>
          <w:sz w:val="22"/>
        </w:rPr>
        <w:t>P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 xml:space="preserve"> &lt; 1E-6). Genes </w:t>
      </w:r>
      <w:r>
        <w:rPr>
          <w:rFonts w:ascii="Times New Roman" w:eastAsia="Times New Roman" w:hAnsi="Times New Roman" w:cs="Times New Roman"/>
          <w:kern w:val="0"/>
          <w:sz w:val="22"/>
        </w:rPr>
        <w:t>are sorted by SNP-gene pair and TWAS names</w:t>
      </w:r>
      <w:r w:rsidRPr="0002272B">
        <w:rPr>
          <w:rFonts w:ascii="Times New Roman" w:eastAsia="Times New Roman" w:hAnsi="Times New Roman" w:cs="Times New Roman"/>
          <w:kern w:val="0"/>
          <w:sz w:val="22"/>
        </w:rPr>
        <w:t>.</w:t>
      </w:r>
    </w:p>
    <w:p w14:paraId="6CD2C75B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</w:p>
    <w:p w14:paraId="6D36D741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6BECD9B6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S8</w:t>
      </w:r>
    </w:p>
    <w:p w14:paraId="78691A1E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5D447B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09F896B3" wp14:editId="20BA1118">
            <wp:extent cx="5581650" cy="7143750"/>
            <wp:effectExtent l="0" t="0" r="0" b="0"/>
            <wp:docPr id="13" name="Picture 13" descr="E:\LongCOVID_HGI_GWAS\Multi_Long_GWAS_Integration\New_LongCOVID_GWAS_Publication_Materials2024\LongCOVID_Figures\Figures1_to_8_simplified_Jan-06_2025\Slide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ngCOVID_HGI_GWAS\Multi_Long_GWAS_Integration\New_LongCOVID_GWAS_Publication_Materials2024\LongCOVID_Figures\Figures1_to_8_simplified_Jan-06_2025\Slide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53" b="713"/>
                    <a:stretch/>
                  </pic:blipFill>
                  <pic:spPr bwMode="auto">
                    <a:xfrm>
                      <a:off x="0" y="0"/>
                      <a:ext cx="5583199" cy="714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BEC9A" w14:textId="77777777" w:rsidR="00F37F72" w:rsidRPr="0010087F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10087F">
        <w:rPr>
          <w:rFonts w:ascii="Times New Roman" w:eastAsia="Times New Roman" w:hAnsi="Times New Roman" w:cs="Times New Roman"/>
          <w:b/>
          <w:kern w:val="0"/>
          <w:sz w:val="22"/>
        </w:rPr>
        <w:t>Figure S8. Evaluation of genes adjacent to prioritized long COVID risk SNP rs17219281 (</w:t>
      </w:r>
      <w:r>
        <w:rPr>
          <w:rFonts w:ascii="Times New Roman" w:eastAsia="Times New Roman" w:hAnsi="Times New Roman" w:cs="Times New Roman"/>
          <w:b/>
          <w:i/>
          <w:kern w:val="0"/>
          <w:sz w:val="22"/>
        </w:rPr>
        <w:t>HLA-DQA1</w:t>
      </w:r>
      <w:r w:rsidRPr="0010087F">
        <w:rPr>
          <w:rFonts w:ascii="Times New Roman" w:eastAsia="Times New Roman" w:hAnsi="Times New Roman" w:cs="Times New Roman"/>
          <w:b/>
          <w:kern w:val="0"/>
          <w:sz w:val="22"/>
        </w:rPr>
        <w:t>) in phenome-transcriptome-wide association studies (pheno-TWAS) across 48 GTEx tissues</w:t>
      </w:r>
      <w:r w:rsidRPr="0010087F">
        <w:rPr>
          <w:rFonts w:ascii="Times New Roman" w:eastAsia="Times New Roman" w:hAnsi="Times New Roman" w:cs="Times New Roman"/>
          <w:b/>
          <w:kern w:val="0"/>
          <w:sz w:val="22"/>
        </w:rPr>
        <w:br w:type="page"/>
      </w:r>
    </w:p>
    <w:p w14:paraId="1150CBF4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S9</w:t>
      </w:r>
    </w:p>
    <w:p w14:paraId="63AD1ACB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C459BF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1D2E84D0" wp14:editId="1CA9D0CB">
            <wp:extent cx="5801360" cy="7339821"/>
            <wp:effectExtent l="0" t="0" r="8890" b="0"/>
            <wp:docPr id="18" name="Picture 18" descr="E:\LongCOVID_HGI_GWAS\Multi_Long_GWAS_Integration\New_LongCOVID_GWAS_Publication_Materials2024\LongCOVID_Figures\Figures1_to_8_simplified_Jan-06_2025\Slide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ongCOVID_HGI_GWAS\Multi_Long_GWAS_Integration\New_LongCOVID_GWAS_Publication_Materials2024\LongCOVID_Figures\Figures1_to_8_simplified_Jan-06_2025\Slide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14" b="1511"/>
                    <a:stretch/>
                  </pic:blipFill>
                  <pic:spPr bwMode="auto">
                    <a:xfrm>
                      <a:off x="0" y="0"/>
                      <a:ext cx="5803004" cy="734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9BEB5" w14:textId="77777777" w:rsidR="00F37F72" w:rsidRPr="00F74E62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S9.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>isk SNP rs9260038 (</w:t>
      </w:r>
      <w:r w:rsidRPr="00F81391">
        <w:rPr>
          <w:rFonts w:ascii="Times New Roman" w:eastAsia="Times New Roman" w:hAnsi="Times New Roman" w:cs="Times New Roman"/>
          <w:b/>
          <w:i/>
          <w:kern w:val="0"/>
          <w:sz w:val="22"/>
        </w:rPr>
        <w:t>HLA-A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BA0D2F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5C45DAE0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S10</w:t>
      </w:r>
    </w:p>
    <w:p w14:paraId="7EEABB42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1D3A3E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39BBBC2F" wp14:editId="722F3901">
            <wp:extent cx="5634990" cy="7277100"/>
            <wp:effectExtent l="0" t="0" r="3810" b="0"/>
            <wp:docPr id="19" name="Picture 19" descr="E:\LongCOVID_HGI_GWAS\Multi_Long_GWAS_Integration\New_LongCOVID_GWAS_Publication_Materials2024\LongCOVID_Figures\Figures1_to_8_simplified_Jan-06_2025\Slid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ngCOVID_HGI_GWAS\Multi_Long_GWAS_Integration\New_LongCOVID_GWAS_Publication_Materials2024\LongCOVID_Figures\Figures1_to_8_simplified_Jan-06_2025\Slide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08" b="923"/>
                    <a:stretch/>
                  </pic:blipFill>
                  <pic:spPr bwMode="auto">
                    <a:xfrm>
                      <a:off x="0" y="0"/>
                      <a:ext cx="5636527" cy="727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EDBCD" w14:textId="77777777" w:rsidR="00F37F72" w:rsidRPr="003B7AA6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S10.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>isk SNP rs1634761 (</w:t>
      </w:r>
      <w:r w:rsidRPr="004E36C8">
        <w:rPr>
          <w:rFonts w:ascii="Times New Roman" w:eastAsia="Times New Roman" w:hAnsi="Times New Roman" w:cs="Times New Roman"/>
          <w:b/>
          <w:i/>
          <w:kern w:val="0"/>
          <w:sz w:val="22"/>
        </w:rPr>
        <w:t>HLA-C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747376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50E2EEA9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S11</w:t>
      </w:r>
    </w:p>
    <w:p w14:paraId="2CEAA329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5F4F47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18AAC4B7" wp14:editId="6A4962F1">
            <wp:extent cx="5404989" cy="7009428"/>
            <wp:effectExtent l="0" t="0" r="5715" b="1270"/>
            <wp:docPr id="24" name="Picture 24" descr="E:\LongCOVID_HGI_GWAS\Multi_Long_GWAS_Integration\New_LongCOVID_GWAS_Publication_Materials2024\LongCOVID_Figures\Figures1_to_8_simplified_Jan-06_2025\Slide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ongCOVID_HGI_GWAS\Multi_Long_GWAS_Integration\New_LongCOVID_GWAS_Publication_Materials2024\LongCOVID_Figures\Figures1_to_8_simplified_Jan-06_2025\Slide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39"/>
                    <a:stretch/>
                  </pic:blipFill>
                  <pic:spPr bwMode="auto">
                    <a:xfrm>
                      <a:off x="0" y="0"/>
                      <a:ext cx="5406835" cy="701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22699" w14:textId="77777777" w:rsidR="00F37F72" w:rsidRPr="003B7AA6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S11.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>isk SNP rs2834164 (</w:t>
      </w:r>
      <w:r w:rsidRPr="003B7AA6">
        <w:rPr>
          <w:rFonts w:ascii="Times New Roman" w:eastAsia="Times New Roman" w:hAnsi="Times New Roman" w:cs="Times New Roman"/>
          <w:b/>
          <w:i/>
          <w:kern w:val="0"/>
          <w:sz w:val="22"/>
        </w:rPr>
        <w:t>IFNAR2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3B7AA6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</w:p>
    <w:p w14:paraId="5C0F9917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5D70FB91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S12</w:t>
      </w:r>
    </w:p>
    <w:p w14:paraId="526FDF50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4D6A51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1C6595D0" wp14:editId="00311360">
            <wp:extent cx="5298236" cy="6845300"/>
            <wp:effectExtent l="0" t="0" r="0" b="0"/>
            <wp:docPr id="25" name="Picture 25" descr="E:\LongCOVID_HGI_GWAS\Multi_Long_GWAS_Integration\New_LongCOVID_GWAS_Publication_Materials2024\LongCOVID_Figures\Figures1_to_8_simplified_Jan-06_2025\Slide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ongCOVID_HGI_GWAS\Multi_Long_GWAS_Integration\New_LongCOVID_GWAS_Publication_Materials2024\LongCOVID_Figures\Figures1_to_8_simplified_Jan-06_2025\Slide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6" b="1523"/>
                    <a:stretch/>
                  </pic:blipFill>
                  <pic:spPr bwMode="auto">
                    <a:xfrm>
                      <a:off x="0" y="0"/>
                      <a:ext cx="5300703" cy="684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D6E0A6" w14:textId="77777777" w:rsidR="00F37F72" w:rsidRPr="004A006E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S12.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>isk SNP rs9916158 (</w:t>
      </w:r>
      <w:r w:rsidRPr="00015FE2">
        <w:rPr>
          <w:rFonts w:ascii="Times New Roman" w:eastAsia="Times New Roman" w:hAnsi="Times New Roman" w:cs="Times New Roman"/>
          <w:b/>
          <w:i/>
          <w:kern w:val="0"/>
          <w:sz w:val="22"/>
        </w:rPr>
        <w:t>GSDMA/B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015FE2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5674F8F3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S13</w:t>
      </w:r>
    </w:p>
    <w:p w14:paraId="607F6867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8E2302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75C0EFF0" wp14:editId="05C1AE86">
            <wp:extent cx="5701665" cy="6953250"/>
            <wp:effectExtent l="0" t="0" r="0" b="0"/>
            <wp:docPr id="26" name="Picture 26" descr="E:\LongCOVID_HGI_GWAS\Multi_Long_GWAS_Integration\New_LongCOVID_GWAS_Publication_Materials2024\LongCOVID_Figures\Figures1_to_8_simplified_Jan-06_2025\Slide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LongCOVID_HGI_GWAS\Multi_Long_GWAS_Integration\New_LongCOVID_GWAS_Publication_Materials2024\LongCOVID_Figures\Figures1_to_8_simplified_Jan-06_2025\Slide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67" b="3856"/>
                    <a:stretch/>
                  </pic:blipFill>
                  <pic:spPr bwMode="auto">
                    <a:xfrm>
                      <a:off x="0" y="0"/>
                      <a:ext cx="5703232" cy="695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D5275D" w14:textId="77777777" w:rsidR="00F37F72" w:rsidRPr="004A006E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S13.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>isk SNP rs12602210 (</w:t>
      </w:r>
      <w:r w:rsidRPr="004A006E">
        <w:rPr>
          <w:rFonts w:ascii="Times New Roman" w:eastAsia="Times New Roman" w:hAnsi="Times New Roman" w:cs="Times New Roman"/>
          <w:b/>
          <w:i/>
          <w:kern w:val="0"/>
          <w:sz w:val="22"/>
        </w:rPr>
        <w:t>BPTF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4A006E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</w:p>
    <w:p w14:paraId="1653DC80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2A3ED971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S14</w:t>
      </w:r>
    </w:p>
    <w:p w14:paraId="48288DB5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2821F0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7250EE91" wp14:editId="25DD311B">
            <wp:extent cx="5942565" cy="5080000"/>
            <wp:effectExtent l="0" t="0" r="1270" b="6350"/>
            <wp:docPr id="27" name="Picture 27" descr="E:\LongCOVID_HGI_GWAS\Multi_Long_GWAS_Integration\New_LongCOVID_GWAS_Publication_Materials2024\LongCOVID_Figures\Figures1_to_8_simplified_Jan-06_2025\Slide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LongCOVID_HGI_GWAS\Multi_Long_GWAS_Integration\New_LongCOVID_GWAS_Publication_Materials2024\LongCOVID_Figures\Figures1_to_8_simplified_Jan-06_2025\Slide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88" b="20073"/>
                    <a:stretch/>
                  </pic:blipFill>
                  <pic:spPr bwMode="auto">
                    <a:xfrm>
                      <a:off x="0" y="0"/>
                      <a:ext cx="5943600" cy="508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1216F" w14:textId="77777777" w:rsidR="00F37F72" w:rsidRPr="00CC5481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S14.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isk SNP rs79611697 (</w:t>
      </w:r>
      <w:r w:rsidRPr="00CC5481">
        <w:rPr>
          <w:rFonts w:ascii="Times New Roman" w:eastAsia="Times New Roman" w:hAnsi="Times New Roman" w:cs="Times New Roman"/>
          <w:b/>
          <w:i/>
          <w:kern w:val="0"/>
          <w:sz w:val="22"/>
        </w:rPr>
        <w:t>CCDC171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</w:p>
    <w:p w14:paraId="2FFC8082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br w:type="page"/>
      </w:r>
    </w:p>
    <w:p w14:paraId="04DAC542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>
        <w:rPr>
          <w:rFonts w:ascii="Times New Roman" w:eastAsia="Times New Roman" w:hAnsi="Times New Roman" w:cs="Times New Roman"/>
          <w:kern w:val="0"/>
          <w:sz w:val="22"/>
        </w:rPr>
        <w:lastRenderedPageBreak/>
        <w:t>Figure S15</w:t>
      </w:r>
    </w:p>
    <w:p w14:paraId="57CE3A22" w14:textId="77777777" w:rsidR="00F37F72" w:rsidRDefault="00F37F72" w:rsidP="00F37F72">
      <w:pPr>
        <w:widowControl/>
        <w:rPr>
          <w:rFonts w:ascii="Times New Roman" w:eastAsia="Times New Roman" w:hAnsi="Times New Roman" w:cs="Times New Roman"/>
          <w:kern w:val="0"/>
          <w:sz w:val="22"/>
        </w:rPr>
      </w:pPr>
      <w:r w:rsidRPr="007E6047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31B1992C" wp14:editId="054E07F4">
            <wp:extent cx="5359355" cy="7012681"/>
            <wp:effectExtent l="0" t="0" r="0" b="0"/>
            <wp:docPr id="28" name="Picture 28" descr="E:\LongCOVID_HGI_GWAS\Multi_Long_GWAS_Integration\New_LongCOVID_GWAS_Publication_Materials2024\LongCOVID_Figures\Figures1_to_8_simplified_Jan-06_2025\Slide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LongCOVID_HGI_GWAS\Multi_Long_GWAS_Integration\New_LongCOVID_GWAS_Publication_Materials2024\LongCOVID_Figures\Figures1_to_8_simplified_Jan-06_2025\Slide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8"/>
                    <a:stretch/>
                  </pic:blipFill>
                  <pic:spPr bwMode="auto">
                    <a:xfrm>
                      <a:off x="0" y="0"/>
                      <a:ext cx="5361522" cy="701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91D4B" w14:textId="77777777" w:rsidR="00F37F72" w:rsidRPr="00CC5481" w:rsidRDefault="00F37F72" w:rsidP="00F37F72">
      <w:pPr>
        <w:widowControl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kern w:val="0"/>
          <w:sz w:val="22"/>
        </w:rPr>
      </w:pP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Figure S15. Evaluation of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g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enes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djacent to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rioritized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l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ong COVID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r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isk SNP rs12660421 (</w:t>
      </w:r>
      <w:r w:rsidRPr="00CC5481">
        <w:rPr>
          <w:rFonts w:ascii="Times New Roman" w:eastAsia="Times New Roman" w:hAnsi="Times New Roman" w:cs="Times New Roman"/>
          <w:b/>
          <w:i/>
          <w:kern w:val="0"/>
          <w:sz w:val="22"/>
        </w:rPr>
        <w:t>FOXP4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) in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henome-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t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ranscriptome-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w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ide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a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 xml:space="preserve">ssociation 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s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tudies (</w:t>
      </w:r>
      <w:r>
        <w:rPr>
          <w:rFonts w:ascii="Times New Roman" w:eastAsia="Times New Roman" w:hAnsi="Times New Roman" w:cs="Times New Roman"/>
          <w:b/>
          <w:kern w:val="0"/>
          <w:sz w:val="22"/>
        </w:rPr>
        <w:t>p</w:t>
      </w:r>
      <w:r w:rsidRPr="00CC5481">
        <w:rPr>
          <w:rFonts w:ascii="Times New Roman" w:eastAsia="Times New Roman" w:hAnsi="Times New Roman" w:cs="Times New Roman"/>
          <w:b/>
          <w:kern w:val="0"/>
          <w:sz w:val="22"/>
        </w:rPr>
        <w:t>heno-TWAS) across 48 GTEx tissues</w:t>
      </w:r>
    </w:p>
    <w:p w14:paraId="16059227" w14:textId="77777777" w:rsidR="00F37F72" w:rsidRDefault="00F37F72" w:rsidP="00F37F72">
      <w:pPr>
        <w:widowControl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7F84267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72"/>
    <w:rsid w:val="002978F5"/>
    <w:rsid w:val="003852CF"/>
    <w:rsid w:val="004E780C"/>
    <w:rsid w:val="00A70E90"/>
    <w:rsid w:val="00F37F7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217D7"/>
  <w15:chartTrackingRefBased/>
  <w15:docId w15:val="{63191B2E-8BD7-4343-8BC8-C4F45C504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F72"/>
    <w:pPr>
      <w:widowControl w:val="0"/>
      <w:suppressAutoHyphens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7F72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F72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F72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F72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F72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F72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F72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F72"/>
    <w:pPr>
      <w:keepNext/>
      <w:keepLines/>
      <w:widowControl/>
      <w:suppressAutoHyphens w:val="0"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F72"/>
    <w:pPr>
      <w:keepNext/>
      <w:keepLines/>
      <w:widowControl/>
      <w:suppressAutoHyphens w:val="0"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F72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7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F72"/>
    <w:pPr>
      <w:widowControl/>
      <w:numPr>
        <w:ilvl w:val="1"/>
      </w:numPr>
      <w:suppressAutoHyphens w:val="0"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7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F72"/>
    <w:pPr>
      <w:widowControl/>
      <w:suppressAutoHyphens w:val="0"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7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F72"/>
    <w:pPr>
      <w:widowControl/>
      <w:suppressAutoHyphens w:val="0"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7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F7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F7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F37F72"/>
    <w:pPr>
      <w:widowControl/>
      <w:spacing w:beforeAutospacing="1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705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2025-03-31T07:14:00Z</dcterms:created>
  <dcterms:modified xsi:type="dcterms:W3CDTF">2025-03-31T07:14:00Z</dcterms:modified>
</cp:coreProperties>
</file>