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16E08" w14:textId="13E6EEBE" w:rsidR="006B6784" w:rsidRPr="005F66E3" w:rsidRDefault="006B6784" w:rsidP="006B6784">
      <w:pPr>
        <w:ind w:firstLine="442"/>
        <w:rPr>
          <w:b/>
          <w:bCs/>
          <w:sz w:val="22"/>
          <w:szCs w:val="24"/>
        </w:rPr>
      </w:pPr>
      <w:r>
        <w:rPr>
          <w:b/>
          <w:bCs/>
          <w:sz w:val="22"/>
          <w:szCs w:val="24"/>
        </w:rPr>
        <w:t>F</w:t>
      </w:r>
      <w:r w:rsidRPr="005F66E3">
        <w:rPr>
          <w:b/>
          <w:bCs/>
          <w:sz w:val="22"/>
          <w:szCs w:val="24"/>
        </w:rPr>
        <w:t>igure</w:t>
      </w:r>
      <w:r>
        <w:rPr>
          <w:b/>
          <w:bCs/>
          <w:sz w:val="22"/>
          <w:szCs w:val="24"/>
        </w:rPr>
        <w:t xml:space="preserve"> Legends.</w:t>
      </w:r>
      <w:r w:rsidRPr="005F66E3">
        <w:rPr>
          <w:b/>
          <w:bCs/>
          <w:sz w:val="22"/>
          <w:szCs w:val="24"/>
        </w:rPr>
        <w:t xml:space="preserve"> </w:t>
      </w:r>
    </w:p>
    <w:p w14:paraId="5A45DAB7" w14:textId="77777777" w:rsidR="006B6784" w:rsidRDefault="006B6784" w:rsidP="006B6784">
      <w:pPr>
        <w:ind w:firstLineChars="0" w:firstLine="0"/>
        <w:rPr>
          <w:b/>
          <w:bCs/>
        </w:rPr>
      </w:pPr>
    </w:p>
    <w:p w14:paraId="271D1BC3" w14:textId="59EC5355" w:rsidR="00735254" w:rsidRPr="006B6784" w:rsidRDefault="001E2918" w:rsidP="006B6784">
      <w:pPr>
        <w:ind w:firstLineChars="0" w:firstLine="0"/>
        <w:rPr>
          <w:b/>
          <w:bCs/>
        </w:rPr>
      </w:pPr>
      <w:r w:rsidRPr="006B6784">
        <w:rPr>
          <w:b/>
          <w:bCs/>
        </w:rPr>
        <w:t>Figure 1. Venn diagram of DEHP and RCC.</w:t>
      </w:r>
    </w:p>
    <w:p w14:paraId="30A9D462" w14:textId="7413347D" w:rsidR="00EF66AB" w:rsidRPr="006B6784" w:rsidRDefault="00735254" w:rsidP="006B6784">
      <w:pPr>
        <w:ind w:firstLineChars="0" w:firstLine="0"/>
        <w:rPr>
          <w:b/>
          <w:bCs/>
        </w:rPr>
      </w:pPr>
      <w:r w:rsidRPr="006B6784">
        <w:rPr>
          <w:b/>
          <w:bCs/>
        </w:rPr>
        <w:t>Figure 2. The PPI network of potential targets.</w:t>
      </w:r>
    </w:p>
    <w:p w14:paraId="2EE93301" w14:textId="5F418E97" w:rsidR="00735254" w:rsidRPr="006B6784" w:rsidRDefault="00735254" w:rsidP="006B6784">
      <w:pPr>
        <w:ind w:firstLineChars="0" w:firstLine="0"/>
        <w:rPr>
          <w:b/>
          <w:bCs/>
        </w:rPr>
      </w:pPr>
      <w:r w:rsidRPr="006B6784">
        <w:rPr>
          <w:b/>
          <w:bCs/>
        </w:rPr>
        <w:t>Figure 3. The PPI network of core targets.</w:t>
      </w:r>
    </w:p>
    <w:p w14:paraId="37EBA2BB" w14:textId="77777777" w:rsidR="00735254" w:rsidRDefault="00735254" w:rsidP="00735254">
      <w:pPr>
        <w:ind w:firstLineChars="95" w:firstLine="199"/>
      </w:pPr>
    </w:p>
    <w:p w14:paraId="2F3EAF71" w14:textId="77777777" w:rsidR="006B6784" w:rsidRPr="006B6784" w:rsidRDefault="006B6784" w:rsidP="006B6784">
      <w:pPr>
        <w:ind w:firstLineChars="0" w:firstLine="0"/>
        <w:rPr>
          <w:b/>
          <w:bCs/>
        </w:rPr>
      </w:pPr>
      <w:r w:rsidRPr="006B6784">
        <w:rPr>
          <w:b/>
          <w:bCs/>
        </w:rPr>
        <w:t>Figure 4. GO enrichment analysis for potential targets.</w:t>
      </w:r>
    </w:p>
    <w:p w14:paraId="7E090394" w14:textId="1A0CCD85" w:rsidR="00735254" w:rsidRDefault="006B6784" w:rsidP="006B6784">
      <w:pPr>
        <w:ind w:firstLineChars="0" w:firstLine="0"/>
      </w:pPr>
      <w:r>
        <w:t>(A) Histogram showing the top 10 enriched terms for each GO category (Biological Process, Cellular Component, Molecular Function). Bar height indicates gene count for each term. (B) Bubble plot illustrating enrichment across GO terms. Bubble size reflects gene count, while color saturation represents enrichment significance (-log10(FDR)).</w:t>
      </w:r>
      <w:r w:rsidR="00625A20">
        <w:t xml:space="preserve"> </w:t>
      </w:r>
    </w:p>
    <w:p w14:paraId="563D8158" w14:textId="77777777" w:rsidR="00735254" w:rsidRDefault="00735254" w:rsidP="00735254">
      <w:pPr>
        <w:ind w:firstLineChars="95" w:firstLine="199"/>
      </w:pPr>
    </w:p>
    <w:p w14:paraId="52DC91EB" w14:textId="77777777" w:rsidR="006B6784" w:rsidRPr="006B6784" w:rsidRDefault="006B6784" w:rsidP="006B6784">
      <w:pPr>
        <w:ind w:firstLineChars="0" w:firstLine="0"/>
        <w:rPr>
          <w:b/>
          <w:bCs/>
        </w:rPr>
      </w:pPr>
      <w:r w:rsidRPr="006B6784">
        <w:rPr>
          <w:b/>
          <w:bCs/>
        </w:rPr>
        <w:t xml:space="preserve">Figure 5. KEGG enrichment analysis of potential targets. </w:t>
      </w:r>
    </w:p>
    <w:p w14:paraId="1946A31C" w14:textId="72D6C301" w:rsidR="00735254" w:rsidRDefault="006B6784" w:rsidP="006B6784">
      <w:pPr>
        <w:ind w:firstLineChars="0" w:firstLine="0"/>
      </w:pPr>
      <w:r>
        <w:t>(A)Bubble plot of the top 20 enriched KEGG pathways, ranked by FDR. Bubble size represents the number of enriched genes, and color intensity indicates significance. (B) Histogram showing the gene counts for each enriched pathway. Bar length represents gene count, and colors denote pathway categories.</w:t>
      </w:r>
    </w:p>
    <w:p w14:paraId="14C23C6D" w14:textId="77777777" w:rsidR="006B6784" w:rsidRDefault="006B6784" w:rsidP="006B6784">
      <w:pPr>
        <w:ind w:firstLineChars="0" w:firstLine="0"/>
      </w:pPr>
    </w:p>
    <w:p w14:paraId="230A12F1" w14:textId="544F133C" w:rsidR="006B6784" w:rsidRPr="006B6784" w:rsidRDefault="006B6784" w:rsidP="006B6784">
      <w:pPr>
        <w:ind w:firstLineChars="0" w:firstLine="0"/>
        <w:rPr>
          <w:b/>
          <w:bCs/>
        </w:rPr>
      </w:pPr>
      <w:r w:rsidRPr="006B6784">
        <w:rPr>
          <w:b/>
          <w:bCs/>
        </w:rPr>
        <w:t>Figure 6. Sankey plot showing KEGG enrichment analysis.</w:t>
      </w:r>
    </w:p>
    <w:p w14:paraId="19C827EC" w14:textId="58459D7D" w:rsidR="00735254" w:rsidRDefault="006B6784" w:rsidP="006B6784">
      <w:pPr>
        <w:ind w:firstLineChars="0" w:firstLine="0"/>
      </w:pPr>
      <w:r>
        <w:t xml:space="preserve">This figure shows the top </w:t>
      </w:r>
      <w:r w:rsidR="00AF0EA3">
        <w:t>1</w:t>
      </w:r>
      <w:r>
        <w:t xml:space="preserve">0 KEGG pathways by FDR. Overlapping genes are linked by grey lines in the Sankey plot on the left. The bubble plot on the right </w:t>
      </w:r>
      <w:proofErr w:type="gramStart"/>
      <w:r>
        <w:t>shows</w:t>
      </w:r>
      <w:proofErr w:type="gramEnd"/>
      <w:r>
        <w:t xml:space="preserve"> gene counts (bubble size) and enrichment levels (color intensity, with deeper colors indicating higher -log10(P-value)).</w:t>
      </w:r>
    </w:p>
    <w:p w14:paraId="4F323ACC" w14:textId="77777777" w:rsidR="006B6784" w:rsidRDefault="006B6784" w:rsidP="006B6784">
      <w:pPr>
        <w:ind w:firstLineChars="0" w:firstLine="0"/>
      </w:pPr>
    </w:p>
    <w:p w14:paraId="62880943" w14:textId="77777777" w:rsidR="006B6784" w:rsidRPr="006B6784" w:rsidRDefault="006B6784" w:rsidP="006B6784">
      <w:pPr>
        <w:ind w:firstLineChars="0" w:firstLine="0"/>
        <w:rPr>
          <w:b/>
          <w:bCs/>
        </w:rPr>
      </w:pPr>
      <w:r w:rsidRPr="006B6784">
        <w:rPr>
          <w:b/>
          <w:bCs/>
        </w:rPr>
        <w:t>Figure 7. Molecular docking results of the lowest binding energy in each target protein with the DEHP.</w:t>
      </w:r>
    </w:p>
    <w:p w14:paraId="17D829A2" w14:textId="77777777" w:rsidR="006B6784" w:rsidRDefault="006B6784" w:rsidP="006B6784">
      <w:pPr>
        <w:ind w:firstLineChars="0" w:firstLine="0"/>
      </w:pPr>
      <w:r>
        <w:t xml:space="preserve">(A)CASP3 and DEHP, (B)BCL2 and DEHP, (C)MMP9 and DEHP, </w:t>
      </w:r>
    </w:p>
    <w:p w14:paraId="77AA0776" w14:textId="5AC1DA9B" w:rsidR="006B6784" w:rsidRDefault="006B6784" w:rsidP="006B6784">
      <w:pPr>
        <w:ind w:firstLineChars="0" w:firstLine="0"/>
      </w:pPr>
      <w:r>
        <w:t>(D)BCL2L1 and DEHP, (E)CTSS and DEHP, (F)APP and DEHP.</w:t>
      </w:r>
    </w:p>
    <w:p w14:paraId="138DD62C" w14:textId="77777777" w:rsidR="00981AA1" w:rsidRDefault="00981AA1" w:rsidP="006B6784">
      <w:pPr>
        <w:ind w:firstLineChars="0" w:firstLine="0"/>
      </w:pPr>
    </w:p>
    <w:p w14:paraId="0B16549A" w14:textId="77777777" w:rsidR="00981AA1" w:rsidRDefault="00981AA1" w:rsidP="006B6784">
      <w:pPr>
        <w:ind w:firstLineChars="0" w:firstLine="0"/>
      </w:pPr>
    </w:p>
    <w:p w14:paraId="22B6A578" w14:textId="77777777" w:rsidR="00981AA1" w:rsidRDefault="00981AA1" w:rsidP="006B6784">
      <w:pPr>
        <w:ind w:firstLineChars="0" w:firstLine="0"/>
      </w:pPr>
    </w:p>
    <w:p w14:paraId="3AE87BDD" w14:textId="77777777" w:rsidR="00981AA1" w:rsidRDefault="00981AA1" w:rsidP="006B6784">
      <w:pPr>
        <w:ind w:firstLineChars="0" w:firstLine="0"/>
      </w:pPr>
    </w:p>
    <w:p w14:paraId="72E42B36" w14:textId="77777777" w:rsidR="00981AA1" w:rsidRDefault="00981AA1" w:rsidP="006B6784">
      <w:pPr>
        <w:ind w:firstLineChars="0" w:firstLine="0"/>
      </w:pPr>
    </w:p>
    <w:p w14:paraId="5118E88D" w14:textId="77777777" w:rsidR="00981AA1" w:rsidRDefault="00981AA1" w:rsidP="006B6784">
      <w:pPr>
        <w:ind w:firstLineChars="0" w:firstLine="0"/>
      </w:pPr>
    </w:p>
    <w:p w14:paraId="2CF206C8" w14:textId="77777777" w:rsidR="00981AA1" w:rsidRDefault="00981AA1" w:rsidP="006B6784">
      <w:pPr>
        <w:ind w:firstLineChars="0" w:firstLine="0"/>
      </w:pPr>
    </w:p>
    <w:p w14:paraId="475D3929" w14:textId="77777777" w:rsidR="00981AA1" w:rsidRDefault="00981AA1" w:rsidP="006B6784">
      <w:pPr>
        <w:ind w:firstLineChars="0" w:firstLine="0"/>
      </w:pPr>
    </w:p>
    <w:p w14:paraId="27A20719" w14:textId="77777777" w:rsidR="00981AA1" w:rsidRDefault="00981AA1" w:rsidP="006B6784">
      <w:pPr>
        <w:ind w:firstLineChars="0" w:firstLine="0"/>
      </w:pPr>
    </w:p>
    <w:p w14:paraId="5869FD1C" w14:textId="77777777" w:rsidR="00981AA1" w:rsidRDefault="00981AA1" w:rsidP="006B6784">
      <w:pPr>
        <w:ind w:firstLineChars="0" w:firstLine="0"/>
      </w:pPr>
    </w:p>
    <w:p w14:paraId="687CC970" w14:textId="77777777" w:rsidR="00981AA1" w:rsidRDefault="00981AA1" w:rsidP="006B6784">
      <w:pPr>
        <w:ind w:firstLineChars="0" w:firstLine="0"/>
      </w:pPr>
    </w:p>
    <w:p w14:paraId="7EFBD8EF" w14:textId="77777777" w:rsidR="00981AA1" w:rsidRDefault="00981AA1" w:rsidP="006B6784">
      <w:pPr>
        <w:ind w:firstLineChars="0" w:firstLine="0"/>
      </w:pPr>
    </w:p>
    <w:p w14:paraId="01B18993" w14:textId="77777777" w:rsidR="00981AA1" w:rsidRDefault="00981AA1" w:rsidP="006B6784">
      <w:pPr>
        <w:ind w:firstLineChars="0" w:firstLine="0"/>
      </w:pPr>
    </w:p>
    <w:p w14:paraId="3BC0CE9D" w14:textId="77777777" w:rsidR="00981AA1" w:rsidRDefault="00981AA1" w:rsidP="006B6784">
      <w:pPr>
        <w:ind w:firstLineChars="0" w:firstLine="0"/>
      </w:pPr>
    </w:p>
    <w:p w14:paraId="4EBEA7D8" w14:textId="77777777" w:rsidR="00981AA1" w:rsidRDefault="00981AA1" w:rsidP="006B6784">
      <w:pPr>
        <w:ind w:firstLineChars="0" w:firstLine="0"/>
      </w:pPr>
    </w:p>
    <w:p w14:paraId="601410E3" w14:textId="77777777" w:rsidR="00981AA1" w:rsidRDefault="00981AA1" w:rsidP="006B6784">
      <w:pPr>
        <w:ind w:firstLineChars="0" w:firstLine="0"/>
      </w:pPr>
    </w:p>
    <w:p w14:paraId="1F6491DC" w14:textId="77777777" w:rsidR="00981AA1" w:rsidRDefault="00981AA1" w:rsidP="006B6784">
      <w:pPr>
        <w:ind w:firstLineChars="0" w:firstLine="0"/>
      </w:pPr>
    </w:p>
    <w:p w14:paraId="56C48AF7" w14:textId="77777777" w:rsidR="00981AA1" w:rsidRDefault="00981AA1" w:rsidP="006B6784">
      <w:pPr>
        <w:ind w:firstLineChars="0" w:firstLine="0"/>
      </w:pPr>
    </w:p>
    <w:p w14:paraId="16653181" w14:textId="77777777" w:rsidR="00981AA1" w:rsidRDefault="00981AA1" w:rsidP="006B6784">
      <w:pPr>
        <w:ind w:firstLineChars="0" w:firstLine="0"/>
      </w:pPr>
    </w:p>
    <w:p w14:paraId="1009023B" w14:textId="77777777" w:rsidR="00981AA1" w:rsidRDefault="00981AA1" w:rsidP="006B6784">
      <w:pPr>
        <w:ind w:firstLineChars="0" w:firstLine="0"/>
      </w:pPr>
    </w:p>
    <w:p w14:paraId="5FA3F4F8" w14:textId="77777777" w:rsidR="00981AA1" w:rsidRDefault="00981AA1" w:rsidP="006B6784">
      <w:pPr>
        <w:ind w:firstLineChars="0" w:firstLine="0"/>
      </w:pPr>
    </w:p>
    <w:p w14:paraId="1C9754DB" w14:textId="77777777" w:rsidR="00981AA1" w:rsidRDefault="00981AA1" w:rsidP="006B6784">
      <w:pPr>
        <w:ind w:firstLineChars="0" w:firstLine="0"/>
      </w:pPr>
    </w:p>
    <w:p w14:paraId="5DB74A33" w14:textId="156FBA15" w:rsidR="00981AA1" w:rsidRPr="00981AA1" w:rsidRDefault="00981AA1" w:rsidP="00981AA1">
      <w:pPr>
        <w:ind w:firstLineChars="0" w:firstLine="0"/>
        <w:rPr>
          <w:b/>
          <w:bCs/>
        </w:rPr>
      </w:pPr>
      <w:r w:rsidRPr="00981AA1">
        <w:lastRenderedPageBreak/>
        <w:drawing>
          <wp:anchor distT="0" distB="0" distL="114300" distR="114300" simplePos="0" relativeHeight="251659264" behindDoc="0" locked="0" layoutInCell="1" allowOverlap="1" wp14:anchorId="3CA95013" wp14:editId="585D7C20">
            <wp:simplePos x="0" y="0"/>
            <wp:positionH relativeFrom="margin">
              <wp:align>left</wp:align>
            </wp:positionH>
            <wp:positionV relativeFrom="paragraph">
              <wp:posOffset>349885</wp:posOffset>
            </wp:positionV>
            <wp:extent cx="6464935" cy="4407535"/>
            <wp:effectExtent l="0" t="0" r="0" b="0"/>
            <wp:wrapSquare wrapText="bothSides"/>
            <wp:docPr id="336824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t="13329" b="18491"/>
                    <a:stretch>
                      <a:fillRect/>
                    </a:stretch>
                  </pic:blipFill>
                  <pic:spPr bwMode="auto">
                    <a:xfrm>
                      <a:off x="0" y="0"/>
                      <a:ext cx="6464935" cy="4407535"/>
                    </a:xfrm>
                    <a:prstGeom prst="rect">
                      <a:avLst/>
                    </a:prstGeom>
                    <a:noFill/>
                  </pic:spPr>
                </pic:pic>
              </a:graphicData>
            </a:graphic>
            <wp14:sizeRelH relativeFrom="margin">
              <wp14:pctWidth>0</wp14:pctWidth>
            </wp14:sizeRelH>
            <wp14:sizeRelV relativeFrom="margin">
              <wp14:pctHeight>0</wp14:pctHeight>
            </wp14:sizeRelV>
          </wp:anchor>
        </w:drawing>
      </w:r>
      <w:r w:rsidRPr="00981AA1">
        <w:rPr>
          <w:b/>
          <w:bCs/>
        </w:rPr>
        <w:t xml:space="preserve">Figure Legends. </w:t>
      </w:r>
    </w:p>
    <w:p w14:paraId="5BA67A37" w14:textId="77777777" w:rsidR="00981AA1" w:rsidRPr="00981AA1" w:rsidRDefault="00981AA1" w:rsidP="00981AA1">
      <w:pPr>
        <w:ind w:firstLineChars="0" w:firstLine="0"/>
        <w:rPr>
          <w:b/>
          <w:bCs/>
        </w:rPr>
      </w:pPr>
      <w:r w:rsidRPr="00981AA1">
        <w:rPr>
          <w:b/>
          <w:bCs/>
        </w:rPr>
        <w:br/>
        <w:t>Figure 1. Venn diagram of the targets of DEHP and RCC.</w:t>
      </w:r>
    </w:p>
    <w:p w14:paraId="1CAB7B35" w14:textId="7ACFFCCC" w:rsidR="00981AA1" w:rsidRPr="00981AA1" w:rsidRDefault="00981AA1" w:rsidP="00981AA1">
      <w:pPr>
        <w:ind w:firstLineChars="0" w:firstLine="0"/>
        <w:rPr>
          <w:b/>
          <w:bCs/>
        </w:rPr>
      </w:pPr>
      <w:r w:rsidRPr="00981AA1">
        <w:rPr>
          <w:b/>
          <w:bCs/>
        </w:rPr>
        <w:br w:type="page"/>
      </w:r>
      <w:r w:rsidRPr="00981AA1">
        <w:rPr>
          <w:b/>
        </w:rPr>
        <w:lastRenderedPageBreak/>
        <w:drawing>
          <wp:inline distT="0" distB="0" distL="0" distR="0" wp14:anchorId="4671B1F5" wp14:editId="4B363D06">
            <wp:extent cx="6585585" cy="5801995"/>
            <wp:effectExtent l="0" t="0" r="5715" b="8255"/>
            <wp:docPr id="5469483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l="4700" t="7733" r="4684" b="5379"/>
                    <a:stretch>
                      <a:fillRect/>
                    </a:stretch>
                  </pic:blipFill>
                  <pic:spPr bwMode="auto">
                    <a:xfrm>
                      <a:off x="0" y="0"/>
                      <a:ext cx="6585585" cy="5801995"/>
                    </a:xfrm>
                    <a:prstGeom prst="rect">
                      <a:avLst/>
                    </a:prstGeom>
                    <a:noFill/>
                    <a:ln>
                      <a:noFill/>
                    </a:ln>
                  </pic:spPr>
                </pic:pic>
              </a:graphicData>
            </a:graphic>
          </wp:inline>
        </w:drawing>
      </w:r>
    </w:p>
    <w:p w14:paraId="79A250F4" w14:textId="77777777" w:rsidR="00981AA1" w:rsidRPr="00981AA1" w:rsidRDefault="00981AA1" w:rsidP="00981AA1">
      <w:pPr>
        <w:ind w:firstLineChars="0" w:firstLine="0"/>
        <w:rPr>
          <w:b/>
          <w:bCs/>
        </w:rPr>
      </w:pPr>
      <w:r w:rsidRPr="00981AA1">
        <w:rPr>
          <w:b/>
          <w:bCs/>
        </w:rPr>
        <w:t>Figure 2. The PPI network of potential targets.</w:t>
      </w:r>
    </w:p>
    <w:p w14:paraId="6308A364" w14:textId="1D034997" w:rsidR="00981AA1" w:rsidRPr="00981AA1" w:rsidRDefault="00981AA1" w:rsidP="00981AA1">
      <w:pPr>
        <w:ind w:firstLineChars="0" w:firstLine="0"/>
        <w:rPr>
          <w:b/>
          <w:bCs/>
        </w:rPr>
      </w:pPr>
      <w:r w:rsidRPr="00981AA1">
        <w:rPr>
          <w:b/>
          <w:bCs/>
        </w:rPr>
        <w:br w:type="page"/>
      </w:r>
      <w:r w:rsidRPr="00981AA1">
        <w:rPr>
          <w:b/>
        </w:rPr>
        <w:lastRenderedPageBreak/>
        <w:drawing>
          <wp:inline distT="0" distB="0" distL="0" distR="0" wp14:anchorId="12C4E1AB" wp14:editId="5DABA5C4">
            <wp:extent cx="5464810" cy="5023485"/>
            <wp:effectExtent l="0" t="0" r="2540" b="5715"/>
            <wp:docPr id="12386592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l="15190" t="11708" r="10938" b="5353"/>
                    <a:stretch>
                      <a:fillRect/>
                    </a:stretch>
                  </pic:blipFill>
                  <pic:spPr bwMode="auto">
                    <a:xfrm>
                      <a:off x="0" y="0"/>
                      <a:ext cx="5464810" cy="5023485"/>
                    </a:xfrm>
                    <a:prstGeom prst="rect">
                      <a:avLst/>
                    </a:prstGeom>
                    <a:noFill/>
                    <a:ln>
                      <a:noFill/>
                    </a:ln>
                  </pic:spPr>
                </pic:pic>
              </a:graphicData>
            </a:graphic>
          </wp:inline>
        </w:drawing>
      </w:r>
    </w:p>
    <w:p w14:paraId="5D710BD1" w14:textId="77777777" w:rsidR="00981AA1" w:rsidRPr="00981AA1" w:rsidRDefault="00981AA1" w:rsidP="00981AA1">
      <w:pPr>
        <w:ind w:firstLineChars="0" w:firstLine="0"/>
        <w:rPr>
          <w:b/>
          <w:bCs/>
        </w:rPr>
      </w:pPr>
      <w:r w:rsidRPr="00981AA1">
        <w:rPr>
          <w:b/>
          <w:bCs/>
        </w:rPr>
        <w:t xml:space="preserve">Figure 3. The PPI network of core targets. </w:t>
      </w:r>
    </w:p>
    <w:p w14:paraId="54DF3E9F" w14:textId="77777777" w:rsidR="00981AA1" w:rsidRPr="00981AA1" w:rsidRDefault="00981AA1" w:rsidP="00981AA1">
      <w:pPr>
        <w:ind w:firstLineChars="0" w:firstLine="0"/>
        <w:rPr>
          <w:b/>
          <w:bCs/>
        </w:rPr>
      </w:pPr>
      <w:r w:rsidRPr="00981AA1">
        <w:rPr>
          <w:b/>
          <w:bCs/>
        </w:rPr>
        <w:br w:type="page"/>
      </w:r>
    </w:p>
    <w:p w14:paraId="1372309B" w14:textId="50BBD777" w:rsidR="00981AA1" w:rsidRPr="00981AA1" w:rsidRDefault="00981AA1" w:rsidP="00981AA1">
      <w:pPr>
        <w:ind w:firstLineChars="0" w:firstLine="0"/>
        <w:rPr>
          <w:b/>
          <w:bCs/>
        </w:rPr>
      </w:pPr>
      <w:r w:rsidRPr="00981AA1">
        <w:rPr>
          <w:b/>
        </w:rPr>
        <w:lastRenderedPageBreak/>
        <w:drawing>
          <wp:inline distT="0" distB="0" distL="0" distR="0" wp14:anchorId="2612128C" wp14:editId="2D69AA2D">
            <wp:extent cx="6645910" cy="3409315"/>
            <wp:effectExtent l="0" t="0" r="2540" b="635"/>
            <wp:docPr id="1554707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b="5994"/>
                    <a:stretch>
                      <a:fillRect/>
                    </a:stretch>
                  </pic:blipFill>
                  <pic:spPr bwMode="auto">
                    <a:xfrm>
                      <a:off x="0" y="0"/>
                      <a:ext cx="6645910" cy="3409315"/>
                    </a:xfrm>
                    <a:prstGeom prst="rect">
                      <a:avLst/>
                    </a:prstGeom>
                    <a:noFill/>
                    <a:ln>
                      <a:noFill/>
                    </a:ln>
                  </pic:spPr>
                </pic:pic>
              </a:graphicData>
            </a:graphic>
          </wp:inline>
        </w:drawing>
      </w:r>
    </w:p>
    <w:p w14:paraId="1EBF71CB" w14:textId="77777777" w:rsidR="00981AA1" w:rsidRPr="00981AA1" w:rsidRDefault="00981AA1" w:rsidP="00981AA1">
      <w:pPr>
        <w:ind w:firstLineChars="0" w:firstLine="0"/>
        <w:rPr>
          <w:b/>
          <w:bCs/>
        </w:rPr>
      </w:pPr>
      <w:r w:rsidRPr="00981AA1">
        <w:rPr>
          <w:b/>
          <w:bCs/>
        </w:rPr>
        <w:t>Figure 4. GO enrichment analysis for potential targets.</w:t>
      </w:r>
    </w:p>
    <w:p w14:paraId="317D372A" w14:textId="77777777" w:rsidR="00981AA1" w:rsidRPr="00981AA1" w:rsidRDefault="00981AA1" w:rsidP="00981AA1">
      <w:pPr>
        <w:ind w:firstLineChars="0" w:firstLine="0"/>
      </w:pPr>
      <w:r w:rsidRPr="00981AA1">
        <w:t>(A) Histogram showing the top 10 enriched terms for each GO category (Biological Process, Cellular Component, Molecular Function). Bar height indicates gene count for each term. (B) Bubble plot illustrating enrichment across GO terms. Bubble size reflects gene count, while color saturation represents enrichment significance (-log10(FDR)).</w:t>
      </w:r>
    </w:p>
    <w:p w14:paraId="2BBA0580" w14:textId="77777777" w:rsidR="00981AA1" w:rsidRPr="00981AA1" w:rsidRDefault="00981AA1" w:rsidP="00981AA1">
      <w:pPr>
        <w:ind w:firstLineChars="0" w:firstLine="0"/>
      </w:pPr>
      <w:r w:rsidRPr="00981AA1">
        <w:br w:type="page"/>
      </w:r>
    </w:p>
    <w:p w14:paraId="1A71BEAB" w14:textId="650082BB" w:rsidR="00981AA1" w:rsidRPr="00981AA1" w:rsidRDefault="00981AA1" w:rsidP="00981AA1">
      <w:pPr>
        <w:ind w:firstLineChars="0" w:firstLine="0"/>
        <w:rPr>
          <w:b/>
          <w:bCs/>
        </w:rPr>
      </w:pPr>
      <w:r w:rsidRPr="00981AA1">
        <w:rPr>
          <w:b/>
        </w:rPr>
        <w:lastRenderedPageBreak/>
        <w:drawing>
          <wp:inline distT="0" distB="0" distL="0" distR="0" wp14:anchorId="1E5E4BE5" wp14:editId="686608BA">
            <wp:extent cx="6645910" cy="3067050"/>
            <wp:effectExtent l="0" t="0" r="2540" b="0"/>
            <wp:docPr id="1535780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b="11758"/>
                    <a:stretch>
                      <a:fillRect/>
                    </a:stretch>
                  </pic:blipFill>
                  <pic:spPr bwMode="auto">
                    <a:xfrm>
                      <a:off x="0" y="0"/>
                      <a:ext cx="6645910" cy="3067050"/>
                    </a:xfrm>
                    <a:prstGeom prst="rect">
                      <a:avLst/>
                    </a:prstGeom>
                    <a:noFill/>
                    <a:ln>
                      <a:noFill/>
                    </a:ln>
                  </pic:spPr>
                </pic:pic>
              </a:graphicData>
            </a:graphic>
          </wp:inline>
        </w:drawing>
      </w:r>
    </w:p>
    <w:p w14:paraId="18AC5E52" w14:textId="77777777" w:rsidR="00981AA1" w:rsidRPr="00981AA1" w:rsidRDefault="00981AA1" w:rsidP="00981AA1">
      <w:pPr>
        <w:ind w:firstLineChars="0" w:firstLine="0"/>
      </w:pPr>
      <w:r w:rsidRPr="00981AA1">
        <w:rPr>
          <w:b/>
          <w:bCs/>
        </w:rPr>
        <w:t>Figure 5. KEGG enrichment analysis of potential targets.</w:t>
      </w:r>
      <w:r w:rsidRPr="00981AA1">
        <w:t xml:space="preserve"> </w:t>
      </w:r>
    </w:p>
    <w:p w14:paraId="27AB2C1C" w14:textId="77777777" w:rsidR="00981AA1" w:rsidRPr="00981AA1" w:rsidRDefault="00981AA1" w:rsidP="00981AA1">
      <w:pPr>
        <w:ind w:firstLineChars="0" w:firstLine="0"/>
      </w:pPr>
      <w:r w:rsidRPr="00981AA1">
        <w:t>(A)Bubble plot of the top 20 enriched KEGG pathways, ranked by FDR. Bubble size represents the number of enriched genes, and color intensity indicates significance. (B) Histogram showing the gene counts for each enriched pathway. Bar length represents gene count, and colors denote pathway categories.</w:t>
      </w:r>
    </w:p>
    <w:p w14:paraId="6CC7EA1D" w14:textId="47577459" w:rsidR="00981AA1" w:rsidRPr="00981AA1" w:rsidRDefault="00981AA1" w:rsidP="00981AA1">
      <w:pPr>
        <w:ind w:firstLineChars="0" w:firstLine="0"/>
        <w:rPr>
          <w:b/>
          <w:bCs/>
        </w:rPr>
      </w:pPr>
      <w:r w:rsidRPr="00981AA1">
        <w:rPr>
          <w:b/>
        </w:rPr>
        <w:lastRenderedPageBreak/>
        <w:drawing>
          <wp:inline distT="0" distB="0" distL="0" distR="0" wp14:anchorId="22924B29" wp14:editId="3786BEEE">
            <wp:extent cx="5116195" cy="5377815"/>
            <wp:effectExtent l="0" t="0" r="8255" b="0"/>
            <wp:docPr id="6348787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195" cy="5377815"/>
                    </a:xfrm>
                    <a:prstGeom prst="rect">
                      <a:avLst/>
                    </a:prstGeom>
                    <a:noFill/>
                    <a:ln>
                      <a:noFill/>
                    </a:ln>
                  </pic:spPr>
                </pic:pic>
              </a:graphicData>
            </a:graphic>
          </wp:inline>
        </w:drawing>
      </w:r>
    </w:p>
    <w:p w14:paraId="4C6D405D" w14:textId="77777777" w:rsidR="00981AA1" w:rsidRPr="00981AA1" w:rsidRDefault="00981AA1" w:rsidP="00981AA1">
      <w:pPr>
        <w:ind w:firstLineChars="0" w:firstLine="0"/>
        <w:rPr>
          <w:b/>
          <w:bCs/>
        </w:rPr>
      </w:pPr>
      <w:r w:rsidRPr="00981AA1">
        <w:rPr>
          <w:b/>
          <w:bCs/>
        </w:rPr>
        <w:t>Figure 6. Sankey plot showing KEGG enrichment analysis.</w:t>
      </w:r>
    </w:p>
    <w:p w14:paraId="164B03EF" w14:textId="77777777" w:rsidR="00981AA1" w:rsidRPr="00981AA1" w:rsidRDefault="00981AA1" w:rsidP="00981AA1">
      <w:pPr>
        <w:ind w:firstLineChars="0" w:firstLine="0"/>
      </w:pPr>
      <w:r w:rsidRPr="00981AA1">
        <w:t xml:space="preserve">This figure shows the top 10 KEGG pathways by FDR. Overlapping genes are linked by grey lines in the Sankey plot on the left. The bubble plot on the right </w:t>
      </w:r>
      <w:proofErr w:type="gramStart"/>
      <w:r w:rsidRPr="00981AA1">
        <w:t>shows</w:t>
      </w:r>
      <w:proofErr w:type="gramEnd"/>
      <w:r w:rsidRPr="00981AA1">
        <w:t xml:space="preserve"> gene counts (bubble size) and enrichment levels (color intensity, with deeper colors indicating higher -log10(P-value)).</w:t>
      </w:r>
    </w:p>
    <w:p w14:paraId="56E29AA0" w14:textId="77777777" w:rsidR="00981AA1" w:rsidRPr="00981AA1" w:rsidRDefault="00981AA1" w:rsidP="00981AA1">
      <w:pPr>
        <w:ind w:firstLineChars="0" w:firstLine="0"/>
        <w:rPr>
          <w:b/>
          <w:bCs/>
        </w:rPr>
      </w:pPr>
      <w:r w:rsidRPr="00981AA1">
        <w:br w:type="page"/>
      </w:r>
    </w:p>
    <w:p w14:paraId="4E52CBCF" w14:textId="2BA4732B" w:rsidR="00981AA1" w:rsidRPr="00981AA1" w:rsidRDefault="00981AA1" w:rsidP="00981AA1">
      <w:pPr>
        <w:ind w:firstLineChars="0" w:firstLine="0"/>
        <w:rPr>
          <w:b/>
          <w:bCs/>
        </w:rPr>
      </w:pPr>
      <w:r w:rsidRPr="00981AA1">
        <w:rPr>
          <w:b/>
        </w:rPr>
        <w:lastRenderedPageBreak/>
        <w:drawing>
          <wp:inline distT="0" distB="0" distL="0" distR="0" wp14:anchorId="615A3BDC" wp14:editId="1F1960D4">
            <wp:extent cx="6645910" cy="4533900"/>
            <wp:effectExtent l="0" t="0" r="2540" b="0"/>
            <wp:docPr id="14540703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533900"/>
                    </a:xfrm>
                    <a:prstGeom prst="rect">
                      <a:avLst/>
                    </a:prstGeom>
                    <a:noFill/>
                    <a:ln>
                      <a:noFill/>
                    </a:ln>
                  </pic:spPr>
                </pic:pic>
              </a:graphicData>
            </a:graphic>
          </wp:inline>
        </w:drawing>
      </w:r>
    </w:p>
    <w:p w14:paraId="59619C50" w14:textId="77777777" w:rsidR="00981AA1" w:rsidRPr="00981AA1" w:rsidRDefault="00981AA1" w:rsidP="00981AA1">
      <w:pPr>
        <w:ind w:firstLineChars="0" w:firstLine="0"/>
        <w:rPr>
          <w:b/>
          <w:bCs/>
        </w:rPr>
      </w:pPr>
      <w:r w:rsidRPr="00981AA1">
        <w:rPr>
          <w:b/>
          <w:bCs/>
        </w:rPr>
        <w:t>Figure 7. Molecular docking results of the lowest binding energy in each target protein with the DEHP.</w:t>
      </w:r>
    </w:p>
    <w:p w14:paraId="10B69A48" w14:textId="77777777" w:rsidR="00981AA1" w:rsidRPr="00981AA1" w:rsidRDefault="00981AA1" w:rsidP="00981AA1">
      <w:pPr>
        <w:ind w:firstLineChars="0" w:firstLine="0"/>
      </w:pPr>
      <w:r w:rsidRPr="00981AA1">
        <w:t xml:space="preserve">(A)CASP3 and DEHP, (B)BCL2 and DEHP, (C)MMP9 and DEHP, </w:t>
      </w:r>
    </w:p>
    <w:p w14:paraId="4849813D" w14:textId="77777777" w:rsidR="00981AA1" w:rsidRPr="00981AA1" w:rsidRDefault="00981AA1" w:rsidP="00981AA1">
      <w:pPr>
        <w:ind w:firstLineChars="0" w:firstLine="0"/>
      </w:pPr>
      <w:r w:rsidRPr="00981AA1">
        <w:t>(D)BCL2L1 and DEHP, (E)CTSS and DEHP, (F)APP and DEHP.</w:t>
      </w:r>
    </w:p>
    <w:p w14:paraId="46EFED22" w14:textId="77777777" w:rsidR="00981AA1" w:rsidRPr="00981AA1" w:rsidRDefault="00981AA1" w:rsidP="00981AA1">
      <w:pPr>
        <w:ind w:firstLineChars="0" w:firstLine="0"/>
        <w:rPr>
          <w:b/>
          <w:bCs/>
        </w:rPr>
      </w:pPr>
    </w:p>
    <w:p w14:paraId="13CE7415" w14:textId="77777777" w:rsidR="00981AA1" w:rsidRPr="00981AA1" w:rsidRDefault="00981AA1" w:rsidP="006B6784">
      <w:pPr>
        <w:ind w:firstLineChars="0" w:firstLine="0"/>
      </w:pPr>
    </w:p>
    <w:p w14:paraId="513E2A07" w14:textId="77777777" w:rsidR="00981AA1" w:rsidRDefault="00981AA1" w:rsidP="006B6784">
      <w:pPr>
        <w:ind w:firstLineChars="0" w:firstLine="0"/>
      </w:pPr>
    </w:p>
    <w:p w14:paraId="062DF17B" w14:textId="77777777" w:rsidR="00981AA1" w:rsidRDefault="00981AA1" w:rsidP="006B6784">
      <w:pPr>
        <w:ind w:firstLineChars="0" w:firstLine="0"/>
      </w:pPr>
    </w:p>
    <w:p w14:paraId="29B53AD3" w14:textId="77777777" w:rsidR="00981AA1" w:rsidRDefault="00981AA1" w:rsidP="006B6784">
      <w:pPr>
        <w:ind w:firstLineChars="0" w:firstLine="0"/>
      </w:pPr>
    </w:p>
    <w:p w14:paraId="63B86684" w14:textId="77777777" w:rsidR="00981AA1" w:rsidRPr="00735254" w:rsidRDefault="00981AA1" w:rsidP="006B6784">
      <w:pPr>
        <w:ind w:firstLineChars="0" w:firstLine="0"/>
        <w:rPr>
          <w:rFonts w:hint="eastAsia"/>
        </w:rPr>
      </w:pPr>
    </w:p>
    <w:sectPr w:rsidR="00981AA1" w:rsidRPr="00735254" w:rsidSect="00735254">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C756" w14:textId="77777777" w:rsidR="00C93651" w:rsidRDefault="00C93651" w:rsidP="001E0110">
      <w:pPr>
        <w:ind w:firstLine="420"/>
      </w:pPr>
      <w:r>
        <w:separator/>
      </w:r>
    </w:p>
  </w:endnote>
  <w:endnote w:type="continuationSeparator" w:id="0">
    <w:p w14:paraId="3A1B0172" w14:textId="77777777" w:rsidR="00C93651" w:rsidRDefault="00C93651" w:rsidP="001E011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BC65" w14:textId="77777777" w:rsidR="001E0110" w:rsidRDefault="001E0110">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D067" w14:textId="77777777" w:rsidR="001E0110" w:rsidRDefault="001E0110">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EDB5" w14:textId="77777777" w:rsidR="001E0110" w:rsidRDefault="001E0110">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6B9F9" w14:textId="77777777" w:rsidR="00C93651" w:rsidRDefault="00C93651" w:rsidP="001E0110">
      <w:pPr>
        <w:ind w:firstLine="420"/>
      </w:pPr>
      <w:r>
        <w:separator/>
      </w:r>
    </w:p>
  </w:footnote>
  <w:footnote w:type="continuationSeparator" w:id="0">
    <w:p w14:paraId="46D2AAAA" w14:textId="77777777" w:rsidR="00C93651" w:rsidRDefault="00C93651" w:rsidP="001E011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40E7" w14:textId="77777777" w:rsidR="001E0110" w:rsidRDefault="001E0110">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8FF2" w14:textId="77777777" w:rsidR="001E0110" w:rsidRDefault="001E0110">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6559" w14:textId="77777777" w:rsidR="001E0110" w:rsidRDefault="001E0110">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01E0A488-B43C-4572-BABF-FFCE5DBD8E18}"/>
    <w:docVar w:name="KY_MEDREF_VERSION" w:val="3"/>
  </w:docVars>
  <w:rsids>
    <w:rsidRoot w:val="000D59AC"/>
    <w:rsid w:val="0001215A"/>
    <w:rsid w:val="0005057D"/>
    <w:rsid w:val="000A0247"/>
    <w:rsid w:val="000D59AC"/>
    <w:rsid w:val="00103B89"/>
    <w:rsid w:val="00135C9B"/>
    <w:rsid w:val="001B71A9"/>
    <w:rsid w:val="001E0110"/>
    <w:rsid w:val="001E2918"/>
    <w:rsid w:val="00262EC5"/>
    <w:rsid w:val="002870E5"/>
    <w:rsid w:val="0032471F"/>
    <w:rsid w:val="00576FC9"/>
    <w:rsid w:val="005C7477"/>
    <w:rsid w:val="005D4F00"/>
    <w:rsid w:val="005F1131"/>
    <w:rsid w:val="00625A20"/>
    <w:rsid w:val="00661C62"/>
    <w:rsid w:val="006B6784"/>
    <w:rsid w:val="00707990"/>
    <w:rsid w:val="00735254"/>
    <w:rsid w:val="00777EF5"/>
    <w:rsid w:val="00783179"/>
    <w:rsid w:val="007D20FF"/>
    <w:rsid w:val="00805EA8"/>
    <w:rsid w:val="00813E0F"/>
    <w:rsid w:val="0092352D"/>
    <w:rsid w:val="009768E4"/>
    <w:rsid w:val="00981AA1"/>
    <w:rsid w:val="00995DC2"/>
    <w:rsid w:val="00A13AAD"/>
    <w:rsid w:val="00A60C1F"/>
    <w:rsid w:val="00A7106B"/>
    <w:rsid w:val="00AF0EA3"/>
    <w:rsid w:val="00AF131D"/>
    <w:rsid w:val="00AF5D48"/>
    <w:rsid w:val="00B275E4"/>
    <w:rsid w:val="00B526AC"/>
    <w:rsid w:val="00B57FD7"/>
    <w:rsid w:val="00B81A0A"/>
    <w:rsid w:val="00C0120A"/>
    <w:rsid w:val="00C93651"/>
    <w:rsid w:val="00D10FA6"/>
    <w:rsid w:val="00DB4C5B"/>
    <w:rsid w:val="00DD7168"/>
    <w:rsid w:val="00EF531B"/>
    <w:rsid w:val="00EF66AB"/>
    <w:rsid w:val="00F15075"/>
    <w:rsid w:val="00F61727"/>
    <w:rsid w:val="00FC5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CDF380"/>
  <w15:chartTrackingRefBased/>
  <w15:docId w15:val="{152BDF26-42D1-4BA1-BFBA-7E7DBE16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9AC"/>
    <w:pPr>
      <w:ind w:firstLineChars="200" w:firstLine="20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网格型2"/>
    <w:basedOn w:val="a1"/>
    <w:next w:val="a3"/>
    <w:uiPriority w:val="99"/>
    <w:rsid w:val="000D59AC"/>
    <w:pPr>
      <w:ind w:firstLineChars="200" w:firstLine="200"/>
    </w:pPr>
    <w:rPr>
      <w:rFonts w:eastAsia="Times New Roman" w:cs="Times New Roman"/>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0D5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3"/>
    <w:uiPriority w:val="99"/>
    <w:rsid w:val="00EF66AB"/>
    <w:pPr>
      <w:widowControl w:val="0"/>
      <w:ind w:firstLineChars="200" w:firstLine="200"/>
      <w:jc w:val="both"/>
    </w:pPr>
    <w:rPr>
      <w:rFonts w:eastAsia="Times New Roman" w:cs="Times New Roman"/>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0110"/>
    <w:pPr>
      <w:tabs>
        <w:tab w:val="center" w:pos="4153"/>
        <w:tab w:val="right" w:pos="8306"/>
      </w:tabs>
      <w:snapToGrid w:val="0"/>
      <w:jc w:val="center"/>
    </w:pPr>
    <w:rPr>
      <w:sz w:val="18"/>
      <w:szCs w:val="18"/>
    </w:rPr>
  </w:style>
  <w:style w:type="character" w:customStyle="1" w:styleId="a5">
    <w:name w:val="页眉 字符"/>
    <w:basedOn w:val="a0"/>
    <w:link w:val="a4"/>
    <w:uiPriority w:val="99"/>
    <w:rsid w:val="001E0110"/>
    <w:rPr>
      <w:sz w:val="18"/>
      <w:szCs w:val="18"/>
    </w:rPr>
  </w:style>
  <w:style w:type="paragraph" w:styleId="a6">
    <w:name w:val="footer"/>
    <w:basedOn w:val="a"/>
    <w:link w:val="a7"/>
    <w:uiPriority w:val="99"/>
    <w:unhideWhenUsed/>
    <w:rsid w:val="001E0110"/>
    <w:pPr>
      <w:tabs>
        <w:tab w:val="center" w:pos="4153"/>
        <w:tab w:val="right" w:pos="8306"/>
      </w:tabs>
      <w:snapToGrid w:val="0"/>
    </w:pPr>
    <w:rPr>
      <w:sz w:val="18"/>
      <w:szCs w:val="18"/>
    </w:rPr>
  </w:style>
  <w:style w:type="character" w:customStyle="1" w:styleId="a7">
    <w:name w:val="页脚 字符"/>
    <w:basedOn w:val="a0"/>
    <w:link w:val="a6"/>
    <w:uiPriority w:val="99"/>
    <w:rsid w:val="001E0110"/>
    <w:rPr>
      <w:sz w:val="18"/>
      <w:szCs w:val="18"/>
    </w:rPr>
  </w:style>
  <w:style w:type="table" w:customStyle="1" w:styleId="7">
    <w:name w:val="网格型7"/>
    <w:basedOn w:val="a1"/>
    <w:next w:val="a3"/>
    <w:uiPriority w:val="99"/>
    <w:rsid w:val="001E0110"/>
    <w:pPr>
      <w:ind w:firstLineChars="200" w:firstLine="200"/>
    </w:pPr>
    <w:rPr>
      <w:rFonts w:eastAsia="Times New Roman" w:cs="Times New Roman"/>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15075"/>
    <w:rPr>
      <w:color w:val="0563C1" w:themeColor="hyperlink"/>
      <w:u w:val="single"/>
    </w:rPr>
  </w:style>
  <w:style w:type="character" w:styleId="a9">
    <w:name w:val="Unresolved Mention"/>
    <w:basedOn w:val="a0"/>
    <w:uiPriority w:val="99"/>
    <w:semiHidden/>
    <w:unhideWhenUsed/>
    <w:rsid w:val="00F15075"/>
    <w:rPr>
      <w:color w:val="605E5C"/>
      <w:shd w:val="clear" w:color="auto" w:fill="E1DFDD"/>
    </w:rPr>
  </w:style>
  <w:style w:type="paragraph" w:styleId="aa">
    <w:name w:val="List Paragraph"/>
    <w:basedOn w:val="a"/>
    <w:uiPriority w:val="34"/>
    <w:qFormat/>
    <w:rsid w:val="006B6784"/>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8782">
      <w:bodyDiv w:val="1"/>
      <w:marLeft w:val="0"/>
      <w:marRight w:val="0"/>
      <w:marTop w:val="0"/>
      <w:marBottom w:val="0"/>
      <w:divBdr>
        <w:top w:val="none" w:sz="0" w:space="0" w:color="auto"/>
        <w:left w:val="none" w:sz="0" w:space="0" w:color="auto"/>
        <w:bottom w:val="none" w:sz="0" w:space="0" w:color="auto"/>
        <w:right w:val="none" w:sz="0" w:space="0" w:color="auto"/>
      </w:divBdr>
    </w:div>
    <w:div w:id="83504520">
      <w:bodyDiv w:val="1"/>
      <w:marLeft w:val="0"/>
      <w:marRight w:val="0"/>
      <w:marTop w:val="0"/>
      <w:marBottom w:val="0"/>
      <w:divBdr>
        <w:top w:val="none" w:sz="0" w:space="0" w:color="auto"/>
        <w:left w:val="none" w:sz="0" w:space="0" w:color="auto"/>
        <w:bottom w:val="none" w:sz="0" w:space="0" w:color="auto"/>
        <w:right w:val="none" w:sz="0" w:space="0" w:color="auto"/>
      </w:divBdr>
      <w:divsChild>
        <w:div w:id="1413088857">
          <w:marLeft w:val="0"/>
          <w:marRight w:val="0"/>
          <w:marTop w:val="0"/>
          <w:marBottom w:val="0"/>
          <w:divBdr>
            <w:top w:val="none" w:sz="0" w:space="0" w:color="auto"/>
            <w:left w:val="none" w:sz="0" w:space="0" w:color="auto"/>
            <w:bottom w:val="none" w:sz="0" w:space="0" w:color="auto"/>
            <w:right w:val="none" w:sz="0" w:space="0" w:color="auto"/>
          </w:divBdr>
        </w:div>
      </w:divsChild>
    </w:div>
    <w:div w:id="293609405">
      <w:bodyDiv w:val="1"/>
      <w:marLeft w:val="0"/>
      <w:marRight w:val="0"/>
      <w:marTop w:val="0"/>
      <w:marBottom w:val="0"/>
      <w:divBdr>
        <w:top w:val="none" w:sz="0" w:space="0" w:color="auto"/>
        <w:left w:val="none" w:sz="0" w:space="0" w:color="auto"/>
        <w:bottom w:val="none" w:sz="0" w:space="0" w:color="auto"/>
        <w:right w:val="none" w:sz="0" w:space="0" w:color="auto"/>
      </w:divBdr>
    </w:div>
    <w:div w:id="376469359">
      <w:bodyDiv w:val="1"/>
      <w:marLeft w:val="0"/>
      <w:marRight w:val="0"/>
      <w:marTop w:val="0"/>
      <w:marBottom w:val="0"/>
      <w:divBdr>
        <w:top w:val="none" w:sz="0" w:space="0" w:color="auto"/>
        <w:left w:val="none" w:sz="0" w:space="0" w:color="auto"/>
        <w:bottom w:val="none" w:sz="0" w:space="0" w:color="auto"/>
        <w:right w:val="none" w:sz="0" w:space="0" w:color="auto"/>
      </w:divBdr>
    </w:div>
    <w:div w:id="952173429">
      <w:bodyDiv w:val="1"/>
      <w:marLeft w:val="0"/>
      <w:marRight w:val="0"/>
      <w:marTop w:val="0"/>
      <w:marBottom w:val="0"/>
      <w:divBdr>
        <w:top w:val="none" w:sz="0" w:space="0" w:color="auto"/>
        <w:left w:val="none" w:sz="0" w:space="0" w:color="auto"/>
        <w:bottom w:val="none" w:sz="0" w:space="0" w:color="auto"/>
        <w:right w:val="none" w:sz="0" w:space="0" w:color="auto"/>
      </w:divBdr>
    </w:div>
    <w:div w:id="955213122">
      <w:bodyDiv w:val="1"/>
      <w:marLeft w:val="0"/>
      <w:marRight w:val="0"/>
      <w:marTop w:val="0"/>
      <w:marBottom w:val="0"/>
      <w:divBdr>
        <w:top w:val="none" w:sz="0" w:space="0" w:color="auto"/>
        <w:left w:val="none" w:sz="0" w:space="0" w:color="auto"/>
        <w:bottom w:val="none" w:sz="0" w:space="0" w:color="auto"/>
        <w:right w:val="none" w:sz="0" w:space="0" w:color="auto"/>
      </w:divBdr>
      <w:divsChild>
        <w:div w:id="2006786535">
          <w:marLeft w:val="0"/>
          <w:marRight w:val="0"/>
          <w:marTop w:val="0"/>
          <w:marBottom w:val="0"/>
          <w:divBdr>
            <w:top w:val="none" w:sz="0" w:space="0" w:color="auto"/>
            <w:left w:val="none" w:sz="0" w:space="0" w:color="auto"/>
            <w:bottom w:val="none" w:sz="0" w:space="0" w:color="auto"/>
            <w:right w:val="none" w:sz="0" w:space="0" w:color="auto"/>
          </w:divBdr>
        </w:div>
      </w:divsChild>
    </w:div>
    <w:div w:id="1439253647">
      <w:bodyDiv w:val="1"/>
      <w:marLeft w:val="0"/>
      <w:marRight w:val="0"/>
      <w:marTop w:val="0"/>
      <w:marBottom w:val="0"/>
      <w:divBdr>
        <w:top w:val="none" w:sz="0" w:space="0" w:color="auto"/>
        <w:left w:val="none" w:sz="0" w:space="0" w:color="auto"/>
        <w:bottom w:val="none" w:sz="0" w:space="0" w:color="auto"/>
        <w:right w:val="none" w:sz="0" w:space="0" w:color="auto"/>
      </w:divBdr>
    </w:div>
    <w:div w:id="1490755000">
      <w:bodyDiv w:val="1"/>
      <w:marLeft w:val="0"/>
      <w:marRight w:val="0"/>
      <w:marTop w:val="0"/>
      <w:marBottom w:val="0"/>
      <w:divBdr>
        <w:top w:val="none" w:sz="0" w:space="0" w:color="auto"/>
        <w:left w:val="none" w:sz="0" w:space="0" w:color="auto"/>
        <w:bottom w:val="none" w:sz="0" w:space="0" w:color="auto"/>
        <w:right w:val="none" w:sz="0" w:space="0" w:color="auto"/>
      </w:divBdr>
    </w:div>
    <w:div w:id="1793086619">
      <w:bodyDiv w:val="1"/>
      <w:marLeft w:val="0"/>
      <w:marRight w:val="0"/>
      <w:marTop w:val="0"/>
      <w:marBottom w:val="0"/>
      <w:divBdr>
        <w:top w:val="none" w:sz="0" w:space="0" w:color="auto"/>
        <w:left w:val="none" w:sz="0" w:space="0" w:color="auto"/>
        <w:bottom w:val="none" w:sz="0" w:space="0" w:color="auto"/>
        <w:right w:val="none" w:sz="0" w:space="0" w:color="auto"/>
      </w:divBdr>
      <w:divsChild>
        <w:div w:id="214438152">
          <w:marLeft w:val="0"/>
          <w:marRight w:val="0"/>
          <w:marTop w:val="0"/>
          <w:marBottom w:val="0"/>
          <w:divBdr>
            <w:top w:val="none" w:sz="0" w:space="0" w:color="auto"/>
            <w:left w:val="none" w:sz="0" w:space="0" w:color="auto"/>
            <w:bottom w:val="none" w:sz="0" w:space="0" w:color="auto"/>
            <w:right w:val="none" w:sz="0" w:space="0" w:color="auto"/>
          </w:divBdr>
        </w:div>
      </w:divsChild>
    </w:div>
    <w:div w:id="1797068287">
      <w:bodyDiv w:val="1"/>
      <w:marLeft w:val="0"/>
      <w:marRight w:val="0"/>
      <w:marTop w:val="0"/>
      <w:marBottom w:val="0"/>
      <w:divBdr>
        <w:top w:val="none" w:sz="0" w:space="0" w:color="auto"/>
        <w:left w:val="none" w:sz="0" w:space="0" w:color="auto"/>
        <w:bottom w:val="none" w:sz="0" w:space="0" w:color="auto"/>
        <w:right w:val="none" w:sz="0" w:space="0" w:color="auto"/>
      </w:divBdr>
    </w:div>
    <w:div w:id="1862085405">
      <w:bodyDiv w:val="1"/>
      <w:marLeft w:val="0"/>
      <w:marRight w:val="0"/>
      <w:marTop w:val="0"/>
      <w:marBottom w:val="0"/>
      <w:divBdr>
        <w:top w:val="none" w:sz="0" w:space="0" w:color="auto"/>
        <w:left w:val="none" w:sz="0" w:space="0" w:color="auto"/>
        <w:bottom w:val="none" w:sz="0" w:space="0" w:color="auto"/>
        <w:right w:val="none" w:sz="0" w:space="0" w:color="auto"/>
      </w:divBdr>
    </w:div>
    <w:div w:id="1918905930">
      <w:bodyDiv w:val="1"/>
      <w:marLeft w:val="0"/>
      <w:marRight w:val="0"/>
      <w:marTop w:val="0"/>
      <w:marBottom w:val="0"/>
      <w:divBdr>
        <w:top w:val="none" w:sz="0" w:space="0" w:color="auto"/>
        <w:left w:val="none" w:sz="0" w:space="0" w:color="auto"/>
        <w:bottom w:val="none" w:sz="0" w:space="0" w:color="auto"/>
        <w:right w:val="none" w:sz="0" w:space="0" w:color="auto"/>
      </w:divBdr>
    </w:div>
    <w:div w:id="2022658446">
      <w:bodyDiv w:val="1"/>
      <w:marLeft w:val="0"/>
      <w:marRight w:val="0"/>
      <w:marTop w:val="0"/>
      <w:marBottom w:val="0"/>
      <w:divBdr>
        <w:top w:val="none" w:sz="0" w:space="0" w:color="auto"/>
        <w:left w:val="none" w:sz="0" w:space="0" w:color="auto"/>
        <w:bottom w:val="none" w:sz="0" w:space="0" w:color="auto"/>
        <w:right w:val="none" w:sz="0" w:space="0" w:color="auto"/>
      </w:divBdr>
      <w:divsChild>
        <w:div w:id="113537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E5830-B1E5-435C-8B89-20B43E31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8</Pages>
  <Words>456</Words>
  <Characters>2530</Characters>
  <Application>Microsoft Office Word</Application>
  <DocSecurity>0</DocSecurity>
  <Lines>49</Lines>
  <Paragraphs>31</Paragraphs>
  <ScaleCrop>false</ScaleCrop>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舒骏 黄</dc:creator>
  <cp:keywords/>
  <dc:description/>
  <cp:lastModifiedBy>biao Ran</cp:lastModifiedBy>
  <cp:revision>26</cp:revision>
  <dcterms:created xsi:type="dcterms:W3CDTF">2023-08-31T07:09:00Z</dcterms:created>
  <dcterms:modified xsi:type="dcterms:W3CDTF">2025-04-18T09:28:00Z</dcterms:modified>
</cp:coreProperties>
</file>