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DA3AF" w14:textId="3F304FD2" w:rsidR="006800BE" w:rsidRPr="00C60BC0" w:rsidRDefault="00010EA6">
      <w:pPr>
        <w:rPr>
          <w:b/>
          <w:lang w:val="en-US"/>
        </w:rPr>
      </w:pPr>
      <w:r w:rsidRPr="00C60BC0">
        <w:rPr>
          <w:b/>
          <w:lang w:val="en-US"/>
        </w:rPr>
        <w:t>Online methods</w:t>
      </w:r>
    </w:p>
    <w:p w14:paraId="15ED65FD" w14:textId="77777777" w:rsidR="006800BE" w:rsidRPr="00C60BC0" w:rsidRDefault="00033EDE">
      <w:pPr>
        <w:rPr>
          <w:i/>
          <w:lang w:val="en-US"/>
        </w:rPr>
      </w:pPr>
      <w:r w:rsidRPr="00C60BC0">
        <w:rPr>
          <w:i/>
          <w:lang w:val="en-US"/>
        </w:rPr>
        <w:t>Participants</w:t>
      </w:r>
    </w:p>
    <w:p w14:paraId="6CFF2894" w14:textId="32CDEC6B" w:rsidR="00B71EB7" w:rsidRPr="00C60BC0" w:rsidRDefault="00B71EB7">
      <w:pPr>
        <w:rPr>
          <w:lang w:val="en-US"/>
        </w:rPr>
      </w:pPr>
      <w:r w:rsidRPr="00C60BC0">
        <w:rPr>
          <w:lang w:val="en-US"/>
        </w:rPr>
        <w:t xml:space="preserve">Participants for this analysis were from the COVID-19 Contact (CoCo) Study, which started in March 2020 and is an ongoing, prospective study monitoring anti-SARS-CoV-2 IgG immunoglobulin and immune responses in </w:t>
      </w:r>
      <w:r w:rsidR="00C56F3C">
        <w:rPr>
          <w:lang w:val="en-US"/>
        </w:rPr>
        <w:t xml:space="preserve">n=1493 </w:t>
      </w:r>
      <w:r w:rsidRPr="00C60BC0">
        <w:rPr>
          <w:lang w:val="en-US"/>
        </w:rPr>
        <w:t xml:space="preserve">health care professionals </w:t>
      </w:r>
      <w:r w:rsidR="00C56F3C">
        <w:rPr>
          <w:lang w:val="en-US"/>
        </w:rPr>
        <w:t xml:space="preserve"> (HCP) </w:t>
      </w:r>
      <w:r w:rsidRPr="00C60BC0">
        <w:rPr>
          <w:lang w:val="en-US"/>
        </w:rPr>
        <w:t>at Hannover Medical School and individuals with potential contact to SARS-CoV-2</w:t>
      </w:r>
      <w:r w:rsidRPr="00C60BC0">
        <w:rPr>
          <w:lang w:val="en-US"/>
        </w:rPr>
        <w:fldChar w:fldCharType="begin" w:fldLock="1"/>
      </w:r>
      <w:r w:rsidR="008539E0">
        <w:rPr>
          <w:lang w:val="en-US"/>
        </w:rPr>
        <w:instrText>ADDIN CSL_CITATION {"citationItems":[{"id":"ITEM-1","itemData":{"DOI":"10.1007/s15010-020-01461-0","ISBN":"0123456789","ISSN":"14390973","PMID":"32524515","abstract":"There have been concerns about high rates of thus far undiagnosed SARS-CoV-2 infections in the health-care system. The COVID-19 Contact (CoCo) Study follows 217 frontline health-care professionals at a university hospital with weekly SARS-CoV-2-specific serology (IgA/IgG). Study participants estimated their personal likelihood of having had a SARS-CoV-2 infection with a mean of 21% [median 15%, interquartile range (IQR) 5–30%]. In contrast, anti-SARS-CoV-2 IgG prevalence was about 1–2% at baseline. Regular anti-SARS-CoV-2 IgG testing of health-care professionals may aid in directing resources for protective measures and care of COVID-19 patients in the long run.","author":[{"dropping-particle":"","family":"Behrens","given":"Georg M.N.","non-dropping-particle":"","parse-names":false,"suffix":""},{"dropping-particle":"","family":"Cossmann","given":"Anne","non-dropping-particle":"","parse-names":false,"suffix":""},{"dropping-particle":"V.","family":"Stankov","given":"Metodi","non-dropping-particle":"","parse-names":false,"suffix":""},{"dropping-particle":"","family":"Witte","given":"Torsten","non-dropping-particle":"","parse-names":false,"suffix":""},{"dropping-particle":"","family":"Ernst","given":"Diana","non-dropping-particle":"","parse-names":false,"suffix":""},{"dropping-particle":"","family":"Happle","given":"Christine","non-dropping-particle":"","parse-names":false,"suffix":""},{"dropping-particle":"","family":"Jablonka","given":"Alexandra","non-dropping-particle":"","parse-names":false,"suffix":""}],"container-title":"Infection","id":"ITEM-1","issue":"4","issued":{"date-parts":[["2020"]]},"page":"631-634","publisher":"Springer Berlin Heidelberg","title":"Perceived versus proven SARS-CoV-2-specific immune responses in health-care professionals","type":"article-journal","volume":"48"},"uris":["http://www.mendeley.com/documents/?uuid=199c47de-25a5-405a-a8d2-b8d33cea6c99"]}],"mendeley":{"formattedCitation":"&lt;sup&gt;1&lt;/sup&gt;","plainTextFormattedCitation":"1","previouslyFormattedCitation":"&lt;sup&gt;1&lt;/sup&gt;"},"properties":{"noteIndex":0},"schema":"https://github.com/citation-style-language/schema/raw/master/csl-citation.json"}</w:instrText>
      </w:r>
      <w:r w:rsidRPr="00C60BC0">
        <w:rPr>
          <w:lang w:val="en-US"/>
        </w:rPr>
        <w:fldChar w:fldCharType="separate"/>
      </w:r>
      <w:r w:rsidR="00C60BC0" w:rsidRPr="00C60BC0">
        <w:rPr>
          <w:noProof/>
          <w:vertAlign w:val="superscript"/>
          <w:lang w:val="en-US"/>
        </w:rPr>
        <w:t>1</w:t>
      </w:r>
      <w:r w:rsidRPr="00C60BC0">
        <w:rPr>
          <w:lang w:val="en-US"/>
        </w:rPr>
        <w:fldChar w:fldCharType="end"/>
      </w:r>
      <w:r w:rsidRPr="00C60BC0">
        <w:rPr>
          <w:lang w:val="en-US"/>
        </w:rPr>
        <w:t>. An amendment from Dec 2020 allowed us to study the immune responses after COVID-19 vaccination. According to German regulations, HCP were prioritized for SARS-CoV2 vaccination and HCP at Hannover Medical School received first doses of the BNT or ChAd vaccine from Jan 6</w:t>
      </w:r>
      <w:r w:rsidRPr="00C60BC0">
        <w:rPr>
          <w:vertAlign w:val="superscript"/>
          <w:lang w:val="en-US"/>
        </w:rPr>
        <w:t>th</w:t>
      </w:r>
      <w:r w:rsidRPr="00C60BC0">
        <w:rPr>
          <w:lang w:val="en-US"/>
        </w:rPr>
        <w:t>, respectively Feb 16</w:t>
      </w:r>
      <w:r w:rsidRPr="00C60BC0">
        <w:rPr>
          <w:vertAlign w:val="superscript"/>
          <w:lang w:val="en-US"/>
        </w:rPr>
        <w:t>th</w:t>
      </w:r>
      <w:r w:rsidRPr="00C60BC0">
        <w:rPr>
          <w:lang w:val="en-US"/>
        </w:rPr>
        <w:t>, 2021 onwards. In general, booster vaccination took place about 21 days after BNT prime and around 2-3 months after ChAd prime. Booster vaccination of ChAd primed HCP started on May 3</w:t>
      </w:r>
      <w:r w:rsidRPr="00C60BC0">
        <w:rPr>
          <w:vertAlign w:val="superscript"/>
          <w:lang w:val="en-US"/>
        </w:rPr>
        <w:t>rd</w:t>
      </w:r>
      <w:r w:rsidRPr="00C60BC0">
        <w:rPr>
          <w:lang w:val="en-US"/>
        </w:rPr>
        <w:t xml:space="preserve"> and individuals could choose to receive either ChAd or BNT for second vaccination. We assumed that about 25% of all ChAd primed vaccinees would opt for a homologous booster. We estimated that a sample size of 30 subjects in each arm is sufficient to detect a clinically meaningful difference within each group assuming that specific IgG doubles from first vaccination (mean 95 RU/mL with a standard deviation of 113 RU/mL) using a two-tailed paired t-test of differences between means with 95% power and a 1% level of significance. The power calculation </w:t>
      </w:r>
      <w:r w:rsidR="00C56F3C">
        <w:rPr>
          <w:lang w:val="en-US"/>
        </w:rPr>
        <w:t>was</w:t>
      </w:r>
      <w:r w:rsidRPr="00C60BC0">
        <w:rPr>
          <w:lang w:val="en-US"/>
        </w:rPr>
        <w:t xml:space="preserve"> performed with G*Power. Following written informed consent, we obtained peripheral blood samples by venipuncture. Individuals with previously PCR confirmed SARS-CoV-2 infection or SARS-CoV-2 seroconversion as determined by positive anti-SARS-CoV-2 NCP IgG before vaccinations were excluded from this analysis. Participants were 25% male and 75% female with a mean age of 38 years (range 19-64 years). After blood collection, we separated plasma from EDTA or lithium heparin blood (S-Monovette, Sarstedt) and stored it at minus 80°C until use. We used full blood or isolated PBMCs from whole blood samples by Ficoll gradient centrifugation and for stimulation with SARS-CoV-2 peptide pools.</w:t>
      </w:r>
    </w:p>
    <w:p w14:paraId="596553BC" w14:textId="3F87B11D" w:rsidR="002E3D82" w:rsidRPr="00C60BC0" w:rsidRDefault="00025671">
      <w:pPr>
        <w:rPr>
          <w:i/>
          <w:lang w:val="en-US"/>
        </w:rPr>
      </w:pPr>
      <w:r w:rsidRPr="00C60BC0">
        <w:rPr>
          <w:i/>
          <w:lang w:val="en-US"/>
        </w:rPr>
        <w:t>Pseudotyped virus neutralization assay</w:t>
      </w:r>
      <w:r w:rsidR="00566A7A">
        <w:rPr>
          <w:i/>
          <w:lang w:val="en-US"/>
        </w:rPr>
        <w:t xml:space="preserve"> (pVNT)</w:t>
      </w:r>
    </w:p>
    <w:p w14:paraId="1E51CB37" w14:textId="23F8411E" w:rsidR="008519CE" w:rsidRPr="006E7C62" w:rsidRDefault="008539E0" w:rsidP="00B71EB7">
      <w:pPr>
        <w:rPr>
          <w:lang w:val="en-US"/>
        </w:rPr>
      </w:pPr>
      <w:r w:rsidRPr="006E7C62">
        <w:rPr>
          <w:lang w:val="en-US"/>
        </w:rPr>
        <w:t>pVN</w:t>
      </w:r>
      <w:r w:rsidR="00C01AF4">
        <w:rPr>
          <w:lang w:val="en-US"/>
        </w:rPr>
        <w:t>T</w:t>
      </w:r>
      <w:r w:rsidR="00566A7A">
        <w:rPr>
          <w:lang w:val="en-US"/>
        </w:rPr>
        <w:t>s</w:t>
      </w:r>
      <w:r w:rsidRPr="006E7C62">
        <w:rPr>
          <w:lang w:val="en-US"/>
        </w:rPr>
        <w:t xml:space="preserve"> w</w:t>
      </w:r>
      <w:r w:rsidR="00566A7A">
        <w:rPr>
          <w:lang w:val="en-US"/>
        </w:rPr>
        <w:t>ere</w:t>
      </w:r>
      <w:r w:rsidRPr="006E7C62">
        <w:rPr>
          <w:lang w:val="en-US"/>
        </w:rPr>
        <w:t xml:space="preserve"> performed at the </w:t>
      </w:r>
      <w:r w:rsidR="00FD738A">
        <w:rPr>
          <w:lang w:val="en-US"/>
        </w:rPr>
        <w:t xml:space="preserve">Infection Biology Unit of the German </w:t>
      </w:r>
      <w:r w:rsidRPr="006E7C62">
        <w:rPr>
          <w:lang w:val="en-US"/>
        </w:rPr>
        <w:t xml:space="preserve">Primate Center in Göttingen as described recently </w:t>
      </w:r>
      <w:r w:rsidRPr="006E7C62">
        <w:rPr>
          <w:lang w:val="en-US"/>
        </w:rPr>
        <w:fldChar w:fldCharType="begin" w:fldLock="1"/>
      </w:r>
      <w:r w:rsidRPr="006E7C62">
        <w:rPr>
          <w:lang w:val="en-US"/>
        </w:rPr>
        <w:instrText>ADDIN CSL_CITATION {"citationItems":[{"id":"ITEM-1","itemData":{"DOI":"10.1016/j.cell.2021.03.036","ISSN":"00928674","PMID":"33794143","abstract":"The global spread of SARS-CoV-2/COVID-19 is devastating health systems and economies worldwide. Recombinant or vaccine-induced neutralizing antibodies are used to combat the COVID-19 pandemic. However, the recently emerged SARS-CoV-2 variants B.1.1.7 (UK), B.1.351 (South Africa), and P.1 (Brazil) harbor mutations in the viral spike (S) protein that may alter virus-host cell interactions and confer resistance to inhibitors and antibodies. Here, using pseudoparticles, we show that entry of all variants into human cells is susceptible to blockade by the entry inhibitors soluble ACE2, Camostat, EK-1, and EK-1-C4. In contrast, entry of the B.1.351 and P.1 variant was partially (Casirivimab) or fully (Bamlanivimab) resistant to antibodies used for COVID-19 treatment. Moreover, entry of these variants was less efficiently inhibited by plasma from convalescent COVID-19 patients and sera from BNT162b2-vaccinated individuals. These results suggest that SARS-CoV-2 may escape neutralizing antibody responses, which has important implications for efforts to contain the pandemic.","author":[{"dropping-particle":"","family":"Hoffmann","given":"Markus","non-dropping-particle":"","parse-names":false,"suffix":""},{"dropping-particle":"","family":"Arora","given":"Prerna","non-dropping-particle":"","parse-names":false,"suffix":""},{"dropping-particle":"","family":"Groß","given":"Rüdiger","non-dropping-particle":"","parse-names":false,"suffix":""},{"dropping-particle":"","family":"Seidel","given":"Alina","non-dropping-particle":"","parse-names":false,"suffix":""},{"dropping-particle":"","family":"Hörnich","given":"Bojan F.","non-dropping-particle":"","parse-names":false,"suffix":""},{"dropping-particle":"","family":"Hahn","given":"Alexander S.","non-dropping-particle":"","parse-names":false,"suffix":""},{"dropping-particle":"","family":"Krüger","given":"Nadine","non-dropping-particle":"","parse-names":false,"suffix":""},{"dropping-particle":"","family":"Graichen","given":"Luise","non-dropping-particle":"","parse-names":false,"suffix":""},{"dropping-particle":"","family":"Hofmann-Winkler","given":"Heike","non-dropping-particle":"","parse-names":false,"suffix":""},{"dropping-particle":"","family":"Kempf","given":"Amy","non-dropping-particle":"","parse-names":false,"suffix":""},{"dropping-particle":"","family":"Winkler","given":"Martin S.","non-dropping-particle":"","parse-names":false,"suffix":""},{"dropping-particle":"","family":"Schulz","given":"Sebastian","non-dropping-particle":"","parse-names":false,"suffix":""},{"dropping-particle":"","family":"Jäck","given":"Hans-Martin","non-dropping-particle":"","parse-names":false,"suffix":""},{"dropping-particle":"","family":"Jahrsdörfer","given":"Bernd","non-dropping-particle":"","parse-names":false,"suffix":""},{"dropping-particle":"","family":"Schrezenmeier","given":"Hubert","non-dropping-particle":"","parse-names":false,"suffix":""},{"dropping-particle":"","family":"Müller","given":"Martin","non-dropping-particle":"","parse-names":false,"suffix":""},{"dropping-particle":"","family":"Kleger","given":"Alexander","non-dropping-particle":"","parse-names":false,"suffix":""},{"dropping-particle":"","family":"Münch","given":"Jan","non-dropping-particle":"","parse-names":false,"suffix":""},{"dropping-particle":"","family":"Pöhlmann","given":"Stefan","non-dropping-particle":"","parse-names":false,"suffix":""}],"container-title":"Cell","id":"ITEM-1","issued":{"date-parts":[["2021"]]},"page":"2384-2393","title":"SARS-CoV-2 variants B.1.351 and P.1 escape from neutralizing antibodies","type":"article-journal"},"uris":["http://www.mendeley.com/documents/?uuid=9cf58bfd-f0f9-4dc1-a2a8-1d7ee4280af3"]}],"mendeley":{"formattedCitation":"&lt;sup&gt;2&lt;/sup&gt;","plainTextFormattedCitation":"2"},"properties":{"noteIndex":0},"schema":"https://github.com/citation-style-language/schema/raw/master/csl-citation.json"}</w:instrText>
      </w:r>
      <w:r w:rsidRPr="006E7C62">
        <w:rPr>
          <w:lang w:val="en-US"/>
        </w:rPr>
        <w:fldChar w:fldCharType="separate"/>
      </w:r>
      <w:r w:rsidRPr="00077482">
        <w:rPr>
          <w:noProof/>
          <w:vertAlign w:val="superscript"/>
          <w:lang w:val="en-US"/>
        </w:rPr>
        <w:t>2</w:t>
      </w:r>
      <w:r w:rsidRPr="006E7C62">
        <w:rPr>
          <w:lang w:val="en-US"/>
        </w:rPr>
        <w:fldChar w:fldCharType="end"/>
      </w:r>
      <w:r w:rsidRPr="006E7C62">
        <w:rPr>
          <w:lang w:val="en-US"/>
        </w:rPr>
        <w:t>. Briefly, the rhabdoviral pseudotype</w:t>
      </w:r>
      <w:r w:rsidR="00566A7A">
        <w:rPr>
          <w:lang w:val="en-US"/>
        </w:rPr>
        <w:t>d</w:t>
      </w:r>
      <w:r w:rsidRPr="006E7C62">
        <w:rPr>
          <w:lang w:val="en-US"/>
        </w:rPr>
        <w:t xml:space="preserve"> pa</w:t>
      </w:r>
      <w:r w:rsidR="00566A7A">
        <w:rPr>
          <w:lang w:val="en-US"/>
        </w:rPr>
        <w:t>r</w:t>
      </w:r>
      <w:r w:rsidRPr="006E7C62">
        <w:rPr>
          <w:lang w:val="en-US"/>
        </w:rPr>
        <w:t xml:space="preserve">ticles were produced </w:t>
      </w:r>
      <w:r w:rsidR="005D5059">
        <w:rPr>
          <w:lang w:val="en-US"/>
        </w:rPr>
        <w:t>in</w:t>
      </w:r>
      <w:r w:rsidR="005D5059" w:rsidRPr="006E7C62">
        <w:rPr>
          <w:lang w:val="en-US"/>
        </w:rPr>
        <w:t xml:space="preserve"> </w:t>
      </w:r>
      <w:r w:rsidRPr="006E7C62">
        <w:rPr>
          <w:lang w:val="en-US"/>
        </w:rPr>
        <w:t>293T cells transfected to express the desired SARS-CoV</w:t>
      </w:r>
      <w:r w:rsidR="005D5059">
        <w:rPr>
          <w:lang w:val="en-US"/>
        </w:rPr>
        <w:t>-</w:t>
      </w:r>
      <w:r w:rsidRPr="006E7C62">
        <w:rPr>
          <w:lang w:val="en-US"/>
        </w:rPr>
        <w:t xml:space="preserve">2-S variant </w:t>
      </w:r>
      <w:r w:rsidR="001C0F01" w:rsidRPr="006E7C62">
        <w:rPr>
          <w:lang w:val="en-US"/>
        </w:rPr>
        <w:t xml:space="preserve">inoculated with VSV*DG-FLuc, a replication-deficient </w:t>
      </w:r>
      <w:r w:rsidR="001C0F01" w:rsidRPr="006E7C62">
        <w:rPr>
          <w:lang w:val="en-US"/>
        </w:rPr>
        <w:lastRenderedPageBreak/>
        <w:t>VSV vector that encodes for enhanced green fluorescent protein and firefly luciferase (FLuc) instead of VSV-G protein</w:t>
      </w:r>
      <w:r w:rsidR="005D5059">
        <w:rPr>
          <w:lang w:val="en-US"/>
        </w:rPr>
        <w:t xml:space="preserve"> (kindly provided by Gert Zimmer, </w:t>
      </w:r>
      <w:r w:rsidR="005D5059" w:rsidRPr="005D5059">
        <w:rPr>
          <w:lang w:val="en-US"/>
        </w:rPr>
        <w:t>Institute of Virology and Immunology</w:t>
      </w:r>
      <w:r w:rsidR="005D5059">
        <w:rPr>
          <w:lang w:val="en-US"/>
        </w:rPr>
        <w:t>, Mittelhäusern, Switzerland)</w:t>
      </w:r>
      <w:r w:rsidR="001C0F01" w:rsidRPr="006E7C62">
        <w:rPr>
          <w:lang w:val="en-US"/>
        </w:rPr>
        <w:t xml:space="preserve">. </w:t>
      </w:r>
      <w:r w:rsidR="00BC069C" w:rsidRPr="006E7C62">
        <w:rPr>
          <w:lang w:val="en-US"/>
        </w:rPr>
        <w:t>Produced pseudoparticles were collected, cleared from cellular debr</w:t>
      </w:r>
      <w:r w:rsidR="00566A7A">
        <w:rPr>
          <w:lang w:val="en-US"/>
        </w:rPr>
        <w:t>i</w:t>
      </w:r>
      <w:r w:rsidR="00BC069C" w:rsidRPr="006E7C62">
        <w:rPr>
          <w:lang w:val="en-US"/>
        </w:rPr>
        <w:t xml:space="preserve">s by centrifugation and stored at -80 °C until used. </w:t>
      </w:r>
      <w:r w:rsidR="00077482" w:rsidRPr="00077482">
        <w:rPr>
          <w:lang w:val="en-US"/>
        </w:rPr>
        <w:t>For neutralization experiments, equal volumes of pseudotype</w:t>
      </w:r>
      <w:r w:rsidR="00566A7A">
        <w:rPr>
          <w:lang w:val="en-US"/>
        </w:rPr>
        <w:t>d</w:t>
      </w:r>
      <w:r w:rsidR="00077482" w:rsidRPr="00077482">
        <w:rPr>
          <w:lang w:val="en-US"/>
        </w:rPr>
        <w:t xml:space="preserve"> particles and heat-inactivated (56 °C, 30 min) plasma samples serially diluted in culture medium were mixed and incubated for 30 min at 37 °C. </w:t>
      </w:r>
      <w:r w:rsidR="00077482">
        <w:rPr>
          <w:lang w:val="en-US"/>
        </w:rPr>
        <w:t>Afterwards, the samples together with non-</w:t>
      </w:r>
      <w:r w:rsidR="006E7C62">
        <w:rPr>
          <w:lang w:val="en-US"/>
        </w:rPr>
        <w:t>plasma-exposed</w:t>
      </w:r>
      <w:r w:rsidR="00077482">
        <w:rPr>
          <w:lang w:val="en-US"/>
        </w:rPr>
        <w:t xml:space="preserve"> </w:t>
      </w:r>
      <w:r w:rsidR="00077482" w:rsidRPr="004E548F">
        <w:rPr>
          <w:lang w:val="en-US"/>
        </w:rPr>
        <w:t>pseudotype</w:t>
      </w:r>
      <w:r w:rsidR="006E7C62">
        <w:rPr>
          <w:lang w:val="en-US"/>
        </w:rPr>
        <w:t>d</w:t>
      </w:r>
      <w:r w:rsidR="00077482" w:rsidRPr="004E548F">
        <w:rPr>
          <w:lang w:val="en-US"/>
        </w:rPr>
        <w:t xml:space="preserve"> particles</w:t>
      </w:r>
      <w:r w:rsidR="00077482">
        <w:rPr>
          <w:lang w:val="en-US"/>
        </w:rPr>
        <w:t xml:space="preserve"> were used for</w:t>
      </w:r>
      <w:r w:rsidR="00077482" w:rsidRPr="006E7C62">
        <w:rPr>
          <w:lang w:val="en-US"/>
        </w:rPr>
        <w:t xml:space="preserve"> t</w:t>
      </w:r>
      <w:r w:rsidR="00077482">
        <w:rPr>
          <w:lang w:val="en-US"/>
        </w:rPr>
        <w:t>ransduction experiments. The</w:t>
      </w:r>
      <w:r w:rsidR="00FD738A">
        <w:rPr>
          <w:lang w:val="en-US"/>
        </w:rPr>
        <w:t xml:space="preserve"> assay was</w:t>
      </w:r>
      <w:r w:rsidR="00077482">
        <w:rPr>
          <w:lang w:val="en-US"/>
        </w:rPr>
        <w:t xml:space="preserve"> </w:t>
      </w:r>
      <w:r w:rsidR="00BC069C" w:rsidRPr="006E7C62">
        <w:rPr>
          <w:lang w:val="en-US"/>
        </w:rPr>
        <w:t xml:space="preserve">performed in 96-well plates in which </w:t>
      </w:r>
      <w:r w:rsidR="00077482" w:rsidRPr="006E7C62">
        <w:rPr>
          <w:lang w:val="en-US"/>
        </w:rPr>
        <w:t>Vero</w:t>
      </w:r>
      <w:r w:rsidR="00BC069C" w:rsidRPr="006E7C62">
        <w:rPr>
          <w:lang w:val="en-US"/>
        </w:rPr>
        <w:t xml:space="preserve"> cells were inoculated with the respective pseudoytpe</w:t>
      </w:r>
      <w:r w:rsidR="006E7C62">
        <w:rPr>
          <w:lang w:val="en-US"/>
        </w:rPr>
        <w:t>d</w:t>
      </w:r>
      <w:r w:rsidR="00BC069C" w:rsidRPr="006E7C62">
        <w:rPr>
          <w:lang w:val="en-US"/>
        </w:rPr>
        <w:t xml:space="preserve"> particles</w:t>
      </w:r>
      <w:r w:rsidR="0035547C">
        <w:rPr>
          <w:lang w:val="en-US"/>
        </w:rPr>
        <w:t>/plasma mixtures</w:t>
      </w:r>
      <w:r w:rsidR="00BC069C" w:rsidRPr="006E7C62">
        <w:rPr>
          <w:lang w:val="en-US"/>
        </w:rPr>
        <w:t xml:space="preserve">. The transduction efficacy was analyzed at 16-18 hr post inoculation by measuring FLuc activity </w:t>
      </w:r>
      <w:r w:rsidR="00FD738A">
        <w:rPr>
          <w:lang w:val="en-US"/>
        </w:rPr>
        <w:t>in</w:t>
      </w:r>
      <w:r w:rsidR="00FD738A" w:rsidRPr="006E7C62">
        <w:rPr>
          <w:lang w:val="en-US"/>
        </w:rPr>
        <w:t xml:space="preserve"> ly</w:t>
      </w:r>
      <w:r w:rsidR="00FD738A">
        <w:rPr>
          <w:lang w:val="en-US"/>
        </w:rPr>
        <w:t>s</w:t>
      </w:r>
      <w:r w:rsidR="00FD738A" w:rsidRPr="006E7C62">
        <w:rPr>
          <w:lang w:val="en-US"/>
        </w:rPr>
        <w:t>ed cells (Cell cu</w:t>
      </w:r>
      <w:r w:rsidR="00FD738A">
        <w:rPr>
          <w:lang w:val="en-US"/>
        </w:rPr>
        <w:t>l</w:t>
      </w:r>
      <w:r w:rsidR="00FD738A" w:rsidRPr="006E7C62">
        <w:rPr>
          <w:lang w:val="en-US"/>
        </w:rPr>
        <w:t>ture lysis reagent</w:t>
      </w:r>
      <w:r w:rsidR="00FD738A">
        <w:rPr>
          <w:lang w:val="en-US"/>
        </w:rPr>
        <w:t>,</w:t>
      </w:r>
      <w:r w:rsidR="00FD738A" w:rsidRPr="006E7C62">
        <w:rPr>
          <w:lang w:val="en-US"/>
        </w:rPr>
        <w:t xml:space="preserve"> Promega) </w:t>
      </w:r>
      <w:r w:rsidR="00BC069C" w:rsidRPr="006E7C62">
        <w:rPr>
          <w:lang w:val="en-US"/>
        </w:rPr>
        <w:t>using a commercial substrate (Beetle-Juice, PJK) and a plate luminometer (Hidex Sense Plate Reader</w:t>
      </w:r>
      <w:r w:rsidR="00FD738A">
        <w:rPr>
          <w:lang w:val="en-US"/>
        </w:rPr>
        <w:t>, Hidex</w:t>
      </w:r>
      <w:r w:rsidR="00BC069C" w:rsidRPr="006E7C62">
        <w:rPr>
          <w:lang w:val="en-US"/>
        </w:rPr>
        <w:t>).</w:t>
      </w:r>
      <w:r w:rsidR="00077482" w:rsidRPr="006E7C62">
        <w:rPr>
          <w:lang w:val="en-US"/>
        </w:rPr>
        <w:t xml:space="preserve"> </w:t>
      </w:r>
    </w:p>
    <w:p w14:paraId="79658D17" w14:textId="77777777" w:rsidR="00C56F3C" w:rsidRDefault="00C56F3C" w:rsidP="00B71EB7">
      <w:pPr>
        <w:rPr>
          <w:i/>
          <w:lang w:val="en-US"/>
        </w:rPr>
      </w:pPr>
    </w:p>
    <w:p w14:paraId="5B00FA57" w14:textId="0A126C09" w:rsidR="00B71EB7" w:rsidRPr="00C60BC0" w:rsidRDefault="00C56F3C" w:rsidP="00B71EB7">
      <w:pPr>
        <w:rPr>
          <w:i/>
          <w:lang w:val="en-US"/>
        </w:rPr>
      </w:pPr>
      <w:r>
        <w:rPr>
          <w:i/>
          <w:lang w:val="en-US"/>
        </w:rPr>
        <w:t>Serology</w:t>
      </w:r>
    </w:p>
    <w:p w14:paraId="1F4A342E" w14:textId="7231A263" w:rsidR="00025671" w:rsidRPr="00C60BC0" w:rsidRDefault="00B71EB7">
      <w:pPr>
        <w:rPr>
          <w:i/>
          <w:lang w:val="en-US"/>
        </w:rPr>
      </w:pPr>
      <w:r w:rsidRPr="00C60BC0">
        <w:rPr>
          <w:lang w:val="en-US"/>
        </w:rPr>
        <w:t>We determined SARS-CoV-2 IgG serology by quantitative ELISA (anti-SARS-</w:t>
      </w:r>
      <w:r w:rsidR="00885E09" w:rsidRPr="00C60BC0">
        <w:rPr>
          <w:lang w:val="en-US"/>
        </w:rPr>
        <w:t>C</w:t>
      </w:r>
      <w:r w:rsidR="00885E09">
        <w:rPr>
          <w:lang w:val="en-US"/>
        </w:rPr>
        <w:t>o</w:t>
      </w:r>
      <w:r w:rsidR="00885E09" w:rsidRPr="00C60BC0">
        <w:rPr>
          <w:lang w:val="en-US"/>
        </w:rPr>
        <w:t>V</w:t>
      </w:r>
      <w:r w:rsidRPr="00C60BC0">
        <w:rPr>
          <w:lang w:val="en-US"/>
        </w:rPr>
        <w:t xml:space="preserve">-2 S1 spike protein domain/receptor binding domain IgG SARS-CoV-2-QuantiVac, Euroimmun, Lübeck, Germany) according to the manufacturer’s instructions (dilution 1:400 or 1:600). We provide antibody levels expressed as RU/mL as assessed from a calibration curve with values above </w:t>
      </w:r>
      <w:r w:rsidR="002E2EBE" w:rsidRPr="00C60BC0">
        <w:rPr>
          <w:lang w:val="en-US"/>
        </w:rPr>
        <w:t>1</w:t>
      </w:r>
      <w:r w:rsidR="002E2EBE">
        <w:rPr>
          <w:lang w:val="en-US"/>
        </w:rPr>
        <w:t>1</w:t>
      </w:r>
      <w:r w:rsidR="002E2EBE" w:rsidRPr="00C60BC0">
        <w:rPr>
          <w:lang w:val="en-US"/>
        </w:rPr>
        <w:t xml:space="preserve"> </w:t>
      </w:r>
      <w:r w:rsidRPr="00C60BC0">
        <w:rPr>
          <w:lang w:val="en-US"/>
        </w:rPr>
        <w:t>RU/mL defined as positive. We performed anti-SARS-</w:t>
      </w:r>
      <w:r w:rsidR="00885E09" w:rsidRPr="00C60BC0">
        <w:rPr>
          <w:lang w:val="en-US"/>
        </w:rPr>
        <w:t>C</w:t>
      </w:r>
      <w:r w:rsidR="00885E09">
        <w:rPr>
          <w:lang w:val="en-US"/>
        </w:rPr>
        <w:t>o</w:t>
      </w:r>
      <w:r w:rsidR="00885E09" w:rsidRPr="00C60BC0">
        <w:rPr>
          <w:lang w:val="en-US"/>
        </w:rPr>
        <w:t>V</w:t>
      </w:r>
      <w:r w:rsidRPr="00C60BC0">
        <w:rPr>
          <w:lang w:val="en-US"/>
        </w:rPr>
        <w:t xml:space="preserve">-2 S1 spike protein domain IgA or </w:t>
      </w:r>
      <w:r w:rsidR="00C56F3C">
        <w:rPr>
          <w:lang w:val="en-US"/>
        </w:rPr>
        <w:t>anti SARS-CoV-2 nucle</w:t>
      </w:r>
      <w:r w:rsidRPr="00C60BC0">
        <w:rPr>
          <w:lang w:val="en-US"/>
        </w:rPr>
        <w:t>ocapsid (NCP) IgG measurements according to the manufacturer’s instructions (Euroimmun, Lübeck, Germany) and expressed antibody amounts as IgA ratio (optical density divided by calibrator).</w:t>
      </w:r>
    </w:p>
    <w:p w14:paraId="7CC09D3A" w14:textId="77777777" w:rsidR="00033EDE" w:rsidRPr="00C60BC0" w:rsidRDefault="00033EDE">
      <w:pPr>
        <w:rPr>
          <w:i/>
          <w:lang w:val="en-US"/>
        </w:rPr>
      </w:pPr>
      <w:r w:rsidRPr="00C60BC0">
        <w:rPr>
          <w:i/>
          <w:lang w:val="en-US"/>
        </w:rPr>
        <w:t>Surrogate virus neutralization assay (sVNT)</w:t>
      </w:r>
      <w:r w:rsidR="002E3D82" w:rsidRPr="00C60BC0">
        <w:rPr>
          <w:i/>
          <w:lang w:val="en-US"/>
        </w:rPr>
        <w:t xml:space="preserve"> for SARS-CoV-2 variants</w:t>
      </w:r>
    </w:p>
    <w:p w14:paraId="045CB615" w14:textId="65AB9DBD" w:rsidR="00033EDE" w:rsidRPr="00C60BC0" w:rsidRDefault="0015503B">
      <w:pPr>
        <w:rPr>
          <w:lang w:val="en-US"/>
        </w:rPr>
      </w:pPr>
      <w:r w:rsidRPr="00C60BC0">
        <w:rPr>
          <w:lang w:val="en-US"/>
        </w:rPr>
        <w:t>T</w:t>
      </w:r>
      <w:r w:rsidR="00B55040" w:rsidRPr="00C60BC0">
        <w:rPr>
          <w:lang w:val="en-US"/>
        </w:rPr>
        <w:t xml:space="preserve">o determine neutralizing </w:t>
      </w:r>
      <w:r w:rsidRPr="00C60BC0">
        <w:rPr>
          <w:lang w:val="en-US"/>
        </w:rPr>
        <w:t>antibodies against Wuhan</w:t>
      </w:r>
      <w:r w:rsidR="00023633">
        <w:rPr>
          <w:lang w:val="en-US"/>
        </w:rPr>
        <w:t>-Spike</w:t>
      </w:r>
      <w:r w:rsidRPr="00C60BC0">
        <w:rPr>
          <w:lang w:val="en-US"/>
        </w:rPr>
        <w:t>, B.1.1.7-Spike (British), P.1-Spike (</w:t>
      </w:r>
      <w:r w:rsidR="00885E09">
        <w:rPr>
          <w:lang w:val="en-US"/>
        </w:rPr>
        <w:t xml:space="preserve">formerly named </w:t>
      </w:r>
      <w:r w:rsidRPr="00C60BC0">
        <w:rPr>
          <w:lang w:val="en-US"/>
        </w:rPr>
        <w:t xml:space="preserve">B.1.1.28.1; Brazilian), and B.1.351-Spike (South African) variants of </w:t>
      </w:r>
      <w:r w:rsidR="00B55040" w:rsidRPr="00C60BC0">
        <w:rPr>
          <w:lang w:val="en-US"/>
        </w:rPr>
        <w:t>SARS-CoV-2-S in plasma</w:t>
      </w:r>
      <w:r w:rsidRPr="00C60BC0">
        <w:rPr>
          <w:lang w:val="en-US"/>
        </w:rPr>
        <w:t xml:space="preserve">, we modified our </w:t>
      </w:r>
      <w:r w:rsidR="00025671" w:rsidRPr="00C60BC0">
        <w:rPr>
          <w:lang w:val="en-US"/>
        </w:rPr>
        <w:t xml:space="preserve">recently established </w:t>
      </w:r>
      <w:r w:rsidRPr="00C60BC0">
        <w:rPr>
          <w:lang w:val="en-US"/>
        </w:rPr>
        <w:t xml:space="preserve">surrogate virus neutralization test (sVNT) </w:t>
      </w:r>
      <w:r w:rsidRPr="00C60BC0">
        <w:rPr>
          <w:lang w:val="en-US"/>
        </w:rPr>
        <w:fldChar w:fldCharType="begin" w:fldLock="1"/>
      </w:r>
      <w:r w:rsidR="008539E0">
        <w:rPr>
          <w:lang w:val="en-US"/>
        </w:rPr>
        <w:instrText>ADDIN CSL_CITATION {"citationItems":[{"id":"ITEM-1","itemData":{"DOI":"10.1038/s41423-020-00573-9","ISBN":"4142302000","ISSN":"1672-7681","PMID":"33139905","abstract":"Neutralizing antibodies targeting the receptor-binding domain (RBD) of the SARS-CoV-2 spike (S) block severe acute respiratory syndrome coronavirus 2 (SARS-CoV-2) entry into cells via surface-expressed angiotensin-converting enzyme 2 (ACE2). We used a surrogate virus neutralization test (sVNT) and SARS-CoV-2 S protein-pseudotyped vesicular stomatitis virus (VSV) vector-based neutralization assay (pVNT) to assess the degree to which serum antibodies from coronavirus disease 2019 (COVID-19) convalescent patients interfere with the binding of SARS-CoV-2 S to ACE2. Both tests revealed neutralizing anti-SARS-CoV-2 S antibodies in the sera of ~90% of mildly and 100% of severely affected COVID-19 convalescent patients. Importantly, sVNT and pVNT results correlated strongly with each other and to the levels of anti-SARS-CoV-2 S1 IgG and IgA antibodies. Moreover, levels of neutralizing antibodies correlated with the duration and severity of clinical symptoms but not with patient age. Compared to pVNT, sVNT is less sophisticated and does not require any biosafety labs. Since this assay is also much faster and cheaper, sVNT will not only be important for evaluating the prevalence of neutralizing antibodies in a population but also for identifying promising plasma donors for successful passive antibody therapy.","author":[{"dropping-particle":"","family":"Bošnjak","given":"Berislav","non-dropping-particle":"","parse-names":false,"suffix":""},{"dropping-particle":"","family":"Stein","given":"Saskia Catherina","non-dropping-particle":"","parse-names":false,"suffix":""},{"dropping-particle":"","family":"Willenzon","given":"Stefanie","non-dropping-particle":"","parse-names":false,"suffix":""},{"dropping-particle":"","family":"Cordes","given":"Anne Katrin","non-dropping-particle":"","parse-names":false,"suffix":""},{"dropping-particle":"","family":"Puppe","given":"Wolfram","non-dropping-particle":"","parse-names":false,"suffix":""},{"dropping-particle":"","family":"Bernhardt","given":"Günter","non-dropping-particle":"","parse-names":false,"suffix":""},{"dropping-particle":"","family":"Ravens","given":"Inga","non-dropping-particle":"","parse-names":false,"suffix":""},{"dropping-particle":"","family":"Ritter","given":"Christiane","non-dropping-particle":"","parse-names":false,"suffix":""},{"dropping-particle":"","family":"Schultze-Florey","given":"Christian R.","non-dropping-particle":"","parse-names":false,"suffix":""},{"dropping-particle":"","family":"Gödecke","given":"Nina","non-dropping-particle":"","parse-names":false,"suffix":""},{"dropping-particle":"","family":"Martens","given":"Jörg","non-dropping-particle":"","parse-names":false,"suffix":""},{"dropping-particle":"","family":"Kleine-Weber","given":"Hannah","non-dropping-particle":"","parse-names":false,"suffix":""},{"dropping-particle":"","family":"Hoffmann","given":"Markus","non-dropping-particle":"","parse-names":false,"suffix":""},{"dropping-particle":"","family":"Cossmann","given":"Anne","non-dropping-particle":"","parse-names":false,"suffix":""},{"dropping-particle":"","family":"Yilmaz","given":"Mustafa","non-dropping-particle":"","parse-names":false,"suffix":""},{"dropping-particle":"","family":"Pink","given":"Isabelle","non-dropping-particle":"","parse-names":false,"suffix":""},{"dropping-particle":"","family":"Hoeper","given":"Marius M","non-dropping-particle":"","parse-names":false,"suffix":""},{"dropping-particle":"","family":"Behrens","given":"Georg M N","non-dropping-particle":"","parse-names":false,"suffix":""},{"dropping-particle":"","family":"Pöhlmann","given":"Stefan","non-dropping-particle":"","parse-names":false,"suffix":""},{"dropping-particle":"","family":"Blasczyk","given":"Rainer","non-dropping-particle":"","parse-names":false,"suffix":""},{"dropping-particle":"","family":"Schulz","given":"Thomas F.","non-dropping-particle":"","parse-names":false,"suffix":""},{"dropping-particle":"","family":"Förster","given":"Reinhold","non-dropping-particle":"","parse-names":false,"suffix":""}],"container-title":"Cellular &amp; Molecular Immunology","id":"ITEM-1","issue":"July","issued":{"date-parts":[["2020","11","2"]]},"page":"1-9","title":"Low serum neutralizing anti-SARS-CoV-2 S antibody levels in mildly affected COVID-19 convalescent patients revealed by two different detection methods","type":"article-journal"},"uris":["http://www.mendeley.com/documents/?uuid=c61b1ccb-cd67-4f5a-808a-c35c53516853"]}],"mendeley":{"formattedCitation":"&lt;sup&gt;3&lt;/sup&gt;","plainTextFormattedCitation":"3","previouslyFormattedCitation":"&lt;sup&gt;2&lt;/sup&gt;"},"properties":{"noteIndex":0},"schema":"https://github.com/citation-style-language/schema/raw/master/csl-citation.json"}</w:instrText>
      </w:r>
      <w:r w:rsidRPr="00C60BC0">
        <w:rPr>
          <w:lang w:val="en-US"/>
        </w:rPr>
        <w:fldChar w:fldCharType="separate"/>
      </w:r>
      <w:r w:rsidR="008539E0" w:rsidRPr="008539E0">
        <w:rPr>
          <w:noProof/>
          <w:vertAlign w:val="superscript"/>
          <w:lang w:val="en-US"/>
        </w:rPr>
        <w:t>3</w:t>
      </w:r>
      <w:r w:rsidRPr="00C60BC0">
        <w:rPr>
          <w:lang w:val="en-US"/>
        </w:rPr>
        <w:fldChar w:fldCharType="end"/>
      </w:r>
      <w:r w:rsidR="00B55040" w:rsidRPr="00C60BC0">
        <w:rPr>
          <w:lang w:val="en-US"/>
        </w:rPr>
        <w:t>.</w:t>
      </w:r>
      <w:r w:rsidR="00025671" w:rsidRPr="00C60BC0">
        <w:rPr>
          <w:lang w:val="en-US"/>
        </w:rPr>
        <w:t xml:space="preserve"> In detail, MaxiSorp 96F plates (Nunc) were coated with recombinant soluble hACE2-Fc(IgG1) protein at 300 ng per well in 50 μl coating buffer (30 mM Na</w:t>
      </w:r>
      <w:r w:rsidR="00025671" w:rsidRPr="00C60BC0">
        <w:rPr>
          <w:vertAlign w:val="subscript"/>
          <w:lang w:val="en-US"/>
        </w:rPr>
        <w:t>2</w:t>
      </w:r>
      <w:r w:rsidR="00025671" w:rsidRPr="00C60BC0">
        <w:rPr>
          <w:lang w:val="en-US"/>
        </w:rPr>
        <w:t>CO</w:t>
      </w:r>
      <w:r w:rsidR="00025671" w:rsidRPr="00C60BC0">
        <w:rPr>
          <w:vertAlign w:val="subscript"/>
          <w:lang w:val="en-US"/>
        </w:rPr>
        <w:t>3</w:t>
      </w:r>
      <w:r w:rsidR="00025671" w:rsidRPr="00C60BC0">
        <w:rPr>
          <w:lang w:val="en-US"/>
        </w:rPr>
        <w:t>, 70 mM NaHCO</w:t>
      </w:r>
      <w:r w:rsidR="00025671" w:rsidRPr="00C60BC0">
        <w:rPr>
          <w:vertAlign w:val="subscript"/>
          <w:lang w:val="en-US"/>
        </w:rPr>
        <w:t>3</w:t>
      </w:r>
      <w:r w:rsidR="00025671" w:rsidRPr="00C60BC0">
        <w:rPr>
          <w:lang w:val="en-US"/>
        </w:rPr>
        <w:t xml:space="preserve">, pH 9.6) at 4 °C overnight. After blocking with hACE2-Fc(IgG1), plates were washed with phosphate-buffered saline, 0.05% Tween-20 (PBST) and blocked with BD OptEIA Assay Diluent for 1.5 h at 37 °C. In the meantime, </w:t>
      </w:r>
      <w:r w:rsidR="00F310D4" w:rsidRPr="00C60BC0">
        <w:rPr>
          <w:lang w:val="en-US"/>
        </w:rPr>
        <w:t xml:space="preserve">plasma samples were serially diluted threefold starting at 1:20 and then pre-incubated </w:t>
      </w:r>
      <w:r w:rsidR="002E3D82" w:rsidRPr="00C60BC0">
        <w:rPr>
          <w:lang w:val="en-US"/>
        </w:rPr>
        <w:t xml:space="preserve">for </w:t>
      </w:r>
      <w:r w:rsidR="002E3D82" w:rsidRPr="00C60BC0">
        <w:rPr>
          <w:lang w:val="en-US"/>
        </w:rPr>
        <w:lastRenderedPageBreak/>
        <w:t xml:space="preserve">1 h at 37 °C </w:t>
      </w:r>
      <w:r w:rsidR="00F310D4" w:rsidRPr="00C60BC0">
        <w:rPr>
          <w:lang w:val="en-US"/>
        </w:rPr>
        <w:t xml:space="preserve">with </w:t>
      </w:r>
      <w:r w:rsidR="008F6FBC" w:rsidRPr="00C60BC0">
        <w:rPr>
          <w:lang w:val="en-US"/>
        </w:rPr>
        <w:t>1.5</w:t>
      </w:r>
      <w:r w:rsidR="00F310D4" w:rsidRPr="00C60BC0">
        <w:rPr>
          <w:lang w:val="en-US"/>
        </w:rPr>
        <w:t xml:space="preserve"> ng recombinant </w:t>
      </w:r>
      <w:r w:rsidR="002E3D82" w:rsidRPr="00C60BC0">
        <w:rPr>
          <w:lang w:val="en-US"/>
        </w:rPr>
        <w:t xml:space="preserve">SARS-CoV-2 Spike </w:t>
      </w:r>
      <w:r w:rsidR="00B43336" w:rsidRPr="00C60BC0">
        <w:rPr>
          <w:lang w:val="en-US"/>
        </w:rPr>
        <w:t xml:space="preserve">RBD </w:t>
      </w:r>
      <w:r w:rsidR="002E3D82" w:rsidRPr="00C60BC0">
        <w:rPr>
          <w:lang w:val="en-US"/>
        </w:rPr>
        <w:t>of either the Wuhan strain</w:t>
      </w:r>
      <w:r w:rsidR="00F310D4" w:rsidRPr="00C60BC0">
        <w:rPr>
          <w:lang w:val="en-US"/>
        </w:rPr>
        <w:t xml:space="preserve"> (Trenzyme)</w:t>
      </w:r>
      <w:r w:rsidR="002E3D82" w:rsidRPr="00C60BC0">
        <w:rPr>
          <w:lang w:val="en-US"/>
        </w:rPr>
        <w:t xml:space="preserve">, </w:t>
      </w:r>
      <w:r w:rsidR="004671D3" w:rsidRPr="00C60BC0">
        <w:rPr>
          <w:lang w:val="en-US"/>
        </w:rPr>
        <w:t>the B.1.1.7 variant (N501Y), the B.1.351 variant (K417N, E484K, N501Y) or the P.1 variant (K417T, E484K, N501Y) (</w:t>
      </w:r>
      <w:r w:rsidR="00822384" w:rsidRPr="00C60BC0">
        <w:rPr>
          <w:lang w:val="en-US"/>
        </w:rPr>
        <w:t>the latter three</w:t>
      </w:r>
      <w:r w:rsidR="004671D3" w:rsidRPr="00C60BC0">
        <w:rPr>
          <w:lang w:val="en-US"/>
        </w:rPr>
        <w:t xml:space="preserve"> from SinoBiological)</w:t>
      </w:r>
      <w:r w:rsidR="003F49D9" w:rsidRPr="00C60BC0">
        <w:rPr>
          <w:lang w:val="en-US"/>
        </w:rPr>
        <w:t>, all with a C-terminal His-Tag</w:t>
      </w:r>
      <w:r w:rsidR="004671D3" w:rsidRPr="00C60BC0">
        <w:rPr>
          <w:lang w:val="en-US"/>
        </w:rPr>
        <w:t>.</w:t>
      </w:r>
      <w:r w:rsidR="00B43336" w:rsidRPr="00C60BC0">
        <w:rPr>
          <w:lang w:val="en-US"/>
        </w:rPr>
        <w:t xml:space="preserve"> </w:t>
      </w:r>
      <w:r w:rsidR="00FF6013" w:rsidRPr="00C60BC0">
        <w:rPr>
          <w:lang w:val="en-US"/>
        </w:rPr>
        <w:t xml:space="preserve">BD OptEIA </w:t>
      </w:r>
      <w:r w:rsidR="002E3D82" w:rsidRPr="00C60BC0">
        <w:rPr>
          <w:lang w:val="en-US"/>
        </w:rPr>
        <w:t>Assay Diluent was used for preparing</w:t>
      </w:r>
      <w:r w:rsidR="00FF6013" w:rsidRPr="00C60BC0">
        <w:rPr>
          <w:lang w:val="en-US"/>
        </w:rPr>
        <w:t xml:space="preserve"> plasma</w:t>
      </w:r>
      <w:r w:rsidR="002E3D82" w:rsidRPr="00C60BC0">
        <w:rPr>
          <w:lang w:val="en-US"/>
        </w:rPr>
        <w:t xml:space="preserve"> </w:t>
      </w:r>
      <w:r w:rsidR="003F49D9" w:rsidRPr="00C60BC0">
        <w:rPr>
          <w:lang w:val="en-US"/>
        </w:rPr>
        <w:t xml:space="preserve">sample </w:t>
      </w:r>
      <w:r w:rsidR="002E3D82" w:rsidRPr="00C60BC0">
        <w:rPr>
          <w:lang w:val="en-US"/>
        </w:rPr>
        <w:t>a</w:t>
      </w:r>
      <w:r w:rsidR="00B43336" w:rsidRPr="00C60BC0">
        <w:rPr>
          <w:lang w:val="en-US"/>
        </w:rPr>
        <w:t>s well as</w:t>
      </w:r>
      <w:r w:rsidR="002E3D82" w:rsidRPr="00C60BC0">
        <w:rPr>
          <w:lang w:val="en-US"/>
        </w:rPr>
        <w:t xml:space="preserve"> RBD dilutions.</w:t>
      </w:r>
      <w:r w:rsidR="003F49D9" w:rsidRPr="00C60BC0">
        <w:rPr>
          <w:lang w:val="en-US"/>
        </w:rPr>
        <w:t xml:space="preserve"> After pre-incubation </w:t>
      </w:r>
      <w:r w:rsidR="00822384" w:rsidRPr="00C60BC0">
        <w:rPr>
          <w:lang w:val="en-US"/>
        </w:rPr>
        <w:t xml:space="preserve">with SARS-CoV-2 Spike RBDs, plasma samples were </w:t>
      </w:r>
      <w:r w:rsidR="00104947" w:rsidRPr="00C60BC0">
        <w:rPr>
          <w:lang w:val="en-US"/>
        </w:rPr>
        <w:t>given</w:t>
      </w:r>
      <w:r w:rsidR="00F310D4" w:rsidRPr="00C60BC0">
        <w:rPr>
          <w:lang w:val="en-US"/>
        </w:rPr>
        <w:t xml:space="preserve"> onto the hACE2-coated MaxiSorp ELISA plates for 1 h at 37 °C.</w:t>
      </w:r>
      <w:r w:rsidR="00822384" w:rsidRPr="00C60BC0">
        <w:rPr>
          <w:lang w:val="en-US"/>
        </w:rPr>
        <w:t xml:space="preserve"> SARS-CoV-2 Spike RBDs </w:t>
      </w:r>
      <w:r w:rsidR="00025671" w:rsidRPr="00C60BC0">
        <w:rPr>
          <w:lang w:val="en-US"/>
        </w:rPr>
        <w:t>pre-incubat</w:t>
      </w:r>
      <w:r w:rsidR="008F6FBC" w:rsidRPr="00C60BC0">
        <w:rPr>
          <w:lang w:val="en-US"/>
        </w:rPr>
        <w:t xml:space="preserve">ed with buffer only served as </w:t>
      </w:r>
      <w:r w:rsidR="00025671" w:rsidRPr="00C60BC0">
        <w:rPr>
          <w:lang w:val="en-US"/>
        </w:rPr>
        <w:t>negative control</w:t>
      </w:r>
      <w:r w:rsidR="008F6FBC" w:rsidRPr="00C60BC0">
        <w:rPr>
          <w:lang w:val="en-US"/>
        </w:rPr>
        <w:t>s</w:t>
      </w:r>
      <w:r w:rsidR="00025671" w:rsidRPr="00C60BC0">
        <w:rPr>
          <w:lang w:val="en-US"/>
        </w:rPr>
        <w:t xml:space="preserve"> for inhibition. Plates were washed three times with PBST and </w:t>
      </w:r>
      <w:r w:rsidR="00104947" w:rsidRPr="00C60BC0">
        <w:rPr>
          <w:lang w:val="en-US"/>
        </w:rPr>
        <w:t xml:space="preserve">incubated with </w:t>
      </w:r>
      <w:r w:rsidR="00025671" w:rsidRPr="00C60BC0">
        <w:rPr>
          <w:lang w:val="en-US"/>
        </w:rPr>
        <w:t xml:space="preserve">an HRP-conjugated anti-His-tag antibody (clone HIS 3D5, provided by Helmholtz Zentrum München) for 1 h at 37 °C. Unbound antibody was removed by </w:t>
      </w:r>
      <w:r w:rsidR="00F310D4" w:rsidRPr="00C60BC0">
        <w:rPr>
          <w:lang w:val="en-US"/>
        </w:rPr>
        <w:t>six</w:t>
      </w:r>
      <w:r w:rsidR="00025671" w:rsidRPr="00C60BC0">
        <w:rPr>
          <w:lang w:val="en-US"/>
        </w:rPr>
        <w:t xml:space="preserve"> washes with PBST. A colorimetric signal was developed on the enzymatic reaction of HRP with the chromogenic substrate 3,3'</w:t>
      </w:r>
      <w:r w:rsidR="00EC3583" w:rsidRPr="00C60BC0">
        <w:rPr>
          <w:lang w:val="en-US"/>
        </w:rPr>
        <w:t>,5,5'-tetramethylbenzidine</w:t>
      </w:r>
      <w:r w:rsidR="00025671" w:rsidRPr="00C60BC0">
        <w:rPr>
          <w:lang w:val="en-US"/>
        </w:rPr>
        <w:t xml:space="preserve"> (</w:t>
      </w:r>
      <w:r w:rsidR="00530335" w:rsidRPr="00C60BC0">
        <w:rPr>
          <w:lang w:val="en-US"/>
        </w:rPr>
        <w:t xml:space="preserve">BD OptEIA </w:t>
      </w:r>
      <w:r w:rsidR="00025671" w:rsidRPr="00C60BC0">
        <w:rPr>
          <w:lang w:val="en-US"/>
        </w:rPr>
        <w:t>TMB Substrate Reagent Set). An equal volume of 0.2 M H</w:t>
      </w:r>
      <w:r w:rsidR="00025671" w:rsidRPr="00C60BC0">
        <w:rPr>
          <w:vertAlign w:val="subscript"/>
          <w:lang w:val="en-US"/>
        </w:rPr>
        <w:t>2</w:t>
      </w:r>
      <w:r w:rsidR="00025671" w:rsidRPr="00C60BC0">
        <w:rPr>
          <w:lang w:val="en-US"/>
        </w:rPr>
        <w:t>SO</w:t>
      </w:r>
      <w:r w:rsidR="00025671" w:rsidRPr="00C60BC0">
        <w:rPr>
          <w:vertAlign w:val="subscript"/>
          <w:lang w:val="en-US"/>
        </w:rPr>
        <w:t>4</w:t>
      </w:r>
      <w:r w:rsidR="00025671" w:rsidRPr="00C60BC0">
        <w:rPr>
          <w:lang w:val="en-US"/>
        </w:rPr>
        <w:t xml:space="preserve"> was added to stop the react</w:t>
      </w:r>
      <w:r w:rsidR="00EC3583" w:rsidRPr="00C60BC0">
        <w:rPr>
          <w:lang w:val="en-US"/>
        </w:rPr>
        <w:t>ion, and the absorbance readings</w:t>
      </w:r>
      <w:r w:rsidR="00025671" w:rsidRPr="00C60BC0">
        <w:rPr>
          <w:lang w:val="en-US"/>
        </w:rPr>
        <w:t xml:space="preserve"> at 450 nm and 570 nm were acquired using a SpectraMax iD3 microplate reader (Molecular Devices). </w:t>
      </w:r>
      <w:r w:rsidR="00EC3583" w:rsidRPr="00C60BC0">
        <w:rPr>
          <w:lang w:val="en-US"/>
        </w:rPr>
        <w:t xml:space="preserve">For each well, the percent inhibition was calculated from optical density (OD) values after subtraction of background values as: Inhibition (%) = (1 − Sample OD value/Average SARS-CoV-2 S RBD OD value) × 100. Neutralizing sVNT titers were determined as the dilution with binding reduction &gt; mean + 2SD of values from a plasma pool </w:t>
      </w:r>
      <w:r w:rsidR="00B375A4" w:rsidRPr="00C60BC0">
        <w:rPr>
          <w:lang w:val="en-US"/>
        </w:rPr>
        <w:t>consisting of three pre</w:t>
      </w:r>
      <w:r w:rsidR="003F49D9" w:rsidRPr="00C60BC0">
        <w:rPr>
          <w:lang w:val="en-US"/>
        </w:rPr>
        <w:t>-</w:t>
      </w:r>
      <w:r w:rsidR="00B375A4" w:rsidRPr="00C60BC0">
        <w:rPr>
          <w:lang w:val="en-US"/>
        </w:rPr>
        <w:t>pandemic plasma samples.</w:t>
      </w:r>
      <w:r w:rsidR="00025671" w:rsidRPr="00C60BC0">
        <w:rPr>
          <w:lang w:val="en-US"/>
        </w:rPr>
        <w:t xml:space="preserve"> </w:t>
      </w:r>
      <w:r w:rsidR="00104947" w:rsidRPr="00C60BC0">
        <w:rPr>
          <w:lang w:val="en-US"/>
        </w:rPr>
        <w:t xml:space="preserve"> </w:t>
      </w:r>
    </w:p>
    <w:p w14:paraId="73C1E86A" w14:textId="77777777" w:rsidR="00DE635E" w:rsidRPr="00C60BC0" w:rsidRDefault="00DE635E" w:rsidP="00DE635E">
      <w:pPr>
        <w:rPr>
          <w:i/>
          <w:lang w:val="en-US"/>
        </w:rPr>
      </w:pPr>
      <w:r w:rsidRPr="00C60BC0">
        <w:rPr>
          <w:i/>
          <w:lang w:val="en-US"/>
        </w:rPr>
        <w:t>SARS-CoV-2 protein peptide pools</w:t>
      </w:r>
    </w:p>
    <w:p w14:paraId="70FE31D3" w14:textId="74146E82" w:rsidR="00DE635E" w:rsidRPr="00C60BC0" w:rsidRDefault="00AD139F" w:rsidP="00DE635E">
      <w:pPr>
        <w:rPr>
          <w:lang w:val="en-US"/>
        </w:rPr>
      </w:pPr>
      <w:r w:rsidRPr="00C60BC0">
        <w:rPr>
          <w:lang w:val="en-US"/>
        </w:rPr>
        <w:t>We ordered 15 a</w:t>
      </w:r>
      <w:r w:rsidR="002535CE" w:rsidRPr="00C60BC0">
        <w:rPr>
          <w:lang w:val="en-US"/>
        </w:rPr>
        <w:t>minoacid (a</w:t>
      </w:r>
      <w:r w:rsidRPr="00C60BC0">
        <w:rPr>
          <w:lang w:val="en-US"/>
        </w:rPr>
        <w:t>a</w:t>
      </w:r>
      <w:r w:rsidR="002535CE" w:rsidRPr="00C60BC0">
        <w:rPr>
          <w:lang w:val="en-US"/>
        </w:rPr>
        <w:t>)</w:t>
      </w:r>
      <w:r w:rsidRPr="00C60BC0">
        <w:rPr>
          <w:lang w:val="en-US"/>
        </w:rPr>
        <w:t xml:space="preserve"> long and 10 aa overlapping </w:t>
      </w:r>
      <w:r w:rsidR="00DE635E" w:rsidRPr="00C60BC0">
        <w:rPr>
          <w:lang w:val="en-US"/>
        </w:rPr>
        <w:t>peptide</w:t>
      </w:r>
      <w:r w:rsidRPr="00C60BC0">
        <w:rPr>
          <w:lang w:val="en-US"/>
        </w:rPr>
        <w:t xml:space="preserve"> pool</w:t>
      </w:r>
      <w:r w:rsidR="00DE635E" w:rsidRPr="00C60BC0">
        <w:rPr>
          <w:lang w:val="en-US"/>
        </w:rPr>
        <w:t xml:space="preserve">s spanning the whole length of SARS-CoV2-S (total 253 peptides), -M (43 peptides), -N (82 peptides) or –E (12 peptides; peptide no 4 could not be synthesized) </w:t>
      </w:r>
      <w:r w:rsidRPr="00C60BC0">
        <w:rPr>
          <w:lang w:val="en-US"/>
        </w:rPr>
        <w:t xml:space="preserve">from </w:t>
      </w:r>
      <w:r w:rsidR="00DE635E" w:rsidRPr="00C60BC0">
        <w:rPr>
          <w:lang w:val="en-US"/>
        </w:rPr>
        <w:t>GeneScript. All lyophilized peptides</w:t>
      </w:r>
      <w:r w:rsidRPr="00C60BC0">
        <w:rPr>
          <w:lang w:val="en-US"/>
        </w:rPr>
        <w:t xml:space="preserve"> were synthesized</w:t>
      </w:r>
      <w:r w:rsidR="00DE635E" w:rsidRPr="00C60BC0">
        <w:rPr>
          <w:lang w:val="en-US"/>
        </w:rPr>
        <w:t xml:space="preserve"> </w:t>
      </w:r>
      <w:r w:rsidRPr="00C60BC0">
        <w:rPr>
          <w:lang w:val="en-US"/>
        </w:rPr>
        <w:t xml:space="preserve">at &gt;95% purity and </w:t>
      </w:r>
      <w:r w:rsidR="00DE635E" w:rsidRPr="00C60BC0">
        <w:rPr>
          <w:lang w:val="en-US"/>
        </w:rPr>
        <w:t>reconstituted at a stock concentration of 50 mg/mL in DMSO (Sigma-Aldrich)</w:t>
      </w:r>
      <w:r w:rsidRPr="00C60BC0">
        <w:rPr>
          <w:lang w:val="en-US"/>
        </w:rPr>
        <w:t>,</w:t>
      </w:r>
      <w:r w:rsidR="00DE635E" w:rsidRPr="00C60BC0">
        <w:rPr>
          <w:lang w:val="en-US"/>
        </w:rPr>
        <w:t xml:space="preserve"> except for 9 SARS-CoV2-S overlapping peptides (number 24, 190, 191, 225, 226, 234, 244, 245 and 246), 2 for SARS-CoV2-M (number 15 and 16), 1 for SARS-CoV2-N (number 61) and all 12 SARS-CoV2-E peptides that were dissolved at 25 mg/mL due to solubility issues. All peptides</w:t>
      </w:r>
      <w:r w:rsidRPr="00C60BC0">
        <w:rPr>
          <w:lang w:val="en-US"/>
        </w:rPr>
        <w:t xml:space="preserve"> in DMSO stocks</w:t>
      </w:r>
      <w:r w:rsidR="00DE635E" w:rsidRPr="00C60BC0">
        <w:rPr>
          <w:lang w:val="en-US"/>
        </w:rPr>
        <w:t xml:space="preserve"> were stored at -80°C </w:t>
      </w:r>
      <w:r w:rsidR="002535CE" w:rsidRPr="00C60BC0">
        <w:rPr>
          <w:lang w:val="en-US"/>
        </w:rPr>
        <w:t>until used</w:t>
      </w:r>
      <w:r w:rsidR="00DE635E" w:rsidRPr="00C60BC0">
        <w:rPr>
          <w:lang w:val="en-US"/>
        </w:rPr>
        <w:t>.</w:t>
      </w:r>
    </w:p>
    <w:p w14:paraId="62CA6DA7" w14:textId="77777777" w:rsidR="00DE635E" w:rsidRPr="00C60BC0" w:rsidRDefault="00DE635E" w:rsidP="00DE635E">
      <w:pPr>
        <w:rPr>
          <w:i/>
          <w:lang w:val="en-US"/>
        </w:rPr>
      </w:pPr>
      <w:r w:rsidRPr="00C60BC0">
        <w:rPr>
          <w:i/>
          <w:lang w:val="en-US"/>
        </w:rPr>
        <w:t>T cell re-stimulation assay</w:t>
      </w:r>
    </w:p>
    <w:p w14:paraId="0ADD7F35" w14:textId="77777777" w:rsidR="004305CF" w:rsidRPr="00C60BC0" w:rsidRDefault="00DE635E" w:rsidP="004305CF">
      <w:pPr>
        <w:rPr>
          <w:lang w:val="en-US"/>
        </w:rPr>
      </w:pPr>
      <w:r w:rsidRPr="00C60BC0">
        <w:rPr>
          <w:lang w:val="en-US"/>
        </w:rPr>
        <w:t>PBMCs</w:t>
      </w:r>
      <w:r w:rsidR="00E85E23" w:rsidRPr="00C60BC0">
        <w:rPr>
          <w:lang w:val="en-US"/>
        </w:rPr>
        <w:t xml:space="preserve">, isolated using a Ficoll gradient, </w:t>
      </w:r>
      <w:r w:rsidRPr="00C60BC0">
        <w:rPr>
          <w:lang w:val="en-US"/>
        </w:rPr>
        <w:t xml:space="preserve">were re-suspended </w:t>
      </w:r>
      <w:r w:rsidR="00E85E23" w:rsidRPr="00C60BC0">
        <w:rPr>
          <w:lang w:val="en-US"/>
        </w:rPr>
        <w:t>at concentration of 20 x 10</w:t>
      </w:r>
      <w:r w:rsidR="00E85E23" w:rsidRPr="00C60BC0">
        <w:rPr>
          <w:vertAlign w:val="superscript"/>
          <w:lang w:val="en-US"/>
        </w:rPr>
        <w:t>6</w:t>
      </w:r>
      <w:r w:rsidR="00E85E23" w:rsidRPr="00C60BC0">
        <w:rPr>
          <w:lang w:val="en-US"/>
        </w:rPr>
        <w:t xml:space="preserve"> cells/ml </w:t>
      </w:r>
      <w:r w:rsidRPr="00C60BC0">
        <w:rPr>
          <w:lang w:val="en-US"/>
        </w:rPr>
        <w:t xml:space="preserve">in complete RPMI medium [RPMI 1640 (Gibco) supplemented with 10% FBS (GE Healthcare Life Sciences, Logan, UT), 1mM sodium pyruvate, </w:t>
      </w:r>
      <w:r w:rsidRPr="00C60BC0">
        <w:rPr>
          <w:lang w:val="en-US"/>
        </w:rPr>
        <w:lastRenderedPageBreak/>
        <w:t>50 µM β-mercaptoethanol, 1% streptomycin/penicillin (all Gibco)]</w:t>
      </w:r>
      <w:r w:rsidR="00E85E23" w:rsidRPr="00C60BC0">
        <w:rPr>
          <w:lang w:val="en-US"/>
        </w:rPr>
        <w:t>. For stimulation, cells were diluted with equal volume of peptide pools containing</w:t>
      </w:r>
      <w:r w:rsidRPr="00C60BC0">
        <w:rPr>
          <w:lang w:val="en-US"/>
        </w:rPr>
        <w:t xml:space="preserve"> S-protein or mixture of M-, N- and E-protein</w:t>
      </w:r>
      <w:r w:rsidR="00E85E23" w:rsidRPr="00C60BC0">
        <w:rPr>
          <w:lang w:val="en-US"/>
        </w:rPr>
        <w:t>s</w:t>
      </w:r>
      <w:r w:rsidRPr="00C60BC0">
        <w:rPr>
          <w:lang w:val="en-US"/>
        </w:rPr>
        <w:t>. Peptide p</w:t>
      </w:r>
      <w:r w:rsidR="00E85E23" w:rsidRPr="00C60BC0">
        <w:rPr>
          <w:lang w:val="en-US"/>
        </w:rPr>
        <w:t xml:space="preserve">ools were prepared in </w:t>
      </w:r>
      <w:r w:rsidRPr="00C60BC0">
        <w:rPr>
          <w:lang w:val="en-US"/>
        </w:rPr>
        <w:t>complete RPMI containing brefeldin A (Sigma-Aldrich) at final concentration of 10 µg/ml</w:t>
      </w:r>
      <w:r w:rsidR="00E85E23" w:rsidRPr="00C60BC0">
        <w:rPr>
          <w:lang w:val="en-US"/>
        </w:rPr>
        <w:t xml:space="preserve">. In the final mixture </w:t>
      </w:r>
      <w:r w:rsidRPr="00C60BC0">
        <w:rPr>
          <w:lang w:val="en-US"/>
        </w:rPr>
        <w:t xml:space="preserve">each peptide </w:t>
      </w:r>
      <w:r w:rsidR="00E85E23" w:rsidRPr="00C60BC0">
        <w:rPr>
          <w:lang w:val="en-US"/>
        </w:rPr>
        <w:t>had concentration of</w:t>
      </w:r>
      <w:r w:rsidRPr="00C60BC0">
        <w:rPr>
          <w:lang w:val="en-US"/>
        </w:rPr>
        <w:t xml:space="preserve"> 2 µg (~1.2 nmol)/ml, except for SARS-CoV2-S peptides number 24, 190, 191, 225, 226, 234, 244, 245 and 246, SARS-CoV2-M peptides 15 and 16, and SARS-CoV2-N peptide 61, which were used at final concentration of 1 µg/ml due to solubility issues. </w:t>
      </w:r>
      <w:r w:rsidR="00E85E23" w:rsidRPr="00C60BC0">
        <w:rPr>
          <w:lang w:val="en-US"/>
        </w:rPr>
        <w:t xml:space="preserve">As a negative control, we stimulated the cells with </w:t>
      </w:r>
      <w:r w:rsidRPr="00C60BC0">
        <w:rPr>
          <w:lang w:val="en-US"/>
        </w:rPr>
        <w:t>DMSO</w:t>
      </w:r>
      <w:r w:rsidR="00E85E23" w:rsidRPr="00C60BC0">
        <w:rPr>
          <w:lang w:val="en-US"/>
        </w:rPr>
        <w:t>, used in maximal volume corresponding to DMSO amount in peptide pools (</w:t>
      </w:r>
      <w:r w:rsidRPr="00C60BC0">
        <w:rPr>
          <w:lang w:val="en-US"/>
        </w:rPr>
        <w:t>5 %</w:t>
      </w:r>
      <w:r w:rsidR="00E85E23" w:rsidRPr="00C60BC0">
        <w:rPr>
          <w:lang w:val="en-US"/>
        </w:rPr>
        <w:t xml:space="preserve"> v/v)</w:t>
      </w:r>
      <w:r w:rsidRPr="00C60BC0">
        <w:rPr>
          <w:lang w:val="en-US"/>
        </w:rPr>
        <w:t xml:space="preserve">. </w:t>
      </w:r>
      <w:r w:rsidR="00E85E23" w:rsidRPr="00C60BC0">
        <w:rPr>
          <w:lang w:val="en-US"/>
        </w:rPr>
        <w:t xml:space="preserve">In each experiment, we used cells </w:t>
      </w:r>
      <w:r w:rsidRPr="00C60BC0">
        <w:rPr>
          <w:lang w:val="en-US"/>
        </w:rPr>
        <w:t>stimulated with Phorbol-12-myristate-13-acetate (PMA; Calbiochem) and ionomycin (Invitrogen) at final concentration of 50 ng/mL and 1500 ng/mL, respectively</w:t>
      </w:r>
      <w:r w:rsidR="00E85E23" w:rsidRPr="00C60BC0">
        <w:rPr>
          <w:lang w:val="en-US"/>
        </w:rPr>
        <w:t>, as an internal positive control</w:t>
      </w:r>
      <w:r w:rsidRPr="00C60BC0">
        <w:rPr>
          <w:lang w:val="en-US"/>
        </w:rPr>
        <w:t xml:space="preserve">. </w:t>
      </w:r>
      <w:r w:rsidR="00E85E23" w:rsidRPr="00C60BC0">
        <w:rPr>
          <w:lang w:val="en-US"/>
        </w:rPr>
        <w:t xml:space="preserve">Cells were then incubated for </w:t>
      </w:r>
      <w:r w:rsidRPr="00C60BC0">
        <w:rPr>
          <w:lang w:val="en-US"/>
        </w:rPr>
        <w:t>12-16 hr at 37°C, 5% CO</w:t>
      </w:r>
      <w:r w:rsidRPr="00C60BC0">
        <w:rPr>
          <w:vertAlign w:val="subscript"/>
          <w:lang w:val="en-US"/>
        </w:rPr>
        <w:t>2</w:t>
      </w:r>
      <w:r w:rsidR="00E85E23" w:rsidRPr="00C60BC0">
        <w:rPr>
          <w:lang w:val="en-US"/>
        </w:rPr>
        <w:t>. After</w:t>
      </w:r>
      <w:r w:rsidRPr="00C60BC0">
        <w:rPr>
          <w:lang w:val="en-US"/>
        </w:rPr>
        <w:t xml:space="preserve"> wash</w:t>
      </w:r>
      <w:r w:rsidR="00E85E23" w:rsidRPr="00C60BC0">
        <w:rPr>
          <w:lang w:val="en-US"/>
        </w:rPr>
        <w:t>ing</w:t>
      </w:r>
      <w:r w:rsidR="004305CF" w:rsidRPr="00C60BC0">
        <w:rPr>
          <w:lang w:val="en-US"/>
        </w:rPr>
        <w:t>, cells were resuspended in MACS buffer (PBS supplemented with 3% FBS and 2mM EDTA).</w:t>
      </w:r>
      <w:r w:rsidR="004305CF" w:rsidRPr="00C60BC0">
        <w:rPr>
          <w:rFonts w:cstheme="minorHAnsi"/>
          <w:sz w:val="24"/>
          <w:szCs w:val="24"/>
          <w:lang w:val="en-GB"/>
        </w:rPr>
        <w:t xml:space="preserve"> </w:t>
      </w:r>
      <w:r w:rsidR="004305CF" w:rsidRPr="00C60BC0">
        <w:rPr>
          <w:rFonts w:cstheme="minorHAnsi"/>
          <w:lang w:val="en-GB"/>
        </w:rPr>
        <w:t xml:space="preserve">Non-specific antibody binding was blocked by incubating samples </w:t>
      </w:r>
      <w:r w:rsidR="004305CF" w:rsidRPr="00C60BC0">
        <w:rPr>
          <w:lang w:val="en-US"/>
        </w:rPr>
        <w:t>with 10% mouse serum at 4°C for 15 minutes. Next, without washing, an antibody mix of anti-CD3-AF532 (UCHT1; #58-0038-42; Invitrogen), anti-CD4-BUV563 (SK3; #612913; BD Biosciences), anti-CD8-SparkBlue 550 (SK1; #344760; Biolegend), anti-CD45RA (HI100, #740298, BD Biosciences), anti-CCR7 (G043H7 , #353230, Biolegend), anti-CD38 (</w:t>
      </w:r>
      <w:r w:rsidR="004305CF" w:rsidRPr="00C60BC0">
        <w:rPr>
          <w:rFonts w:ascii="Calibri" w:eastAsia="Times New Roman" w:hAnsi="Calibri" w:cs="Calibri"/>
          <w:lang w:val="en-GB" w:eastAsia="de-DE"/>
        </w:rPr>
        <w:t>HB7</w:t>
      </w:r>
      <w:r w:rsidR="004305CF" w:rsidRPr="00C60BC0">
        <w:rPr>
          <w:lang w:val="en-US"/>
        </w:rPr>
        <w:t>,</w:t>
      </w:r>
      <w:r w:rsidR="004305CF" w:rsidRPr="00C60BC0">
        <w:rPr>
          <w:lang w:val="en-GB"/>
        </w:rPr>
        <w:t xml:space="preserve"> #</w:t>
      </w:r>
      <w:r w:rsidR="004305CF" w:rsidRPr="00C60BC0">
        <w:rPr>
          <w:lang w:val="en-US"/>
        </w:rPr>
        <w:t>46-0388-42, Invitrogen) and Zombie NIR™ Fixable Viability Kit (#423106, BioLegend) was added. After staining for 20 minutes at RT, cells were washed before they were fixed and permeabilized (#554714, BD Biosciences) according to the manufacturers’ protocol. Next, intracellular cytokines were stained using anti-IFN-PE-Cy7 (4S.B3, #502528, Biolegend), anti-TNF-AF700 (Mab11; #561023; BD Biosciences) and anti-IL-17A-BV421 (TC11-18H10.1; #506926, Biolegend) for 45 minutes on RT. Excess antibodies was washed away and cells were the acquired on Cytek Aurora spectral flow cytometer (Cytek) equipped with five lasers operating on 355nm, 405nm, 488nm, 561nm and 640nm. All flow cytometry data was analyzed using FCS Express V7 (Denovo).</w:t>
      </w:r>
    </w:p>
    <w:p w14:paraId="6E65B811" w14:textId="77777777" w:rsidR="00DE635E" w:rsidRPr="00C60BC0" w:rsidRDefault="00DE635E" w:rsidP="00DE635E">
      <w:pPr>
        <w:rPr>
          <w:i/>
          <w:lang w:val="en-US"/>
        </w:rPr>
      </w:pPr>
      <w:r w:rsidRPr="00C60BC0">
        <w:rPr>
          <w:i/>
          <w:lang w:val="en-US"/>
        </w:rPr>
        <w:t xml:space="preserve">Flow cytometric analysis of S-specific B cells </w:t>
      </w:r>
    </w:p>
    <w:p w14:paraId="4F535DA2" w14:textId="46362FA5" w:rsidR="004305CF" w:rsidRPr="00C60BC0" w:rsidRDefault="004305CF" w:rsidP="004305CF">
      <w:pPr>
        <w:rPr>
          <w:lang w:val="en-US"/>
        </w:rPr>
      </w:pPr>
      <w:r w:rsidRPr="00C60BC0">
        <w:rPr>
          <w:lang w:val="en-US"/>
        </w:rPr>
        <w:t xml:space="preserve">Total leukocytes were isolated from whole blood using erythrolysis in 0.83% ammonium chloride solution. Isolated cells were then washed, counted and resuspended in PBS and stained for 20 mins on RT with an antibody mix containing antibodies listed </w:t>
      </w:r>
      <w:r w:rsidR="00715ADC" w:rsidRPr="00C60BC0">
        <w:rPr>
          <w:lang w:val="en-US"/>
        </w:rPr>
        <w:t>i</w:t>
      </w:r>
      <w:r w:rsidRPr="00C60BC0">
        <w:rPr>
          <w:lang w:val="en-US"/>
        </w:rPr>
        <w:t xml:space="preserve">n </w:t>
      </w:r>
      <w:r w:rsidR="00D41A9E" w:rsidRPr="00C56F3C">
        <w:rPr>
          <w:lang w:val="en-US"/>
        </w:rPr>
        <w:t xml:space="preserve">Extended Data </w:t>
      </w:r>
      <w:r w:rsidR="00715ADC" w:rsidRPr="00C56F3C">
        <w:rPr>
          <w:lang w:val="en-US"/>
        </w:rPr>
        <w:t>T</w:t>
      </w:r>
      <w:r w:rsidRPr="00C56F3C">
        <w:rPr>
          <w:lang w:val="en-US"/>
        </w:rPr>
        <w:t xml:space="preserve">able </w:t>
      </w:r>
      <w:r w:rsidR="00D41A9E" w:rsidRPr="00C56F3C">
        <w:rPr>
          <w:lang w:val="en-US"/>
        </w:rPr>
        <w:t>2</w:t>
      </w:r>
      <w:r w:rsidR="00D41A9E" w:rsidRPr="00C60BC0">
        <w:rPr>
          <w:lang w:val="en-US"/>
        </w:rPr>
        <w:t xml:space="preserve"> </w:t>
      </w:r>
      <w:r w:rsidRPr="00C60BC0">
        <w:rPr>
          <w:lang w:val="en-US"/>
        </w:rPr>
        <w:t>together with Spike-</w:t>
      </w:r>
      <w:r w:rsidR="00D41A9E">
        <w:rPr>
          <w:lang w:val="en-US"/>
        </w:rPr>
        <w:lastRenderedPageBreak/>
        <w:t>mNEON</w:t>
      </w:r>
      <w:r w:rsidRPr="00C60BC0">
        <w:rPr>
          <w:lang w:val="en-US"/>
        </w:rPr>
        <w:t>Green protein (5</w:t>
      </w:r>
      <w:r w:rsidRPr="00C60BC0">
        <w:rPr>
          <w:rFonts w:cstheme="minorHAnsi"/>
          <w:lang w:val="en-US"/>
        </w:rPr>
        <w:t>μ</w:t>
      </w:r>
      <w:r w:rsidRPr="00C60BC0">
        <w:rPr>
          <w:lang w:val="en-US"/>
        </w:rPr>
        <w:t>g per reaction</w:t>
      </w:r>
      <w:r w:rsidR="00715ADC" w:rsidRPr="00C60BC0">
        <w:rPr>
          <w:lang w:val="en-US"/>
        </w:rPr>
        <w:t>; production will be described elsewhere</w:t>
      </w:r>
      <w:r w:rsidRPr="00C60BC0">
        <w:rPr>
          <w:lang w:val="en-US"/>
        </w:rPr>
        <w:t>). After one wash, samples were acquired on spectral flow cytometer and the data was analyzed as described above.</w:t>
      </w:r>
    </w:p>
    <w:p w14:paraId="5ABDB285" w14:textId="77777777" w:rsidR="00C56F3C" w:rsidRDefault="00C56F3C" w:rsidP="00106CF9">
      <w:pPr>
        <w:rPr>
          <w:i/>
          <w:lang w:val="en-US"/>
        </w:rPr>
      </w:pPr>
    </w:p>
    <w:p w14:paraId="1C6EC8B8" w14:textId="77777777" w:rsidR="00C56F3C" w:rsidRDefault="00C56F3C" w:rsidP="00106CF9">
      <w:pPr>
        <w:rPr>
          <w:i/>
          <w:lang w:val="en-US"/>
        </w:rPr>
      </w:pPr>
    </w:p>
    <w:p w14:paraId="464A22FB" w14:textId="2484F9C5" w:rsidR="00F82223" w:rsidRDefault="006E7C62" w:rsidP="00106CF9">
      <w:pPr>
        <w:rPr>
          <w:i/>
          <w:lang w:val="en-US"/>
        </w:rPr>
      </w:pPr>
      <w:r>
        <w:rPr>
          <w:i/>
          <w:lang w:val="en-US"/>
        </w:rPr>
        <w:t xml:space="preserve">Quantification of </w:t>
      </w:r>
      <w:r w:rsidR="00106CF9" w:rsidRPr="003578B5">
        <w:rPr>
          <w:i/>
          <w:lang w:val="en-US"/>
        </w:rPr>
        <w:t>IFN</w:t>
      </w:r>
      <w:r w:rsidR="00106CF9" w:rsidRPr="003578B5">
        <w:rPr>
          <w:rFonts w:cs="Arial"/>
          <w:i/>
          <w:lang w:val="en-GB"/>
        </w:rPr>
        <w:sym w:font="Symbol" w:char="F067"/>
      </w:r>
      <w:r w:rsidR="00106CF9" w:rsidRPr="003578B5">
        <w:rPr>
          <w:i/>
          <w:lang w:val="en-US"/>
        </w:rPr>
        <w:t xml:space="preserve"> and TNF</w:t>
      </w:r>
      <w:r w:rsidR="00106CF9" w:rsidRPr="003578B5">
        <w:rPr>
          <w:rFonts w:ascii="Calibri Light" w:hAnsi="Calibri Light"/>
          <w:i/>
          <w:lang w:val="en-US"/>
        </w:rPr>
        <w:t>α</w:t>
      </w:r>
      <w:r w:rsidR="00C56F3C">
        <w:rPr>
          <w:i/>
          <w:lang w:val="en-US"/>
        </w:rPr>
        <w:t xml:space="preserve"> release</w:t>
      </w:r>
    </w:p>
    <w:p w14:paraId="39566700" w14:textId="6BEA3D87" w:rsidR="00106CF9" w:rsidRPr="003578B5" w:rsidRDefault="00106CF9" w:rsidP="00106CF9">
      <w:pPr>
        <w:rPr>
          <w:lang w:val="en-US"/>
        </w:rPr>
      </w:pPr>
      <w:r w:rsidRPr="003578B5">
        <w:rPr>
          <w:lang w:val="en-US"/>
        </w:rPr>
        <w:t>0.5 mL full blood</w:t>
      </w:r>
      <w:r w:rsidR="00F82223">
        <w:rPr>
          <w:lang w:val="en-US"/>
        </w:rPr>
        <w:t xml:space="preserve"> were stimulated</w:t>
      </w:r>
      <w:r w:rsidRPr="003578B5">
        <w:rPr>
          <w:lang w:val="en-US"/>
        </w:rPr>
        <w:t xml:space="preserve"> with manufacturer’s selected parts of the SARS-CoV-2 S1 domain of the Spike Protein for a period of 20-24 h. We carried out negative and positive controls according to the manufacturer’s instruction</w:t>
      </w:r>
      <w:r w:rsidR="00F82223">
        <w:rPr>
          <w:lang w:val="en-US"/>
        </w:rPr>
        <w:t xml:space="preserve"> </w:t>
      </w:r>
      <w:r w:rsidR="00F82223" w:rsidRPr="00641BB1">
        <w:rPr>
          <w:lang w:val="en-US"/>
        </w:rPr>
        <w:t>(SARS-CoV-2 Interferon Gamma Release Assay, IGRA (Euroimmun, Lübeck, Germany)</w:t>
      </w:r>
      <w:r w:rsidRPr="003578B5">
        <w:rPr>
          <w:lang w:val="en-US"/>
        </w:rPr>
        <w:t xml:space="preserve">. Following stimulation, supernatants </w:t>
      </w:r>
      <w:r w:rsidR="00F82223">
        <w:rPr>
          <w:lang w:val="en-US"/>
        </w:rPr>
        <w:t xml:space="preserve">were collected </w:t>
      </w:r>
      <w:r w:rsidRPr="003578B5">
        <w:rPr>
          <w:lang w:val="en-US"/>
        </w:rPr>
        <w:t xml:space="preserve">after centrifugation and examined by LEGENDplex™ kit (BioLegend) </w:t>
      </w:r>
      <w:bookmarkStart w:id="0" w:name="_GoBack"/>
      <w:bookmarkEnd w:id="0"/>
      <w:r w:rsidRPr="003578B5">
        <w:rPr>
          <w:lang w:val="en-US"/>
        </w:rPr>
        <w:t xml:space="preserve">according to the manufacturer’s instructions. </w:t>
      </w:r>
      <w:r w:rsidR="003578B5">
        <w:rPr>
          <w:lang w:val="en-US"/>
        </w:rPr>
        <w:t xml:space="preserve">Data were acquired </w:t>
      </w:r>
      <w:r w:rsidRPr="003578B5">
        <w:rPr>
          <w:lang w:val="en-US"/>
        </w:rPr>
        <w:t>with a LSR II flow cytometer (</w:t>
      </w:r>
      <w:r w:rsidR="00F82223">
        <w:rPr>
          <w:lang w:val="en-US"/>
        </w:rPr>
        <w:t xml:space="preserve">BD Biosciences) </w:t>
      </w:r>
      <w:r w:rsidR="003578B5">
        <w:rPr>
          <w:lang w:val="en-US"/>
        </w:rPr>
        <w:t xml:space="preserve">using </w:t>
      </w:r>
      <w:r w:rsidRPr="003578B5">
        <w:rPr>
          <w:lang w:val="en-US"/>
        </w:rPr>
        <w:t>BD</w:t>
      </w:r>
      <w:r w:rsidR="003578B5">
        <w:rPr>
          <w:lang w:val="en-US"/>
        </w:rPr>
        <w:t>’s</w:t>
      </w:r>
      <w:r w:rsidRPr="003578B5">
        <w:rPr>
          <w:lang w:val="en-US"/>
        </w:rPr>
        <w:t xml:space="preserve"> FACSDiva v8.0.1 Software and analyzed with the LEGENDplex™ Data Analysis Software Suite.</w:t>
      </w:r>
    </w:p>
    <w:p w14:paraId="42BA47FC" w14:textId="77777777" w:rsidR="00106CF9" w:rsidRDefault="00106CF9" w:rsidP="00106CF9">
      <w:pPr>
        <w:spacing w:before="120" w:after="0" w:line="240" w:lineRule="auto"/>
        <w:rPr>
          <w:lang w:val="en-US"/>
        </w:rPr>
      </w:pPr>
      <w:r w:rsidRPr="003578B5">
        <w:rPr>
          <w:b/>
          <w:lang w:val="en-US"/>
        </w:rPr>
        <w:t xml:space="preserve">Ethics committee approval. </w:t>
      </w:r>
      <w:r w:rsidRPr="003578B5">
        <w:rPr>
          <w:lang w:val="en-US"/>
        </w:rPr>
        <w:t>The CoCo Study (German Clinical Trial Register DRKS00021152) was approved by the Internal Review Board of Hannover Medical School (institutional review board no. 8973_BO-K_2020, amendment Dec 2020).</w:t>
      </w:r>
    </w:p>
    <w:p w14:paraId="169F3124" w14:textId="04F3A6E5" w:rsidR="002330CB" w:rsidRPr="00C60BC0" w:rsidRDefault="002330CB" w:rsidP="00573020">
      <w:pPr>
        <w:spacing w:before="120" w:after="0" w:line="240" w:lineRule="auto"/>
        <w:rPr>
          <w:lang w:val="en-US"/>
        </w:rPr>
      </w:pPr>
    </w:p>
    <w:p w14:paraId="742CE1E1" w14:textId="77777777" w:rsidR="00033EDE" w:rsidRPr="00C60BC0" w:rsidRDefault="00033EDE" w:rsidP="002330CB">
      <w:pPr>
        <w:rPr>
          <w:lang w:val="en-US"/>
        </w:rPr>
      </w:pPr>
      <w:r w:rsidRPr="00C60BC0">
        <w:rPr>
          <w:lang w:val="en-US"/>
        </w:rPr>
        <w:br w:type="page"/>
      </w:r>
    </w:p>
    <w:p w14:paraId="5DAB6168" w14:textId="77777777" w:rsidR="00101B28" w:rsidRPr="00C60BC0" w:rsidRDefault="00101B28">
      <w:pPr>
        <w:rPr>
          <w:b/>
          <w:lang w:val="en-US"/>
        </w:rPr>
      </w:pPr>
      <w:r w:rsidRPr="00C60BC0">
        <w:rPr>
          <w:b/>
          <w:lang w:val="en-US"/>
        </w:rPr>
        <w:lastRenderedPageBreak/>
        <w:t>References</w:t>
      </w:r>
    </w:p>
    <w:p w14:paraId="12C4AC8C" w14:textId="77777777" w:rsidR="00101B28" w:rsidRPr="00C60BC0" w:rsidRDefault="00101B28">
      <w:pPr>
        <w:rPr>
          <w:lang w:val="en-US"/>
        </w:rPr>
      </w:pPr>
    </w:p>
    <w:p w14:paraId="2DEA8903" w14:textId="7657D08B" w:rsidR="008539E0" w:rsidRPr="003578B5" w:rsidRDefault="00FC7C56" w:rsidP="008539E0">
      <w:pPr>
        <w:widowControl w:val="0"/>
        <w:autoSpaceDE w:val="0"/>
        <w:autoSpaceDN w:val="0"/>
        <w:adjustRightInd w:val="0"/>
        <w:spacing w:line="240" w:lineRule="auto"/>
        <w:ind w:left="640" w:hanging="640"/>
        <w:rPr>
          <w:rFonts w:ascii="Calibri" w:hAnsi="Calibri" w:cs="Calibri"/>
          <w:noProof/>
          <w:szCs w:val="24"/>
          <w:lang w:val="en-US"/>
        </w:rPr>
      </w:pPr>
      <w:r w:rsidRPr="00C60BC0">
        <w:rPr>
          <w:lang w:val="en-US"/>
        </w:rPr>
        <w:fldChar w:fldCharType="begin" w:fldLock="1"/>
      </w:r>
      <w:r w:rsidRPr="00C60BC0">
        <w:rPr>
          <w:lang w:val="en-US"/>
        </w:rPr>
        <w:instrText xml:space="preserve">ADDIN Mendeley Bibliography CSL_BIBLIOGRAPHY </w:instrText>
      </w:r>
      <w:r w:rsidRPr="00C60BC0">
        <w:rPr>
          <w:lang w:val="en-US"/>
        </w:rPr>
        <w:fldChar w:fldCharType="separate"/>
      </w:r>
      <w:r w:rsidR="008539E0" w:rsidRPr="003578B5">
        <w:rPr>
          <w:rFonts w:ascii="Calibri" w:hAnsi="Calibri" w:cs="Calibri"/>
          <w:noProof/>
          <w:szCs w:val="24"/>
          <w:lang w:val="en-US"/>
        </w:rPr>
        <w:t>1.</w:t>
      </w:r>
      <w:r w:rsidR="008539E0" w:rsidRPr="003578B5">
        <w:rPr>
          <w:rFonts w:ascii="Calibri" w:hAnsi="Calibri" w:cs="Calibri"/>
          <w:noProof/>
          <w:szCs w:val="24"/>
          <w:lang w:val="en-US"/>
        </w:rPr>
        <w:tab/>
        <w:t xml:space="preserve">Behrens, G. M. N. </w:t>
      </w:r>
      <w:r w:rsidR="008539E0" w:rsidRPr="003578B5">
        <w:rPr>
          <w:rFonts w:ascii="Calibri" w:hAnsi="Calibri" w:cs="Calibri"/>
          <w:i/>
          <w:iCs/>
          <w:noProof/>
          <w:szCs w:val="24"/>
          <w:lang w:val="en-US"/>
        </w:rPr>
        <w:t>et al.</w:t>
      </w:r>
      <w:r w:rsidR="008539E0" w:rsidRPr="003578B5">
        <w:rPr>
          <w:rFonts w:ascii="Calibri" w:hAnsi="Calibri" w:cs="Calibri"/>
          <w:noProof/>
          <w:szCs w:val="24"/>
          <w:lang w:val="en-US"/>
        </w:rPr>
        <w:t xml:space="preserve"> Perceived versus proven SARS-CoV-2-specific immune responses in health-care professionals. </w:t>
      </w:r>
      <w:r w:rsidR="008539E0" w:rsidRPr="003578B5">
        <w:rPr>
          <w:rFonts w:ascii="Calibri" w:hAnsi="Calibri" w:cs="Calibri"/>
          <w:i/>
          <w:iCs/>
          <w:noProof/>
          <w:szCs w:val="24"/>
          <w:lang w:val="en-US"/>
        </w:rPr>
        <w:t>Infection</w:t>
      </w:r>
      <w:r w:rsidR="008539E0" w:rsidRPr="003578B5">
        <w:rPr>
          <w:rFonts w:ascii="Calibri" w:hAnsi="Calibri" w:cs="Calibri"/>
          <w:noProof/>
          <w:szCs w:val="24"/>
          <w:lang w:val="en-US"/>
        </w:rPr>
        <w:t xml:space="preserve"> </w:t>
      </w:r>
      <w:r w:rsidR="008539E0" w:rsidRPr="003578B5">
        <w:rPr>
          <w:rFonts w:ascii="Calibri" w:hAnsi="Calibri" w:cs="Calibri"/>
          <w:b/>
          <w:bCs/>
          <w:noProof/>
          <w:szCs w:val="24"/>
          <w:lang w:val="en-US"/>
        </w:rPr>
        <w:t>48</w:t>
      </w:r>
      <w:r w:rsidR="008539E0" w:rsidRPr="003578B5">
        <w:rPr>
          <w:rFonts w:ascii="Calibri" w:hAnsi="Calibri" w:cs="Calibri"/>
          <w:noProof/>
          <w:szCs w:val="24"/>
          <w:lang w:val="en-US"/>
        </w:rPr>
        <w:t>, 631–634 (2020).</w:t>
      </w:r>
    </w:p>
    <w:p w14:paraId="1997045F" w14:textId="77777777" w:rsidR="008539E0" w:rsidRPr="003578B5" w:rsidRDefault="008539E0" w:rsidP="008539E0">
      <w:pPr>
        <w:widowControl w:val="0"/>
        <w:autoSpaceDE w:val="0"/>
        <w:autoSpaceDN w:val="0"/>
        <w:adjustRightInd w:val="0"/>
        <w:spacing w:line="240" w:lineRule="auto"/>
        <w:ind w:left="640" w:hanging="640"/>
        <w:rPr>
          <w:rFonts w:ascii="Calibri" w:hAnsi="Calibri" w:cs="Calibri"/>
          <w:noProof/>
          <w:szCs w:val="24"/>
          <w:lang w:val="en-US"/>
        </w:rPr>
      </w:pPr>
      <w:r w:rsidRPr="003578B5">
        <w:rPr>
          <w:rFonts w:ascii="Calibri" w:hAnsi="Calibri" w:cs="Calibri"/>
          <w:noProof/>
          <w:szCs w:val="24"/>
          <w:lang w:val="en-US"/>
        </w:rPr>
        <w:t>2.</w:t>
      </w:r>
      <w:r w:rsidRPr="003578B5">
        <w:rPr>
          <w:rFonts w:ascii="Calibri" w:hAnsi="Calibri" w:cs="Calibri"/>
          <w:noProof/>
          <w:szCs w:val="24"/>
          <w:lang w:val="en-US"/>
        </w:rPr>
        <w:tab/>
        <w:t xml:space="preserve">Hoffmann, M. </w:t>
      </w:r>
      <w:r w:rsidRPr="003578B5">
        <w:rPr>
          <w:rFonts w:ascii="Calibri" w:hAnsi="Calibri" w:cs="Calibri"/>
          <w:i/>
          <w:iCs/>
          <w:noProof/>
          <w:szCs w:val="24"/>
          <w:lang w:val="en-US"/>
        </w:rPr>
        <w:t>et al.</w:t>
      </w:r>
      <w:r w:rsidRPr="003578B5">
        <w:rPr>
          <w:rFonts w:ascii="Calibri" w:hAnsi="Calibri" w:cs="Calibri"/>
          <w:noProof/>
          <w:szCs w:val="24"/>
          <w:lang w:val="en-US"/>
        </w:rPr>
        <w:t xml:space="preserve"> SARS-CoV-2 variants B.1.351 and P.1 escape from neutralizing antibodies. </w:t>
      </w:r>
      <w:r w:rsidRPr="003578B5">
        <w:rPr>
          <w:rFonts w:ascii="Calibri" w:hAnsi="Calibri" w:cs="Calibri"/>
          <w:i/>
          <w:iCs/>
          <w:noProof/>
          <w:szCs w:val="24"/>
          <w:lang w:val="en-US"/>
        </w:rPr>
        <w:t>Cell</w:t>
      </w:r>
      <w:r w:rsidRPr="003578B5">
        <w:rPr>
          <w:rFonts w:ascii="Calibri" w:hAnsi="Calibri" w:cs="Calibri"/>
          <w:noProof/>
          <w:szCs w:val="24"/>
          <w:lang w:val="en-US"/>
        </w:rPr>
        <w:t xml:space="preserve"> 2384–2393 (2021). doi:10.1016/j.cell.2021.03.036</w:t>
      </w:r>
    </w:p>
    <w:p w14:paraId="518F608A" w14:textId="77777777" w:rsidR="008539E0" w:rsidRPr="008539E0" w:rsidRDefault="008539E0" w:rsidP="008539E0">
      <w:pPr>
        <w:widowControl w:val="0"/>
        <w:autoSpaceDE w:val="0"/>
        <w:autoSpaceDN w:val="0"/>
        <w:adjustRightInd w:val="0"/>
        <w:spacing w:line="240" w:lineRule="auto"/>
        <w:ind w:left="640" w:hanging="640"/>
        <w:rPr>
          <w:rFonts w:ascii="Calibri" w:hAnsi="Calibri" w:cs="Calibri"/>
          <w:noProof/>
        </w:rPr>
      </w:pPr>
      <w:r w:rsidRPr="003578B5">
        <w:rPr>
          <w:rFonts w:ascii="Calibri" w:hAnsi="Calibri" w:cs="Calibri"/>
          <w:noProof/>
          <w:szCs w:val="24"/>
          <w:lang w:val="en-US"/>
        </w:rPr>
        <w:t>3.</w:t>
      </w:r>
      <w:r w:rsidRPr="003578B5">
        <w:rPr>
          <w:rFonts w:ascii="Calibri" w:hAnsi="Calibri" w:cs="Calibri"/>
          <w:noProof/>
          <w:szCs w:val="24"/>
          <w:lang w:val="en-US"/>
        </w:rPr>
        <w:tab/>
        <w:t xml:space="preserve">Bošnjak, B. </w:t>
      </w:r>
      <w:r w:rsidRPr="003578B5">
        <w:rPr>
          <w:rFonts w:ascii="Calibri" w:hAnsi="Calibri" w:cs="Calibri"/>
          <w:i/>
          <w:iCs/>
          <w:noProof/>
          <w:szCs w:val="24"/>
          <w:lang w:val="en-US"/>
        </w:rPr>
        <w:t>et al.</w:t>
      </w:r>
      <w:r w:rsidRPr="003578B5">
        <w:rPr>
          <w:rFonts w:ascii="Calibri" w:hAnsi="Calibri" w:cs="Calibri"/>
          <w:noProof/>
          <w:szCs w:val="24"/>
          <w:lang w:val="en-US"/>
        </w:rPr>
        <w:t xml:space="preserve"> Low serum neutralizing anti-SARS-CoV-2 S antibody levels in mildly affected COVID-19 convalescent patients revealed by two different detection methods. </w:t>
      </w:r>
      <w:r w:rsidRPr="008539E0">
        <w:rPr>
          <w:rFonts w:ascii="Calibri" w:hAnsi="Calibri" w:cs="Calibri"/>
          <w:i/>
          <w:iCs/>
          <w:noProof/>
          <w:szCs w:val="24"/>
        </w:rPr>
        <w:t>Cell. Mol. Immunol.</w:t>
      </w:r>
      <w:r w:rsidRPr="008539E0">
        <w:rPr>
          <w:rFonts w:ascii="Calibri" w:hAnsi="Calibri" w:cs="Calibri"/>
          <w:noProof/>
          <w:szCs w:val="24"/>
        </w:rPr>
        <w:t xml:space="preserve"> 1–9 (2020). doi:10.1038/s41423-020-00573-9</w:t>
      </w:r>
    </w:p>
    <w:p w14:paraId="4076DE63" w14:textId="77777777" w:rsidR="00101B28" w:rsidRDefault="00FC7C56">
      <w:pPr>
        <w:rPr>
          <w:lang w:val="en-US"/>
        </w:rPr>
      </w:pPr>
      <w:r w:rsidRPr="00C60BC0">
        <w:rPr>
          <w:lang w:val="en-US"/>
        </w:rPr>
        <w:fldChar w:fldCharType="end"/>
      </w:r>
    </w:p>
    <w:p w14:paraId="59DDE68B" w14:textId="77777777" w:rsidR="0087687C" w:rsidRPr="00B90622" w:rsidRDefault="0087687C" w:rsidP="00C72AA8">
      <w:pPr>
        <w:rPr>
          <w:lang w:val="en-US"/>
        </w:rPr>
      </w:pPr>
    </w:p>
    <w:sectPr w:rsidR="0087687C" w:rsidRPr="00B9062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705B7" w14:textId="77777777" w:rsidR="008E02D0" w:rsidRDefault="008E02D0" w:rsidP="00635ACC">
      <w:pPr>
        <w:spacing w:after="0" w:line="240" w:lineRule="auto"/>
      </w:pPr>
      <w:r>
        <w:separator/>
      </w:r>
    </w:p>
  </w:endnote>
  <w:endnote w:type="continuationSeparator" w:id="0">
    <w:p w14:paraId="7FF39493" w14:textId="77777777" w:rsidR="008E02D0" w:rsidRDefault="008E02D0" w:rsidP="0063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Segoe UI Semilight"/>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8A7A4" w14:textId="77777777" w:rsidR="008E02D0" w:rsidRDefault="008E02D0" w:rsidP="00635ACC">
      <w:pPr>
        <w:spacing w:after="0" w:line="240" w:lineRule="auto"/>
      </w:pPr>
      <w:r>
        <w:separator/>
      </w:r>
    </w:p>
  </w:footnote>
  <w:footnote w:type="continuationSeparator" w:id="0">
    <w:p w14:paraId="65F0BF37" w14:textId="77777777" w:rsidR="008E02D0" w:rsidRDefault="008E02D0" w:rsidP="00635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26414"/>
      <w:docPartObj>
        <w:docPartGallery w:val="Page Numbers (Top of Page)"/>
        <w:docPartUnique/>
      </w:docPartObj>
    </w:sdtPr>
    <w:sdtEndPr/>
    <w:sdtContent>
      <w:p w14:paraId="3B296450" w14:textId="0D6F1687" w:rsidR="00635ACC" w:rsidRPr="008C2E23" w:rsidRDefault="00635ACC" w:rsidP="00635ACC">
        <w:pPr>
          <w:pStyle w:val="Kopfzeile"/>
          <w:pBdr>
            <w:bottom w:val="single" w:sz="12" w:space="1" w:color="auto"/>
          </w:pBdr>
          <w:rPr>
            <w:lang w:val="en-US"/>
          </w:rPr>
        </w:pPr>
        <w:r w:rsidRPr="00187939">
          <w:rPr>
            <w:lang w:val="en-US"/>
          </w:rPr>
          <w:t>Barros-Mart</w:t>
        </w:r>
        <w:r w:rsidR="007C795C">
          <w:rPr>
            <w:lang w:val="en-US"/>
          </w:rPr>
          <w:t>i</w:t>
        </w:r>
        <w:r w:rsidRPr="00187939">
          <w:rPr>
            <w:lang w:val="en-US"/>
          </w:rPr>
          <w:t xml:space="preserve">ns et al. </w:t>
        </w:r>
        <w:r w:rsidRPr="00187939">
          <w:rPr>
            <w:lang w:val="en-US"/>
          </w:rPr>
          <w:tab/>
        </w:r>
        <w:r>
          <w:rPr>
            <w:lang w:val="en-US"/>
          </w:rPr>
          <w:t>Online Methods</w:t>
        </w:r>
        <w:r>
          <w:rPr>
            <w:lang w:val="en-US"/>
          </w:rPr>
          <w:tab/>
        </w:r>
        <w:r>
          <w:fldChar w:fldCharType="begin"/>
        </w:r>
        <w:r w:rsidRPr="008C2E23">
          <w:rPr>
            <w:lang w:val="en-US"/>
          </w:rPr>
          <w:instrText>PAGE   \* MERGEFORMAT</w:instrText>
        </w:r>
        <w:r>
          <w:fldChar w:fldCharType="separate"/>
        </w:r>
        <w:r w:rsidR="00C56F3C">
          <w:rPr>
            <w:noProof/>
            <w:lang w:val="en-US"/>
          </w:rPr>
          <w:t>5</w:t>
        </w:r>
        <w:r>
          <w:fldChar w:fldCharType="end"/>
        </w:r>
      </w:p>
      <w:p w14:paraId="3DFA2668" w14:textId="77777777" w:rsidR="00635ACC" w:rsidRDefault="00C56F3C" w:rsidP="00635ACC">
        <w:pPr>
          <w:pStyle w:val="Kopfzeile"/>
        </w:pPr>
      </w:p>
    </w:sdtContent>
  </w:sdt>
  <w:p w14:paraId="7BB78B24" w14:textId="77777777" w:rsidR="00635ACC" w:rsidRDefault="00635AC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22"/>
    <w:rsid w:val="00010EA6"/>
    <w:rsid w:val="000229AE"/>
    <w:rsid w:val="00023633"/>
    <w:rsid w:val="00025671"/>
    <w:rsid w:val="00033EDE"/>
    <w:rsid w:val="00037E18"/>
    <w:rsid w:val="00051875"/>
    <w:rsid w:val="00052B0D"/>
    <w:rsid w:val="00060E8C"/>
    <w:rsid w:val="00076DD6"/>
    <w:rsid w:val="00077482"/>
    <w:rsid w:val="00080EDD"/>
    <w:rsid w:val="0008609A"/>
    <w:rsid w:val="00091760"/>
    <w:rsid w:val="000A2B36"/>
    <w:rsid w:val="000B374D"/>
    <w:rsid w:val="000B725B"/>
    <w:rsid w:val="000C08CF"/>
    <w:rsid w:val="00101B28"/>
    <w:rsid w:val="00104947"/>
    <w:rsid w:val="00106CF9"/>
    <w:rsid w:val="00111AD6"/>
    <w:rsid w:val="0011582D"/>
    <w:rsid w:val="00140A35"/>
    <w:rsid w:val="0015503B"/>
    <w:rsid w:val="00157D0B"/>
    <w:rsid w:val="00193BAA"/>
    <w:rsid w:val="001C0F01"/>
    <w:rsid w:val="001C1BBE"/>
    <w:rsid w:val="001C3DCB"/>
    <w:rsid w:val="001D2706"/>
    <w:rsid w:val="001D2D87"/>
    <w:rsid w:val="001E2DDF"/>
    <w:rsid w:val="00200ADC"/>
    <w:rsid w:val="00206E20"/>
    <w:rsid w:val="002330CB"/>
    <w:rsid w:val="002515AD"/>
    <w:rsid w:val="002535CE"/>
    <w:rsid w:val="002805A5"/>
    <w:rsid w:val="002970F5"/>
    <w:rsid w:val="002A02E4"/>
    <w:rsid w:val="002D19D0"/>
    <w:rsid w:val="002D763B"/>
    <w:rsid w:val="002E2EBE"/>
    <w:rsid w:val="002E3D82"/>
    <w:rsid w:val="00322496"/>
    <w:rsid w:val="0035547C"/>
    <w:rsid w:val="003578B5"/>
    <w:rsid w:val="00373824"/>
    <w:rsid w:val="00376F4C"/>
    <w:rsid w:val="00383C23"/>
    <w:rsid w:val="003C33E7"/>
    <w:rsid w:val="003E4F71"/>
    <w:rsid w:val="003F49D9"/>
    <w:rsid w:val="004305CF"/>
    <w:rsid w:val="004671D3"/>
    <w:rsid w:val="00477145"/>
    <w:rsid w:val="004D29D1"/>
    <w:rsid w:val="004E235A"/>
    <w:rsid w:val="004E359A"/>
    <w:rsid w:val="004F3BCA"/>
    <w:rsid w:val="00500A7F"/>
    <w:rsid w:val="0050243A"/>
    <w:rsid w:val="00515AC7"/>
    <w:rsid w:val="00516158"/>
    <w:rsid w:val="00530335"/>
    <w:rsid w:val="00566A7A"/>
    <w:rsid w:val="00573020"/>
    <w:rsid w:val="005752EA"/>
    <w:rsid w:val="005D3676"/>
    <w:rsid w:val="005D5059"/>
    <w:rsid w:val="005E01FB"/>
    <w:rsid w:val="005E435B"/>
    <w:rsid w:val="00635ACC"/>
    <w:rsid w:val="006479E3"/>
    <w:rsid w:val="006800BE"/>
    <w:rsid w:val="006B2317"/>
    <w:rsid w:val="006E7C62"/>
    <w:rsid w:val="00715ADC"/>
    <w:rsid w:val="007165BD"/>
    <w:rsid w:val="00723F1A"/>
    <w:rsid w:val="00725DBC"/>
    <w:rsid w:val="0078547A"/>
    <w:rsid w:val="00786C1F"/>
    <w:rsid w:val="00793F74"/>
    <w:rsid w:val="007C795C"/>
    <w:rsid w:val="00822384"/>
    <w:rsid w:val="00825008"/>
    <w:rsid w:val="008519CE"/>
    <w:rsid w:val="008539E0"/>
    <w:rsid w:val="00874A3B"/>
    <w:rsid w:val="0087687C"/>
    <w:rsid w:val="00885E09"/>
    <w:rsid w:val="00895900"/>
    <w:rsid w:val="008B5ED6"/>
    <w:rsid w:val="008C2BE2"/>
    <w:rsid w:val="008D69F2"/>
    <w:rsid w:val="008E02D0"/>
    <w:rsid w:val="008F1C6C"/>
    <w:rsid w:val="008F6FBC"/>
    <w:rsid w:val="009155B7"/>
    <w:rsid w:val="00944289"/>
    <w:rsid w:val="009513EE"/>
    <w:rsid w:val="0097141E"/>
    <w:rsid w:val="009A577C"/>
    <w:rsid w:val="009A780A"/>
    <w:rsid w:val="00A16209"/>
    <w:rsid w:val="00A372B6"/>
    <w:rsid w:val="00A90113"/>
    <w:rsid w:val="00AD139F"/>
    <w:rsid w:val="00AD434B"/>
    <w:rsid w:val="00AF7FC9"/>
    <w:rsid w:val="00B11E7C"/>
    <w:rsid w:val="00B356FB"/>
    <w:rsid w:val="00B375A4"/>
    <w:rsid w:val="00B41066"/>
    <w:rsid w:val="00B43336"/>
    <w:rsid w:val="00B55040"/>
    <w:rsid w:val="00B650EF"/>
    <w:rsid w:val="00B71EB7"/>
    <w:rsid w:val="00B8090C"/>
    <w:rsid w:val="00B83546"/>
    <w:rsid w:val="00B9013E"/>
    <w:rsid w:val="00B90622"/>
    <w:rsid w:val="00B932B3"/>
    <w:rsid w:val="00BA6E9A"/>
    <w:rsid w:val="00BC069C"/>
    <w:rsid w:val="00BF21B3"/>
    <w:rsid w:val="00BF613D"/>
    <w:rsid w:val="00C01AF4"/>
    <w:rsid w:val="00C155AA"/>
    <w:rsid w:val="00C35983"/>
    <w:rsid w:val="00C37055"/>
    <w:rsid w:val="00C56F3C"/>
    <w:rsid w:val="00C60BC0"/>
    <w:rsid w:val="00C72AA8"/>
    <w:rsid w:val="00C81083"/>
    <w:rsid w:val="00C8245F"/>
    <w:rsid w:val="00CB36E4"/>
    <w:rsid w:val="00CB4559"/>
    <w:rsid w:val="00CC5A66"/>
    <w:rsid w:val="00CD59DA"/>
    <w:rsid w:val="00CF672C"/>
    <w:rsid w:val="00D41A9E"/>
    <w:rsid w:val="00D666DB"/>
    <w:rsid w:val="00D85A5B"/>
    <w:rsid w:val="00DC08E5"/>
    <w:rsid w:val="00DC3524"/>
    <w:rsid w:val="00DD03B9"/>
    <w:rsid w:val="00DD5989"/>
    <w:rsid w:val="00DE635E"/>
    <w:rsid w:val="00DF20C5"/>
    <w:rsid w:val="00DF2FEF"/>
    <w:rsid w:val="00DF4A71"/>
    <w:rsid w:val="00E4182E"/>
    <w:rsid w:val="00E6450A"/>
    <w:rsid w:val="00E85E23"/>
    <w:rsid w:val="00E94369"/>
    <w:rsid w:val="00EA18AF"/>
    <w:rsid w:val="00EA4171"/>
    <w:rsid w:val="00EC3583"/>
    <w:rsid w:val="00EE7CAD"/>
    <w:rsid w:val="00F06405"/>
    <w:rsid w:val="00F310D4"/>
    <w:rsid w:val="00F66B67"/>
    <w:rsid w:val="00F74B5F"/>
    <w:rsid w:val="00F81BF3"/>
    <w:rsid w:val="00F82223"/>
    <w:rsid w:val="00F87160"/>
    <w:rsid w:val="00FC1413"/>
    <w:rsid w:val="00FC7C56"/>
    <w:rsid w:val="00FD738A"/>
    <w:rsid w:val="00FF60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9DC4"/>
  <w15:docId w15:val="{507B47A0-6C23-4363-85CD-3882C07B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90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0256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622"/>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B906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0622"/>
    <w:rPr>
      <w:rFonts w:ascii="Segoe UI" w:hAnsi="Segoe UI" w:cs="Segoe UI"/>
      <w:sz w:val="18"/>
      <w:szCs w:val="18"/>
    </w:rPr>
  </w:style>
  <w:style w:type="character" w:styleId="Kommentarzeichen">
    <w:name w:val="annotation reference"/>
    <w:basedOn w:val="Absatz-Standardschriftart"/>
    <w:uiPriority w:val="99"/>
    <w:semiHidden/>
    <w:unhideWhenUsed/>
    <w:rsid w:val="00B932B3"/>
    <w:rPr>
      <w:sz w:val="16"/>
      <w:szCs w:val="16"/>
    </w:rPr>
  </w:style>
  <w:style w:type="paragraph" w:styleId="Kommentartext">
    <w:name w:val="annotation text"/>
    <w:basedOn w:val="Standard"/>
    <w:link w:val="KommentartextZchn"/>
    <w:uiPriority w:val="99"/>
    <w:semiHidden/>
    <w:unhideWhenUsed/>
    <w:rsid w:val="00B932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32B3"/>
    <w:rPr>
      <w:sz w:val="20"/>
      <w:szCs w:val="20"/>
    </w:rPr>
  </w:style>
  <w:style w:type="paragraph" w:styleId="Kommentarthema">
    <w:name w:val="annotation subject"/>
    <w:basedOn w:val="Kommentartext"/>
    <w:next w:val="Kommentartext"/>
    <w:link w:val="KommentarthemaZchn"/>
    <w:uiPriority w:val="99"/>
    <w:semiHidden/>
    <w:unhideWhenUsed/>
    <w:rsid w:val="00B932B3"/>
    <w:rPr>
      <w:b/>
      <w:bCs/>
    </w:rPr>
  </w:style>
  <w:style w:type="character" w:customStyle="1" w:styleId="KommentarthemaZchn">
    <w:name w:val="Kommentarthema Zchn"/>
    <w:basedOn w:val="KommentartextZchn"/>
    <w:link w:val="Kommentarthema"/>
    <w:uiPriority w:val="99"/>
    <w:semiHidden/>
    <w:rsid w:val="00B932B3"/>
    <w:rPr>
      <w:b/>
      <w:bCs/>
      <w:sz w:val="20"/>
      <w:szCs w:val="20"/>
    </w:rPr>
  </w:style>
  <w:style w:type="character" w:styleId="Hyperlink">
    <w:name w:val="Hyperlink"/>
    <w:basedOn w:val="Absatz-Standardschriftart"/>
    <w:uiPriority w:val="99"/>
    <w:unhideWhenUsed/>
    <w:rsid w:val="0008609A"/>
    <w:rPr>
      <w:color w:val="0563C1" w:themeColor="hyperlink"/>
      <w:u w:val="single"/>
    </w:rPr>
  </w:style>
  <w:style w:type="character" w:customStyle="1" w:styleId="berschrift3Zchn">
    <w:name w:val="Überschrift 3 Zchn"/>
    <w:basedOn w:val="Absatz-Standardschriftart"/>
    <w:link w:val="berschrift3"/>
    <w:uiPriority w:val="9"/>
    <w:semiHidden/>
    <w:rsid w:val="00025671"/>
    <w:rPr>
      <w:rFonts w:asciiTheme="majorHAnsi" w:eastAsiaTheme="majorEastAsia" w:hAnsiTheme="majorHAnsi" w:cstheme="majorBidi"/>
      <w:color w:val="1F4D78" w:themeColor="accent1" w:themeShade="7F"/>
      <w:sz w:val="24"/>
      <w:szCs w:val="24"/>
    </w:rPr>
  </w:style>
  <w:style w:type="table" w:styleId="Tabellenraster">
    <w:name w:val="Table Grid"/>
    <w:basedOn w:val="NormaleTabelle"/>
    <w:uiPriority w:val="39"/>
    <w:rsid w:val="0087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7687C"/>
    <w:pPr>
      <w:ind w:left="720"/>
      <w:contextualSpacing/>
    </w:pPr>
  </w:style>
  <w:style w:type="paragraph" w:styleId="Kopfzeile">
    <w:name w:val="header"/>
    <w:basedOn w:val="Standard"/>
    <w:link w:val="KopfzeileZchn"/>
    <w:uiPriority w:val="99"/>
    <w:unhideWhenUsed/>
    <w:rsid w:val="00635ACC"/>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635ACC"/>
  </w:style>
  <w:style w:type="paragraph" w:styleId="Fuzeile">
    <w:name w:val="footer"/>
    <w:basedOn w:val="Standard"/>
    <w:link w:val="FuzeileZchn"/>
    <w:uiPriority w:val="99"/>
    <w:unhideWhenUsed/>
    <w:rsid w:val="00635ACC"/>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63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5695">
      <w:bodyDiv w:val="1"/>
      <w:marLeft w:val="0"/>
      <w:marRight w:val="0"/>
      <w:marTop w:val="0"/>
      <w:marBottom w:val="0"/>
      <w:divBdr>
        <w:top w:val="none" w:sz="0" w:space="0" w:color="auto"/>
        <w:left w:val="none" w:sz="0" w:space="0" w:color="auto"/>
        <w:bottom w:val="none" w:sz="0" w:space="0" w:color="auto"/>
        <w:right w:val="none" w:sz="0" w:space="0" w:color="auto"/>
      </w:divBdr>
    </w:div>
    <w:div w:id="1012032739">
      <w:bodyDiv w:val="1"/>
      <w:marLeft w:val="0"/>
      <w:marRight w:val="0"/>
      <w:marTop w:val="0"/>
      <w:marBottom w:val="0"/>
      <w:divBdr>
        <w:top w:val="none" w:sz="0" w:space="0" w:color="auto"/>
        <w:left w:val="none" w:sz="0" w:space="0" w:color="auto"/>
        <w:bottom w:val="none" w:sz="0" w:space="0" w:color="auto"/>
        <w:right w:val="none" w:sz="0" w:space="0" w:color="auto"/>
      </w:divBdr>
    </w:div>
    <w:div w:id="1146817384">
      <w:bodyDiv w:val="1"/>
      <w:marLeft w:val="0"/>
      <w:marRight w:val="0"/>
      <w:marTop w:val="0"/>
      <w:marBottom w:val="0"/>
      <w:divBdr>
        <w:top w:val="none" w:sz="0" w:space="0" w:color="auto"/>
        <w:left w:val="none" w:sz="0" w:space="0" w:color="auto"/>
        <w:bottom w:val="none" w:sz="0" w:space="0" w:color="auto"/>
        <w:right w:val="none" w:sz="0" w:space="0" w:color="auto"/>
      </w:divBdr>
    </w:div>
    <w:div w:id="16626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E2AA-2D9B-42A8-BC90-75F53A87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3157</Words>
  <Characters>19893</Characters>
  <Application>Microsoft Office Word</Application>
  <DocSecurity>4</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zimtadmin</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Berislav Bosnjak</dc:creator>
  <cp:lastModifiedBy>Behrens, Georg Martin Norbert Prof. Dr.</cp:lastModifiedBy>
  <cp:revision>2</cp:revision>
  <cp:lastPrinted>2021-05-31T17:30:00Z</cp:lastPrinted>
  <dcterms:created xsi:type="dcterms:W3CDTF">2021-06-01T14:43:00Z</dcterms:created>
  <dcterms:modified xsi:type="dcterms:W3CDTF">2021-06-01T14:43:00Z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http://www.zotero.org/styles/cellular-and-molecular-immunology</vt:lpwstr>
  </property>
  <property fmtid="{D5CDD505-2E9C-101B-9397-08002B2CF9AE}" pid="7" name="Mendeley Recent Style Name 2_1">
    <vt:lpwstr>Cellular and Molecular Immunology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http://www.zotero.org/styles/clinical-infectious-diseases</vt:lpwstr>
  </property>
  <property fmtid="{D5CDD505-2E9C-101B-9397-08002B2CF9AE}" pid="13" name="Mendeley Recent Style Name 5_1">
    <vt:lpwstr>Clinical Infectious Diseases</vt:lpwstr>
  </property>
  <property fmtid="{D5CDD505-2E9C-101B-9397-08002B2CF9AE}" pid="14" name="Mendeley Recent Style Id 6_1">
    <vt:lpwstr>http://www.zotero.org/styles/frontiers-in-immunology</vt:lpwstr>
  </property>
  <property fmtid="{D5CDD505-2E9C-101B-9397-08002B2CF9AE}" pid="15" name="Mendeley Recent Style Name 6_1">
    <vt:lpwstr>Frontiers in Immunology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http://www.zotero.org/styles/nature-immunology</vt:lpwstr>
  </property>
  <property fmtid="{D5CDD505-2E9C-101B-9397-08002B2CF9AE}" pid="19" name="Mendeley Recent Style Name 8_1">
    <vt:lpwstr>Nature Immunology</vt:lpwstr>
  </property>
  <property fmtid="{D5CDD505-2E9C-101B-9397-08002B2CF9AE}" pid="20" name="Mendeley Recent Style Id 9_1">
    <vt:lpwstr>http://www.zotero.org/styles/nature-medicine</vt:lpwstr>
  </property>
  <property fmtid="{D5CDD505-2E9C-101B-9397-08002B2CF9AE}" pid="21" name="Mendeley Recent Style Name 9_1">
    <vt:lpwstr>Nature Medicine</vt:lpwstr>
  </property>
  <property fmtid="{D5CDD505-2E9C-101B-9397-08002B2CF9AE}" pid="22" name="Mendeley Document_1">
    <vt:lpwstr>True</vt:lpwstr>
  </property>
  <property fmtid="{D5CDD505-2E9C-101B-9397-08002B2CF9AE}" pid="23" name="Mendeley Unique User Id_1">
    <vt:lpwstr>e017deec-57e7-324d-a214-258e2b12e97c</vt:lpwstr>
  </property>
  <property fmtid="{D5CDD505-2E9C-101B-9397-08002B2CF9AE}" pid="24" name="Mendeley Citation Style_1">
    <vt:lpwstr>http://www.zotero.org/styles/nature-medicine</vt:lpwstr>
  </property>
</Properties>
</file>