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50CBFF">
      <w:pPr>
        <w:widowControl w:val="0"/>
        <w:spacing w:after="0" w:line="360" w:lineRule="auto"/>
        <w:jc w:val="both"/>
        <w:rPr>
          <w:rFonts w:ascii="Times New Roman" w:hAnsi="Times New Roman" w:eastAsia="PMingLiU" w:cs="Times New Roman"/>
          <w:b/>
          <w:bCs/>
          <w:sz w:val="24"/>
          <w:szCs w:val="24"/>
          <w:lang w:val="en-US" w:eastAsia="zh-TW"/>
          <w14:ligatures w14:val="none"/>
        </w:rPr>
      </w:pPr>
      <w:bookmarkStart w:id="0" w:name="_Hlk64257494"/>
      <w:r>
        <w:rPr>
          <w:rFonts w:ascii="Times New Roman" w:hAnsi="Times New Roman" w:eastAsia="PMingLiU" w:cs="Times New Roman"/>
          <w:b/>
          <w:bCs/>
          <w:sz w:val="24"/>
          <w:szCs w:val="24"/>
          <w:lang w:val="en-US" w:eastAsia="zh-TW"/>
          <w14:ligatures w14:val="none"/>
        </w:rPr>
        <w:t xml:space="preserve">Green Synthesis, Characterization, </w:t>
      </w:r>
      <w:r>
        <w:rPr>
          <w:rFonts w:ascii="Times New Roman" w:hAnsi="Times New Roman" w:eastAsia="PMingLiU" w:cs="Times New Roman"/>
          <w:b/>
          <w:bCs/>
          <w:i/>
          <w:iCs/>
          <w:sz w:val="24"/>
          <w:szCs w:val="24"/>
          <w:lang w:val="en-US" w:eastAsia="zh-TW"/>
          <w14:ligatures w14:val="none"/>
        </w:rPr>
        <w:t xml:space="preserve">In Silico </w:t>
      </w:r>
      <w:r>
        <w:rPr>
          <w:rFonts w:ascii="Times New Roman" w:hAnsi="Times New Roman" w:eastAsia="PMingLiU" w:cs="Times New Roman"/>
          <w:b/>
          <w:bCs/>
          <w:sz w:val="24"/>
          <w:szCs w:val="24"/>
          <w:lang w:val="en-US" w:eastAsia="zh-TW"/>
          <w14:ligatures w14:val="none"/>
        </w:rPr>
        <w:t>Molecular Docking and Biological Evaluation of Imidazolylchalcones as Promising Fungicide/s and Nematicide/s</w:t>
      </w:r>
    </w:p>
    <w:p w14:paraId="791B656F">
      <w:pPr>
        <w:widowControl w:val="0"/>
        <w:spacing w:after="0" w:line="360" w:lineRule="auto"/>
        <w:ind w:left="-220" w:leftChars="-100" w:right="-220" w:rightChars="-100" w:firstLine="0" w:firstLineChars="0"/>
        <w:jc w:val="center"/>
        <w:rPr>
          <w:rFonts w:ascii="Times New Roman" w:hAnsi="Times New Roman" w:eastAsia="PMingLiU" w:cs="Times New Roman"/>
          <w:color w:val="000000"/>
          <w:sz w:val="24"/>
          <w:szCs w:val="24"/>
          <w:lang w:val="en-US" w:eastAsia="zh-TW"/>
          <w14:ligatures w14:val="none"/>
        </w:rPr>
      </w:pPr>
      <w:r>
        <w:rPr>
          <w:rFonts w:ascii="Times New Roman" w:hAnsi="Times New Roman" w:eastAsia="PMingLiU" w:cs="Times New Roman"/>
          <w:bCs/>
          <w:color w:val="000000"/>
          <w:sz w:val="24"/>
          <w:szCs w:val="24"/>
          <w:lang w:val="en-US" w:eastAsia="zh-TW"/>
          <w14:ligatures w14:val="none"/>
        </w:rPr>
        <w:t>Rakesh Kumar</w:t>
      </w:r>
      <w:r>
        <w:rPr>
          <w:rFonts w:ascii="Times New Roman" w:hAnsi="Times New Roman" w:eastAsia="PMingLiU" w:cs="Times New Roman"/>
          <w:bCs/>
          <w:color w:val="000000"/>
          <w:sz w:val="24"/>
          <w:szCs w:val="24"/>
          <w:vertAlign w:val="superscript"/>
          <w:lang w:val="en-US" w:eastAsia="zh-TW"/>
          <w14:ligatures w14:val="none"/>
        </w:rPr>
        <w:t>1,2,3</w:t>
      </w:r>
      <w:r>
        <w:rPr>
          <w:rFonts w:ascii="Times New Roman" w:hAnsi="Times New Roman" w:eastAsia="PMingLiU" w:cs="Times New Roman"/>
          <w:bCs/>
          <w:color w:val="000000"/>
          <w:sz w:val="24"/>
          <w:szCs w:val="24"/>
          <w:lang w:val="en-US" w:eastAsia="zh-TW"/>
          <w14:ligatures w14:val="none"/>
        </w:rPr>
        <w:t>, Parshant Kaushik</w:t>
      </w:r>
      <w:r>
        <w:rPr>
          <w:rFonts w:ascii="Times New Roman" w:hAnsi="Times New Roman" w:eastAsia="PMingLiU" w:cs="Times New Roman"/>
          <w:bCs/>
          <w:color w:val="000000"/>
          <w:sz w:val="24"/>
          <w:szCs w:val="24"/>
          <w:vertAlign w:val="superscript"/>
          <w:lang w:val="en-US" w:eastAsia="zh-TW"/>
          <w14:ligatures w14:val="none"/>
        </w:rPr>
        <w:t>1</w:t>
      </w:r>
      <w:r>
        <w:rPr>
          <w:rFonts w:ascii="Times New Roman" w:hAnsi="Times New Roman" w:eastAsia="PMingLiU" w:cs="Times New Roman"/>
          <w:bCs/>
          <w:color w:val="000000"/>
          <w:sz w:val="24"/>
          <w:szCs w:val="24"/>
          <w:lang w:val="en-US" w:eastAsia="zh-TW"/>
          <w14:ligatures w14:val="none"/>
        </w:rPr>
        <w:t>, Kailashpati Tripathi</w:t>
      </w:r>
      <w:r>
        <w:rPr>
          <w:rFonts w:ascii="Times New Roman" w:hAnsi="Times New Roman" w:eastAsia="PMingLiU" w:cs="Times New Roman"/>
          <w:bCs/>
          <w:color w:val="000000"/>
          <w:sz w:val="24"/>
          <w:szCs w:val="24"/>
          <w:vertAlign w:val="superscript"/>
          <w:lang w:val="en-US" w:eastAsia="zh-TW"/>
          <w14:ligatures w14:val="none"/>
        </w:rPr>
        <w:t>1,4</w:t>
      </w:r>
      <w:r>
        <w:rPr>
          <w:rFonts w:ascii="Times New Roman" w:hAnsi="Times New Roman" w:eastAsia="PMingLiU" w:cs="Times New Roman"/>
          <w:bCs/>
          <w:color w:val="000000"/>
          <w:sz w:val="24"/>
          <w:szCs w:val="24"/>
          <w:lang w:val="en-US" w:eastAsia="zh-TW"/>
          <w14:ligatures w14:val="none"/>
        </w:rPr>
        <w:t>, Rajni Godara</w:t>
      </w:r>
      <w:r>
        <w:rPr>
          <w:rFonts w:ascii="Times New Roman" w:hAnsi="Times New Roman" w:eastAsia="PMingLiU" w:cs="Times New Roman"/>
          <w:bCs/>
          <w:color w:val="000000"/>
          <w:sz w:val="24"/>
          <w:szCs w:val="24"/>
          <w:vertAlign w:val="superscript"/>
          <w:lang w:val="en-US" w:eastAsia="zh-TW"/>
          <w14:ligatures w14:val="none"/>
        </w:rPr>
        <w:t>1</w:t>
      </w:r>
      <w:r>
        <w:rPr>
          <w:rFonts w:ascii="Times New Roman" w:hAnsi="Times New Roman" w:eastAsia="PMingLiU" w:cs="Times New Roman"/>
          <w:bCs/>
          <w:color w:val="000000"/>
          <w:sz w:val="24"/>
          <w:szCs w:val="24"/>
          <w:lang w:val="en-US" w:eastAsia="zh-TW"/>
          <w14:ligatures w14:val="none"/>
        </w:rPr>
        <w:t>,, Sameer Ranjan Misra</w:t>
      </w:r>
      <w:r>
        <w:rPr>
          <w:rFonts w:ascii="Times New Roman" w:hAnsi="Times New Roman" w:eastAsia="PMingLiU" w:cs="Times New Roman"/>
          <w:bCs/>
          <w:color w:val="000000"/>
          <w:sz w:val="24"/>
          <w:szCs w:val="24"/>
          <w:vertAlign w:val="superscript"/>
          <w:lang w:val="en-US" w:eastAsia="zh-TW"/>
          <w14:ligatures w14:val="none"/>
        </w:rPr>
        <w:t>1</w:t>
      </w:r>
      <w:r>
        <w:rPr>
          <w:rFonts w:ascii="Times New Roman" w:hAnsi="Times New Roman" w:eastAsia="PMingLiU" w:cs="Times New Roman"/>
          <w:bCs/>
          <w:color w:val="000000"/>
          <w:sz w:val="24"/>
          <w:szCs w:val="24"/>
          <w:lang w:val="en-US" w:eastAsia="zh-TW"/>
          <w14:ligatures w14:val="none"/>
        </w:rPr>
        <w:t>, Vijay Kumar</w:t>
      </w:r>
      <w:r>
        <w:rPr>
          <w:rFonts w:ascii="Times New Roman" w:hAnsi="Times New Roman" w:eastAsia="PMingLiU" w:cs="Times New Roman"/>
          <w:bCs/>
          <w:color w:val="000000"/>
          <w:sz w:val="24"/>
          <w:szCs w:val="24"/>
          <w:vertAlign w:val="superscript"/>
          <w:lang w:val="en-US" w:eastAsia="zh-TW"/>
          <w14:ligatures w14:val="none"/>
        </w:rPr>
        <w:t>1</w:t>
      </w:r>
      <w:r>
        <w:rPr>
          <w:rFonts w:hint="default" w:ascii="Times New Roman" w:hAnsi="Times New Roman" w:eastAsia="PMingLiU" w:cs="Times New Roman"/>
          <w:bCs/>
          <w:color w:val="000000"/>
          <w:sz w:val="24"/>
          <w:szCs w:val="24"/>
          <w:vertAlign w:val="baseline"/>
          <w:lang w:val="en-IN" w:eastAsia="zh-TW"/>
          <w14:ligatures w14:val="none"/>
        </w:rPr>
        <w:t>,</w:t>
      </w:r>
      <w:r>
        <w:rPr>
          <w:rFonts w:ascii="Times New Roman" w:hAnsi="Times New Roman" w:eastAsia="PMingLiU" w:cs="Times New Roman"/>
          <w:bCs/>
          <w:color w:val="000000"/>
          <w:sz w:val="24"/>
          <w:szCs w:val="24"/>
          <w:lang w:val="en-US" w:eastAsia="zh-TW"/>
          <w14:ligatures w14:val="none"/>
        </w:rPr>
        <w:t xml:space="preserve"> Patha Chandra Mondal</w:t>
      </w:r>
      <w:r>
        <w:rPr>
          <w:rFonts w:ascii="Times New Roman" w:hAnsi="Times New Roman" w:eastAsia="PMingLiU" w:cs="Times New Roman"/>
          <w:bCs/>
          <w:color w:val="000000"/>
          <w:sz w:val="24"/>
          <w:szCs w:val="24"/>
          <w:vertAlign w:val="superscript"/>
          <w:lang w:val="en-US" w:eastAsia="zh-TW"/>
          <w14:ligatures w14:val="none"/>
        </w:rPr>
        <w:t>1</w:t>
      </w:r>
      <w:r>
        <w:rPr>
          <w:rFonts w:hint="default" w:ascii="Times New Roman" w:hAnsi="Times New Roman" w:eastAsia="PMingLiU" w:cs="Times New Roman"/>
          <w:bCs/>
          <w:color w:val="000000"/>
          <w:sz w:val="24"/>
          <w:szCs w:val="24"/>
          <w:vertAlign w:val="baseline"/>
          <w:lang w:val="en-IN" w:eastAsia="zh-TW"/>
          <w14:ligatures w14:val="none"/>
        </w:rPr>
        <w:t>,Jeetram</w:t>
      </w:r>
      <w:r>
        <w:rPr>
          <w:rFonts w:hint="default" w:ascii="Times New Roman" w:hAnsi="Times New Roman" w:eastAsia="PMingLiU" w:cs="Times New Roman"/>
          <w:bCs/>
          <w:color w:val="000000"/>
          <w:sz w:val="24"/>
          <w:szCs w:val="24"/>
          <w:vertAlign w:val="superscript"/>
          <w:lang w:val="en-IN" w:eastAsia="zh-TW"/>
          <w14:ligatures w14:val="none"/>
        </w:rPr>
        <w:t>1</w:t>
      </w:r>
      <w:r>
        <w:rPr>
          <w:rFonts w:hint="default" w:ascii="Times New Roman" w:hAnsi="Times New Roman" w:eastAsia="PMingLiU" w:cs="Times New Roman"/>
          <w:bCs/>
          <w:color w:val="000000"/>
          <w:sz w:val="24"/>
          <w:szCs w:val="24"/>
          <w:vertAlign w:val="baseline"/>
          <w:lang w:val="en-IN" w:eastAsia="zh-TW"/>
          <w14:ligatures w14:val="none"/>
        </w:rPr>
        <w:t xml:space="preserve">, </w:t>
      </w:r>
      <w:r>
        <w:rPr>
          <w:rFonts w:ascii="Times New Roman" w:hAnsi="Times New Roman" w:eastAsia="PMingLiU" w:cs="Times New Roman"/>
          <w:bCs/>
          <w:color w:val="000000"/>
          <w:sz w:val="24"/>
          <w:szCs w:val="24"/>
          <w:lang w:val="en-US" w:eastAsia="zh-TW"/>
          <w14:ligatures w14:val="none"/>
        </w:rPr>
        <w:t>Pankaj</w:t>
      </w:r>
      <w:r>
        <w:rPr>
          <w:rFonts w:ascii="Times New Roman" w:hAnsi="Times New Roman" w:eastAsia="PMingLiU" w:cs="Times New Roman"/>
          <w:bCs/>
          <w:color w:val="000000"/>
          <w:sz w:val="24"/>
          <w:szCs w:val="24"/>
          <w:vertAlign w:val="superscript"/>
          <w:lang w:val="en-US" w:eastAsia="zh-TW"/>
          <w14:ligatures w14:val="none"/>
        </w:rPr>
        <w:t>5</w:t>
      </w:r>
      <w:r>
        <w:rPr>
          <w:rFonts w:ascii="Times New Roman" w:hAnsi="Times New Roman" w:eastAsia="PMingLiU" w:cs="Times New Roman"/>
          <w:bCs/>
          <w:color w:val="000000"/>
          <w:sz w:val="24"/>
          <w:szCs w:val="24"/>
          <w:lang w:val="en-US" w:eastAsia="zh-TW"/>
          <w14:ligatures w14:val="none"/>
        </w:rPr>
        <w:t>, Virendra Singh Rana</w:t>
      </w:r>
      <w:r>
        <w:rPr>
          <w:rFonts w:ascii="Times New Roman" w:hAnsi="Times New Roman" w:eastAsia="PMingLiU" w:cs="Times New Roman"/>
          <w:bCs/>
          <w:color w:val="000000"/>
          <w:sz w:val="24"/>
          <w:szCs w:val="24"/>
          <w:vertAlign w:val="superscript"/>
          <w:lang w:val="en-US" w:eastAsia="zh-TW"/>
          <w14:ligatures w14:val="none"/>
        </w:rPr>
        <w:t>1</w:t>
      </w:r>
      <w:r>
        <w:rPr>
          <w:rFonts w:ascii="Times New Roman" w:hAnsi="Times New Roman" w:eastAsia="PMingLiU" w:cs="Times New Roman"/>
          <w:bCs/>
          <w:color w:val="000000"/>
          <w:sz w:val="24"/>
          <w:szCs w:val="24"/>
          <w:lang w:val="en-US" w:eastAsia="zh-TW"/>
          <w14:ligatures w14:val="none"/>
        </w:rPr>
        <w:t>, V. Shanmugam</w:t>
      </w:r>
      <w:r>
        <w:rPr>
          <w:rFonts w:ascii="Times New Roman" w:hAnsi="Times New Roman" w:eastAsia="PMingLiU" w:cs="Times New Roman"/>
          <w:bCs/>
          <w:color w:val="000000"/>
          <w:sz w:val="24"/>
          <w:szCs w:val="24"/>
          <w:vertAlign w:val="superscript"/>
          <w:lang w:val="en-US" w:eastAsia="zh-TW"/>
          <w14:ligatures w14:val="none"/>
        </w:rPr>
        <w:t>6</w:t>
      </w:r>
      <w:r>
        <w:rPr>
          <w:rFonts w:ascii="Times New Roman" w:hAnsi="Times New Roman" w:eastAsia="PMingLiU" w:cs="Times New Roman"/>
          <w:bCs/>
          <w:color w:val="000000"/>
          <w:sz w:val="24"/>
          <w:szCs w:val="24"/>
          <w:lang w:val="en-US" w:eastAsia="zh-TW"/>
          <w14:ligatures w14:val="none"/>
        </w:rPr>
        <w:t>, Dilip Khatri</w:t>
      </w:r>
      <w:r>
        <w:rPr>
          <w:rFonts w:ascii="Times New Roman" w:hAnsi="Times New Roman" w:eastAsia="PMingLiU" w:cs="Times New Roman"/>
          <w:bCs/>
          <w:color w:val="000000"/>
          <w:sz w:val="24"/>
          <w:szCs w:val="24"/>
          <w:vertAlign w:val="superscript"/>
          <w:lang w:val="en-US" w:eastAsia="zh-TW"/>
          <w14:ligatures w14:val="none"/>
        </w:rPr>
        <w:t>7</w:t>
      </w:r>
      <w:r>
        <w:rPr>
          <w:rFonts w:ascii="Times New Roman" w:hAnsi="Times New Roman" w:eastAsia="PMingLiU" w:cs="Times New Roman"/>
          <w:bCs/>
          <w:color w:val="000000"/>
          <w:sz w:val="24"/>
          <w:szCs w:val="24"/>
          <w:lang w:val="en-US" w:eastAsia="zh-TW"/>
          <w14:ligatures w14:val="none"/>
        </w:rPr>
        <w:t xml:space="preserve"> and Najam Akhtar Shakil</w:t>
      </w:r>
      <w:r>
        <w:rPr>
          <w:rFonts w:ascii="Times New Roman" w:hAnsi="Times New Roman" w:eastAsia="PMingLiU" w:cs="Times New Roman"/>
          <w:bCs/>
          <w:color w:val="000000"/>
          <w:sz w:val="24"/>
          <w:szCs w:val="24"/>
          <w:vertAlign w:val="superscript"/>
          <w:lang w:val="en-US" w:eastAsia="zh-TW"/>
          <w14:ligatures w14:val="none"/>
        </w:rPr>
        <w:t>1</w:t>
      </w:r>
      <w:r>
        <w:rPr>
          <w:rFonts w:ascii="Times New Roman" w:hAnsi="Times New Roman" w:eastAsia="PMingLiU" w:cs="Times New Roman"/>
          <w:bCs/>
          <w:color w:val="000000"/>
          <w:sz w:val="24"/>
          <w:szCs w:val="24"/>
          <w:lang w:val="en-US" w:eastAsia="zh-TW"/>
          <w14:ligatures w14:val="none"/>
        </w:rPr>
        <w:t>*</w:t>
      </w:r>
    </w:p>
    <w:p w14:paraId="7B51A685">
      <w:pPr>
        <w:widowControl w:val="0"/>
        <w:spacing w:after="0" w:line="360" w:lineRule="auto"/>
        <w:ind w:left="-220" w:leftChars="-100" w:right="-220" w:rightChars="-100" w:firstLine="0" w:firstLineChars="0"/>
        <w:jc w:val="center"/>
        <w:rPr>
          <w:rFonts w:ascii="Times New Roman" w:hAnsi="Times New Roman" w:eastAsia="PMingLiU" w:cs="Times New Roman"/>
          <w:bCs/>
          <w:color w:val="000000"/>
          <w:sz w:val="24"/>
          <w:szCs w:val="20"/>
          <w:lang w:val="en-US" w:eastAsia="zh-TW"/>
          <w14:ligatures w14:val="none"/>
        </w:rPr>
      </w:pPr>
      <w:r>
        <w:rPr>
          <w:rFonts w:ascii="Times New Roman" w:hAnsi="Times New Roman" w:eastAsia="PMingLiU" w:cs="Times New Roman"/>
          <w:bCs/>
          <w:color w:val="000000"/>
          <w:sz w:val="24"/>
          <w:szCs w:val="20"/>
          <w:vertAlign w:val="superscript"/>
          <w:lang w:val="en-US" w:eastAsia="zh-TW"/>
          <w14:ligatures w14:val="none"/>
        </w:rPr>
        <w:t>1</w:t>
      </w:r>
      <w:r>
        <w:rPr>
          <w:rFonts w:ascii="Times New Roman" w:hAnsi="Times New Roman" w:eastAsia="PMingLiU" w:cs="Times New Roman"/>
          <w:bCs/>
          <w:color w:val="000000"/>
          <w:sz w:val="24"/>
          <w:szCs w:val="20"/>
          <w:lang w:val="en-US" w:eastAsia="zh-TW"/>
          <w14:ligatures w14:val="none"/>
        </w:rPr>
        <w:t>Division of Agricultural Chemicals, ICAR-Indian Agricultural Research Institute, New Delhi, India</w:t>
      </w:r>
    </w:p>
    <w:p w14:paraId="0692A4AB">
      <w:pPr>
        <w:widowControl w:val="0"/>
        <w:spacing w:after="0" w:line="360" w:lineRule="auto"/>
        <w:ind w:left="-220" w:leftChars="-100" w:right="-220" w:rightChars="-100" w:firstLine="0" w:firstLineChars="0"/>
        <w:jc w:val="center"/>
        <w:rPr>
          <w:rFonts w:ascii="Times New Roman" w:hAnsi="Times New Roman" w:eastAsia="PMingLiU" w:cs="Times New Roman"/>
          <w:bCs/>
          <w:color w:val="000000"/>
          <w:sz w:val="24"/>
          <w:szCs w:val="20"/>
          <w:lang w:val="en-US" w:eastAsia="zh-TW"/>
          <w14:ligatures w14:val="none"/>
        </w:rPr>
      </w:pPr>
      <w:r>
        <w:rPr>
          <w:rFonts w:ascii="Times New Roman" w:hAnsi="Times New Roman" w:eastAsia="PMingLiU" w:cs="Times New Roman"/>
          <w:bCs/>
          <w:color w:val="000000"/>
          <w:sz w:val="24"/>
          <w:szCs w:val="20"/>
          <w:vertAlign w:val="superscript"/>
          <w:lang w:val="en-US" w:eastAsia="zh-TW"/>
          <w14:ligatures w14:val="none"/>
        </w:rPr>
        <w:t>2</w:t>
      </w:r>
      <w:r>
        <w:rPr>
          <w:rFonts w:ascii="Times New Roman" w:hAnsi="Times New Roman" w:eastAsia="PMingLiU" w:cs="Times New Roman"/>
          <w:bCs/>
          <w:color w:val="000000"/>
          <w:sz w:val="24"/>
          <w:szCs w:val="20"/>
          <w:lang w:val="en-US" w:eastAsia="zh-TW"/>
          <w14:ligatures w14:val="none"/>
        </w:rPr>
        <w:t>The Graduate School, ICAR-Indian Agricultural Research Institute, New Delhi, India</w:t>
      </w:r>
    </w:p>
    <w:p w14:paraId="68DD9C83">
      <w:pPr>
        <w:widowControl w:val="0"/>
        <w:spacing w:after="0" w:line="360" w:lineRule="auto"/>
        <w:ind w:left="-220" w:leftChars="-100" w:right="-220" w:rightChars="-100" w:firstLine="0" w:firstLineChars="0"/>
        <w:jc w:val="center"/>
        <w:rPr>
          <w:rFonts w:ascii="Times New Roman" w:hAnsi="Times New Roman" w:eastAsia="PMingLiU" w:cs="Times New Roman"/>
          <w:bCs/>
          <w:color w:val="000000"/>
          <w:sz w:val="24"/>
          <w:szCs w:val="20"/>
          <w:lang w:val="en-US" w:eastAsia="zh-TW"/>
          <w14:ligatures w14:val="none"/>
        </w:rPr>
      </w:pPr>
      <w:r>
        <w:rPr>
          <w:rFonts w:ascii="Times New Roman" w:hAnsi="Times New Roman" w:eastAsia="PMingLiU" w:cs="Times New Roman"/>
          <w:bCs/>
          <w:color w:val="000000"/>
          <w:sz w:val="24"/>
          <w:szCs w:val="20"/>
          <w:vertAlign w:val="superscript"/>
          <w:lang w:val="en-US" w:eastAsia="zh-TW"/>
          <w14:ligatures w14:val="none"/>
        </w:rPr>
        <w:t>3</w:t>
      </w:r>
      <w:r>
        <w:rPr>
          <w:rFonts w:ascii="Times New Roman" w:hAnsi="Times New Roman" w:eastAsia="PMingLiU" w:cs="Times New Roman"/>
          <w:bCs/>
          <w:color w:val="000000"/>
          <w:sz w:val="24"/>
          <w:szCs w:val="20"/>
          <w:lang w:val="en-US" w:eastAsia="zh-TW"/>
          <w14:ligatures w14:val="none"/>
        </w:rPr>
        <w:t>ICAR-Central Inland Fisheries Research Institute, RC, Guwahati, Assam, India</w:t>
      </w:r>
    </w:p>
    <w:p w14:paraId="5D8A8FC7">
      <w:pPr>
        <w:widowControl w:val="0"/>
        <w:spacing w:after="0" w:line="360" w:lineRule="auto"/>
        <w:ind w:left="-220" w:leftChars="-100" w:right="-220" w:rightChars="-100" w:firstLine="0" w:firstLineChars="0"/>
        <w:jc w:val="center"/>
        <w:rPr>
          <w:rFonts w:ascii="Times New Roman" w:hAnsi="Times New Roman" w:eastAsia="PMingLiU" w:cs="Times New Roman"/>
          <w:bCs/>
          <w:color w:val="000000"/>
          <w:sz w:val="24"/>
          <w:szCs w:val="20"/>
          <w:lang w:val="en-US" w:eastAsia="zh-TW"/>
          <w14:ligatures w14:val="none"/>
        </w:rPr>
      </w:pPr>
      <w:r>
        <w:rPr>
          <w:rFonts w:ascii="Times New Roman" w:hAnsi="Times New Roman" w:eastAsia="PMingLiU" w:cs="Times New Roman"/>
          <w:bCs/>
          <w:color w:val="000000"/>
          <w:sz w:val="24"/>
          <w:szCs w:val="20"/>
          <w:vertAlign w:val="superscript"/>
          <w:lang w:val="en-US" w:eastAsia="zh-TW"/>
          <w14:ligatures w14:val="none"/>
        </w:rPr>
        <w:t>4</w:t>
      </w:r>
      <w:r>
        <w:rPr>
          <w:rFonts w:ascii="Times New Roman" w:hAnsi="Times New Roman" w:eastAsia="PMingLiU" w:cs="Times New Roman"/>
          <w:bCs/>
          <w:color w:val="000000"/>
          <w:sz w:val="24"/>
          <w:szCs w:val="20"/>
          <w:lang w:val="en-US" w:eastAsia="zh-TW"/>
          <w14:ligatures w14:val="none"/>
        </w:rPr>
        <w:t>ICAR- National Research Centre on Seed Spices, Ajmer, Rajasthan. India</w:t>
      </w:r>
    </w:p>
    <w:p w14:paraId="0C8FB91B">
      <w:pPr>
        <w:widowControl w:val="0"/>
        <w:spacing w:after="0" w:line="360" w:lineRule="auto"/>
        <w:ind w:left="-220" w:leftChars="-100" w:right="-220" w:rightChars="-100" w:firstLine="0" w:firstLineChars="0"/>
        <w:jc w:val="center"/>
        <w:rPr>
          <w:rFonts w:ascii="Times New Roman" w:hAnsi="Times New Roman" w:eastAsia="PMingLiU" w:cs="Times New Roman"/>
          <w:bCs/>
          <w:color w:val="000000"/>
          <w:sz w:val="24"/>
          <w:szCs w:val="20"/>
          <w:lang w:val="en-US" w:eastAsia="zh-TW"/>
          <w14:ligatures w14:val="none"/>
        </w:rPr>
      </w:pPr>
      <w:r>
        <w:rPr>
          <w:rFonts w:ascii="Times New Roman" w:hAnsi="Times New Roman" w:eastAsia="PMingLiU" w:cs="Times New Roman"/>
          <w:bCs/>
          <w:color w:val="000000"/>
          <w:sz w:val="24"/>
          <w:szCs w:val="20"/>
          <w:vertAlign w:val="superscript"/>
          <w:lang w:val="en-US" w:eastAsia="zh-TW"/>
          <w14:ligatures w14:val="none"/>
        </w:rPr>
        <w:t>5</w:t>
      </w:r>
      <w:r>
        <w:rPr>
          <w:rFonts w:ascii="Times New Roman" w:hAnsi="Times New Roman" w:eastAsia="PMingLiU" w:cs="Times New Roman"/>
          <w:bCs/>
          <w:color w:val="000000"/>
          <w:sz w:val="24"/>
          <w:szCs w:val="20"/>
          <w:lang w:val="en-US" w:eastAsia="zh-TW"/>
          <w14:ligatures w14:val="none"/>
        </w:rPr>
        <w:t>Division of Nematology, ICAR-Indian Agricultural Research Institute, New Delhi, India</w:t>
      </w:r>
    </w:p>
    <w:p w14:paraId="78327A41">
      <w:pPr>
        <w:widowControl w:val="0"/>
        <w:spacing w:after="0" w:line="360" w:lineRule="auto"/>
        <w:ind w:left="-220" w:leftChars="-100" w:right="-220" w:rightChars="-100" w:firstLine="0" w:firstLineChars="0"/>
        <w:jc w:val="center"/>
        <w:rPr>
          <w:rFonts w:ascii="Times New Roman" w:hAnsi="Times New Roman" w:eastAsia="PMingLiU" w:cs="Times New Roman"/>
          <w:bCs/>
          <w:color w:val="000000"/>
          <w:sz w:val="24"/>
          <w:szCs w:val="20"/>
          <w:lang w:val="en-US" w:eastAsia="zh-TW"/>
          <w14:ligatures w14:val="none"/>
        </w:rPr>
      </w:pPr>
      <w:r>
        <w:rPr>
          <w:rFonts w:ascii="Times New Roman" w:hAnsi="Times New Roman" w:eastAsia="PMingLiU" w:cs="Times New Roman"/>
          <w:bCs/>
          <w:color w:val="000000"/>
          <w:sz w:val="24"/>
          <w:szCs w:val="20"/>
          <w:vertAlign w:val="superscript"/>
          <w:lang w:val="en-US" w:eastAsia="zh-TW"/>
          <w14:ligatures w14:val="none"/>
        </w:rPr>
        <w:t>6</w:t>
      </w:r>
      <w:r>
        <w:rPr>
          <w:rFonts w:ascii="Times New Roman" w:hAnsi="Times New Roman" w:eastAsia="PMingLiU" w:cs="Times New Roman"/>
          <w:bCs/>
          <w:color w:val="000000"/>
          <w:sz w:val="24"/>
          <w:szCs w:val="20"/>
          <w:lang w:val="en-US" w:eastAsia="zh-TW"/>
          <w14:ligatures w14:val="none"/>
        </w:rPr>
        <w:t>Division of Plant Pathology, ICAR-Indian Agricultural Research Institute, New Delhi, India</w:t>
      </w:r>
    </w:p>
    <w:p w14:paraId="6F79EE78">
      <w:pPr>
        <w:widowControl w:val="0"/>
        <w:spacing w:after="0" w:line="360" w:lineRule="auto"/>
        <w:ind w:left="-220" w:leftChars="-100" w:right="-220" w:rightChars="-100" w:firstLine="0" w:firstLineChars="0"/>
        <w:jc w:val="center"/>
        <w:rPr>
          <w:rFonts w:ascii="Times New Roman" w:hAnsi="Times New Roman" w:eastAsia="PMingLiU" w:cs="Times New Roman"/>
          <w:bCs/>
          <w:color w:val="000000"/>
          <w:sz w:val="24"/>
          <w:szCs w:val="20"/>
          <w:lang w:val="en-US" w:eastAsia="zh-TW"/>
          <w14:ligatures w14:val="none"/>
        </w:rPr>
      </w:pPr>
      <w:r>
        <w:rPr>
          <w:rFonts w:ascii="Times New Roman" w:hAnsi="Times New Roman" w:eastAsia="PMingLiU" w:cs="Times New Roman"/>
          <w:bCs/>
          <w:color w:val="000000"/>
          <w:sz w:val="24"/>
          <w:szCs w:val="20"/>
          <w:vertAlign w:val="superscript"/>
          <w:lang w:val="en-US" w:eastAsia="zh-TW"/>
          <w14:ligatures w14:val="none"/>
        </w:rPr>
        <w:t>7</w:t>
      </w:r>
      <w:r>
        <w:rPr>
          <w:rFonts w:ascii="Times New Roman" w:hAnsi="Times New Roman" w:eastAsia="PMingLiU" w:cs="Times New Roman"/>
          <w:bCs/>
          <w:color w:val="000000"/>
          <w:sz w:val="24"/>
          <w:szCs w:val="20"/>
          <w:lang w:val="en-US" w:eastAsia="zh-TW"/>
          <w14:ligatures w14:val="none"/>
        </w:rPr>
        <w:t>PI Industries, Udaipur, India</w:t>
      </w:r>
    </w:p>
    <w:p w14:paraId="7A31AC33">
      <w:pPr>
        <w:widowControl w:val="0"/>
        <w:spacing w:after="0" w:line="360" w:lineRule="auto"/>
        <w:jc w:val="center"/>
        <w:rPr>
          <w:rFonts w:ascii="Times New Roman" w:hAnsi="Times New Roman" w:eastAsia="PMingLiU" w:cs="Times New Roman"/>
          <w:bCs/>
          <w:color w:val="000000"/>
          <w:sz w:val="24"/>
          <w:szCs w:val="20"/>
          <w:u w:val="single"/>
          <w:lang w:val="en-US" w:eastAsia="zh-TW"/>
          <w14:ligatures w14:val="none"/>
        </w:rPr>
      </w:pPr>
      <w:r>
        <w:rPr>
          <w:rFonts w:ascii="Times New Roman" w:hAnsi="Times New Roman" w:eastAsia="PMingLiU" w:cs="Times New Roman"/>
          <w:bCs/>
          <w:color w:val="000000"/>
          <w:sz w:val="24"/>
          <w:szCs w:val="20"/>
          <w:lang w:val="en-US" w:eastAsia="zh-TW"/>
          <w14:ligatures w14:val="none"/>
        </w:rPr>
        <w:t xml:space="preserve">*Corresponding author’s E-mail address: </w:t>
      </w:r>
      <w:r>
        <w:rPr>
          <w:rFonts w:ascii="Times New Roman" w:hAnsi="Times New Roman" w:eastAsia="PMingLiU" w:cs="Times New Roman"/>
          <w:bCs/>
          <w:color w:val="000000"/>
          <w:sz w:val="24"/>
          <w:szCs w:val="20"/>
          <w:u w:val="single"/>
          <w:lang w:val="en-US" w:eastAsia="zh-TW"/>
          <w14:ligatures w14:val="none"/>
        </w:rPr>
        <w:t>iamshakil@gmail.com</w:t>
      </w:r>
    </w:p>
    <w:bookmarkEnd w:id="0"/>
    <w:p w14:paraId="08C67091">
      <w:pPr>
        <w:pStyle w:val="4"/>
        <w:spacing w:before="0" w:beforeAutospacing="0" w:line="360" w:lineRule="auto"/>
        <w:jc w:val="center"/>
      </w:pPr>
    </w:p>
    <w:p w14:paraId="7C732EF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Supporting Information</w:t>
      </w:r>
    </w:p>
    <w:p w14:paraId="778E94F8">
      <w:pPr>
        <w:pStyle w:val="4"/>
        <w:spacing w:before="0" w:beforeAutospacing="0" w:line="360" w:lineRule="auto"/>
        <w:jc w:val="both"/>
        <w:rPr>
          <w:b/>
          <w:bCs/>
        </w:rPr>
      </w:pPr>
      <w:r>
        <w:rPr>
          <w:b/>
          <w:bCs/>
          <w:vertAlign w:val="superscript"/>
        </w:rPr>
        <w:t>1</w:t>
      </w:r>
      <w:r>
        <w:rPr>
          <w:b/>
          <w:bCs/>
        </w:rPr>
        <w:t>H-NMR</w:t>
      </w:r>
      <w:r>
        <w:rPr>
          <w:rFonts w:hint="default"/>
          <w:b/>
          <w:bCs/>
          <w:lang w:val="en-IN"/>
        </w:rPr>
        <w:t>,</w:t>
      </w:r>
      <w:r>
        <w:rPr>
          <w:b/>
          <w:bCs/>
        </w:rPr>
        <w:t xml:space="preserve"> </w:t>
      </w:r>
      <w:r>
        <w:rPr>
          <w:b/>
          <w:bCs/>
          <w:vertAlign w:val="superscript"/>
        </w:rPr>
        <w:t>13</w:t>
      </w:r>
      <w:r>
        <w:rPr>
          <w:b/>
          <w:bCs/>
        </w:rPr>
        <w:t xml:space="preserve">C-NMR </w:t>
      </w:r>
      <w:r>
        <w:rPr>
          <w:rFonts w:hint="default"/>
          <w:b/>
          <w:bCs/>
          <w:lang w:val="en-IN"/>
        </w:rPr>
        <w:t xml:space="preserve">and HRMS spectra </w:t>
      </w:r>
      <w:r>
        <w:rPr>
          <w:b/>
          <w:bCs/>
        </w:rPr>
        <w:t xml:space="preserve">of </w:t>
      </w:r>
      <w:r>
        <w:rPr>
          <w:rFonts w:hint="default"/>
          <w:b/>
          <w:bCs/>
          <w:lang w:val="en-IN"/>
        </w:rPr>
        <w:t xml:space="preserve">most effective compounds </w:t>
      </w:r>
      <w:r>
        <w:rPr>
          <w:b/>
          <w:bCs/>
        </w:rPr>
        <w:t>IC-1</w:t>
      </w:r>
      <w:r>
        <w:rPr>
          <w:rFonts w:hint="default"/>
          <w:b/>
          <w:bCs/>
          <w:lang w:val="en-IN"/>
        </w:rPr>
        <w:t>, IC-4, IC-6 and IC-8 (</w:t>
      </w:r>
      <w:r>
        <w:rPr>
          <w:b/>
          <w:bCs/>
        </w:rPr>
        <w:t>imidazolylchalcone derivatives)</w:t>
      </w:r>
    </w:p>
    <w:p w14:paraId="5FDFD53F">
      <w:pPr>
        <w:pStyle w:val="4"/>
        <w:spacing w:before="0" w:beforeAutospacing="0" w:after="0" w:line="360" w:lineRule="auto"/>
        <w:jc w:val="center"/>
        <w:rPr>
          <w:rFonts w:ascii="MS Shell Dlg 2" w:hAnsi="MS Shell Dlg 2"/>
          <w:sz w:val="16"/>
          <w:szCs w:val="16"/>
        </w:rPr>
      </w:pPr>
    </w:p>
    <w:p w14:paraId="0D37E5E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IC-1:</w:t>
      </w:r>
    </w:p>
    <w:p w14:paraId="09B73602">
      <w:pPr>
        <w:pStyle w:val="4"/>
        <w:spacing w:before="0" w:beforeAutospacing="0" w:after="0" w:line="360" w:lineRule="auto"/>
        <w:jc w:val="center"/>
        <w:rPr>
          <w:rFonts w:ascii="MS Shell Dlg 2" w:hAnsi="MS Shell Dlg 2"/>
          <w:sz w:val="16"/>
          <w:szCs w:val="16"/>
        </w:rPr>
      </w:pPr>
      <w:r>
        <w:object>
          <v:shape id="_x0000_i1025" o:spt="75" type="#_x0000_t75" style="height:92.5pt;width:256.5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ChemDraw.Document.6.0" ShapeID="_x0000_i1025" DrawAspect="Content" ObjectID="_1468075725" r:id="rId6">
            <o:LockedField>false</o:LockedField>
          </o:OLEObject>
        </w:object>
      </w:r>
      <w:r>
        <w:object>
          <v:shape id="_x0000_i1026" o:spt="75" type="#_x0000_t75" style="height:16.85pt;width:367.7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ChemDraw.Document.6.0" ShapeID="_x0000_i1026" DrawAspect="Content" ObjectID="_1468075726" r:id="rId8">
            <o:LockedField>false</o:LockedField>
          </o:OLEObject>
        </w:object>
      </w:r>
    </w:p>
    <w:p w14:paraId="27C3B7AE">
      <w:pPr>
        <w:pStyle w:val="4"/>
        <w:spacing w:before="0" w:beforeAutospacing="0" w:after="0" w:line="360" w:lineRule="auto"/>
        <w:jc w:val="center"/>
        <w:rPr>
          <w:b/>
          <w:bCs/>
        </w:rPr>
      </w:pPr>
      <w:r>
        <w:rPr>
          <w:rFonts w:ascii="MS Shell Dlg 2" w:hAnsi="MS Shell Dlg 2"/>
          <w:sz w:val="16"/>
          <w:szCs w:val="16"/>
        </w:rPr>
        <w:drawing>
          <wp:inline distT="0" distB="0" distL="0" distR="0">
            <wp:extent cx="5731510" cy="4030980"/>
            <wp:effectExtent l="0" t="0" r="8890" b="7620"/>
            <wp:docPr id="1524883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883370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lk148712290"/>
      <w:r>
        <w:rPr>
          <w:b/>
          <w:bCs/>
        </w:rPr>
        <w:t xml:space="preserve">Fig 1: </w:t>
      </w:r>
      <w:r>
        <w:rPr>
          <w:b/>
          <w:bCs/>
          <w:vertAlign w:val="superscript"/>
        </w:rPr>
        <w:t>1</w:t>
      </w:r>
      <w:r>
        <w:rPr>
          <w:b/>
          <w:bCs/>
        </w:rPr>
        <w:t>H-NMR spectrum of IC-1</w:t>
      </w:r>
    </w:p>
    <w:p w14:paraId="572FEEAF">
      <w:pPr>
        <w:pStyle w:val="4"/>
        <w:spacing w:before="0" w:beforeAutospacing="0" w:after="0" w:line="360" w:lineRule="auto"/>
        <w:jc w:val="center"/>
        <w:rPr>
          <w:b/>
          <w:bCs/>
        </w:rPr>
      </w:pPr>
      <w:r>
        <w:rPr>
          <w:rFonts w:ascii="MS Shell Dlg 2" w:hAnsi="MS Shell Dlg 2"/>
          <w:sz w:val="16"/>
          <w:szCs w:val="16"/>
        </w:rPr>
        <w:drawing>
          <wp:inline distT="0" distB="0" distL="0" distR="0">
            <wp:extent cx="5731510" cy="4027805"/>
            <wp:effectExtent l="0" t="0" r="8890" b="10795"/>
            <wp:docPr id="1153243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43264" name="Picture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b/>
          <w:bCs/>
        </w:rPr>
        <w:t>Fig</w:t>
      </w:r>
      <w:r>
        <w:rPr>
          <w:rFonts w:hint="default"/>
          <w:b/>
          <w:bCs/>
          <w:lang w:val="en-IN"/>
        </w:rPr>
        <w:t xml:space="preserve"> </w:t>
      </w:r>
      <w:r>
        <w:rPr>
          <w:b/>
          <w:bCs/>
        </w:rPr>
        <w:t xml:space="preserve">2: </w:t>
      </w:r>
      <w:r>
        <w:rPr>
          <w:b/>
          <w:bCs/>
          <w:vertAlign w:val="superscript"/>
        </w:rPr>
        <w:t>13</w:t>
      </w:r>
      <w:r>
        <w:rPr>
          <w:b/>
          <w:bCs/>
        </w:rPr>
        <w:t>C-NMR spectrum of IC-1</w:t>
      </w:r>
    </w:p>
    <w:p w14:paraId="2029B0B0">
      <w:pPr>
        <w:pStyle w:val="4"/>
        <w:spacing w:before="0" w:beforeAutospacing="0" w:after="0" w:line="360" w:lineRule="auto"/>
        <w:jc w:val="center"/>
        <w:rPr>
          <w:rFonts w:hint="default"/>
          <w:b/>
          <w:bCs/>
          <w:lang w:val="en-IN"/>
        </w:rPr>
      </w:pPr>
      <w:r>
        <w:drawing>
          <wp:inline distT="0" distB="0" distL="114300" distR="114300">
            <wp:extent cx="5447665" cy="3759200"/>
            <wp:effectExtent l="0" t="0" r="635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9F28E">
      <w:pPr>
        <w:pStyle w:val="4"/>
        <w:spacing w:before="0" w:beforeAutospacing="0" w:after="0" w:line="360" w:lineRule="auto"/>
        <w:jc w:val="center"/>
        <w:rPr>
          <w:b/>
          <w:bCs/>
        </w:rPr>
      </w:pPr>
      <w:r>
        <w:rPr>
          <w:b/>
          <w:bCs/>
        </w:rPr>
        <w:t>Fig</w:t>
      </w:r>
      <w:r>
        <w:rPr>
          <w:rFonts w:hint="default"/>
          <w:b/>
          <w:bCs/>
          <w:lang w:val="en-IN"/>
        </w:rPr>
        <w:t xml:space="preserve"> 3</w:t>
      </w:r>
      <w:r>
        <w:rPr>
          <w:b/>
          <w:bCs/>
        </w:rPr>
        <w:t xml:space="preserve">: </w:t>
      </w:r>
      <w:r>
        <w:rPr>
          <w:rFonts w:hint="default"/>
          <w:b/>
          <w:bCs/>
          <w:vertAlign w:val="baseline"/>
          <w:lang w:val="en-IN"/>
        </w:rPr>
        <w:t>HRMS</w:t>
      </w:r>
      <w:r>
        <w:rPr>
          <w:b/>
          <w:bCs/>
        </w:rPr>
        <w:t xml:space="preserve"> spectrum of IC-1</w:t>
      </w:r>
    </w:p>
    <w:p w14:paraId="04E58D5C">
      <w:pPr>
        <w:pStyle w:val="4"/>
        <w:spacing w:before="0" w:beforeAutospacing="0" w:after="0" w:line="360" w:lineRule="auto"/>
        <w:jc w:val="center"/>
        <w:rPr>
          <w:b/>
          <w:bCs/>
        </w:rPr>
      </w:pPr>
    </w:p>
    <w:p w14:paraId="77106F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IC-4:</w:t>
      </w:r>
    </w:p>
    <w:p w14:paraId="35935477">
      <w:pPr>
        <w:pStyle w:val="4"/>
        <w:spacing w:before="0" w:beforeAutospacing="0" w:after="0" w:afterAutospacing="0" w:line="360" w:lineRule="auto"/>
        <w:jc w:val="center"/>
      </w:pPr>
      <w:r>
        <w:object>
          <v:shape id="_x0000_i1028" o:spt="75" type="#_x0000_t75" style="height:80.65pt;width:258.4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ChemDraw.Document.6.0" ShapeID="_x0000_i1028" DrawAspect="Content" ObjectID="_1468075727" r:id="rId15">
            <o:LockedField>false</o:LockedField>
          </o:OLEObject>
        </w:object>
      </w:r>
    </w:p>
    <w:p w14:paraId="701C3B16">
      <w:pPr>
        <w:pStyle w:val="4"/>
        <w:spacing w:before="0" w:beforeAutospacing="0" w:after="0" w:afterAutospacing="0" w:line="360" w:lineRule="auto"/>
        <w:jc w:val="center"/>
        <w:rPr>
          <w:color w:val="000000"/>
        </w:rPr>
      </w:pPr>
      <w:r>
        <w:object>
          <v:shape id="_x0000_i1029" o:spt="75" type="#_x0000_t75" style="height:16.85pt;width:349.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ChemDraw.Document.6.0" ShapeID="_x0000_i1029" DrawAspect="Content" ObjectID="_1468075728" r:id="rId17">
            <o:LockedField>false</o:LockedField>
          </o:OLEObject>
        </w:object>
      </w:r>
    </w:p>
    <w:p w14:paraId="06139D60">
      <w:pPr>
        <w:pStyle w:val="4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rFonts w:ascii="MS Shell Dlg 2" w:hAnsi="MS Shell Dlg 2" w:cs="MS Shell Dlg 2"/>
          <w:sz w:val="21"/>
          <w:szCs w:val="17"/>
        </w:rPr>
        <w:drawing>
          <wp:inline distT="0" distB="0" distL="0" distR="0">
            <wp:extent cx="5731510" cy="4013835"/>
            <wp:effectExtent l="0" t="0" r="8890" b="12065"/>
            <wp:docPr id="379549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549881" name="Picture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93262">
      <w:pPr>
        <w:pStyle w:val="4"/>
        <w:spacing w:before="0" w:beforeAutospacing="0" w:after="0" w:afterAutospacing="0" w:line="360" w:lineRule="auto"/>
        <w:jc w:val="center"/>
        <w:rPr>
          <w:b/>
          <w:bCs/>
        </w:rPr>
      </w:pPr>
      <w:r>
        <w:rPr>
          <w:b/>
          <w:bCs/>
        </w:rPr>
        <w:t xml:space="preserve">Fig </w:t>
      </w:r>
      <w:r>
        <w:rPr>
          <w:rFonts w:hint="default"/>
          <w:b/>
          <w:bCs/>
          <w:lang w:val="en-IN"/>
        </w:rPr>
        <w:t>4</w:t>
      </w:r>
      <w:r>
        <w:rPr>
          <w:b/>
          <w:bCs/>
        </w:rPr>
        <w:t xml:space="preserve">: </w:t>
      </w:r>
      <w:r>
        <w:rPr>
          <w:b/>
          <w:bCs/>
          <w:vertAlign w:val="superscript"/>
        </w:rPr>
        <w:t>1</w:t>
      </w:r>
      <w:r>
        <w:rPr>
          <w:b/>
          <w:bCs/>
        </w:rPr>
        <w:t>H-NMR spectrum of IC-4</w:t>
      </w:r>
    </w:p>
    <w:p w14:paraId="5F5EB084">
      <w:pPr>
        <w:pStyle w:val="4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lang w:val="en-US" w:eastAsia="en-US"/>
        </w:rPr>
        <w:drawing>
          <wp:inline distT="0" distB="0" distL="0" distR="0">
            <wp:extent cx="5731510" cy="4027805"/>
            <wp:effectExtent l="0" t="0" r="8890" b="10795"/>
            <wp:docPr id="16675003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500369" name="Picture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9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6ACC4">
      <w:pPr>
        <w:pStyle w:val="4"/>
        <w:spacing w:before="0" w:beforeAutospacing="0" w:after="240" w:afterAutospacing="0" w:line="360" w:lineRule="auto"/>
        <w:jc w:val="center"/>
        <w:rPr>
          <w:b/>
          <w:bCs/>
        </w:rPr>
      </w:pPr>
      <w:r>
        <w:rPr>
          <w:b/>
          <w:bCs/>
        </w:rPr>
        <w:t xml:space="preserve">Fig </w:t>
      </w:r>
      <w:r>
        <w:rPr>
          <w:rFonts w:hint="default"/>
          <w:b/>
          <w:bCs/>
          <w:lang w:val="en-IN"/>
        </w:rPr>
        <w:t>5</w:t>
      </w:r>
      <w:r>
        <w:rPr>
          <w:b/>
          <w:bCs/>
        </w:rPr>
        <w:t xml:space="preserve">: </w:t>
      </w:r>
      <w:r>
        <w:rPr>
          <w:b/>
          <w:bCs/>
          <w:vertAlign w:val="superscript"/>
        </w:rPr>
        <w:t>13</w:t>
      </w:r>
      <w:r>
        <w:rPr>
          <w:b/>
          <w:bCs/>
        </w:rPr>
        <w:t>C-NMR spectrum of IC-4</w:t>
      </w:r>
    </w:p>
    <w:p w14:paraId="27577F90">
      <w:pPr>
        <w:pStyle w:val="4"/>
        <w:spacing w:before="0" w:beforeAutospacing="0" w:after="240" w:afterAutospacing="0" w:line="360" w:lineRule="auto"/>
        <w:jc w:val="center"/>
        <w:rPr>
          <w:b/>
          <w:bCs/>
        </w:rPr>
      </w:pPr>
      <w:r>
        <w:drawing>
          <wp:inline distT="0" distB="0" distL="114300" distR="114300">
            <wp:extent cx="5444490" cy="3762375"/>
            <wp:effectExtent l="0" t="0" r="3810" b="9525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0B55D">
      <w:pPr>
        <w:pStyle w:val="4"/>
        <w:spacing w:before="0" w:beforeAutospacing="0" w:after="0" w:line="360" w:lineRule="auto"/>
        <w:jc w:val="center"/>
        <w:rPr>
          <w:rFonts w:hint="default"/>
          <w:b/>
          <w:bCs/>
          <w:lang w:val="en-IN"/>
        </w:rPr>
      </w:pPr>
      <w:r>
        <w:rPr>
          <w:b/>
          <w:bCs/>
        </w:rPr>
        <w:t>Fig</w:t>
      </w:r>
      <w:r>
        <w:rPr>
          <w:rFonts w:hint="default"/>
          <w:b/>
          <w:bCs/>
          <w:lang w:val="en-IN"/>
        </w:rPr>
        <w:t xml:space="preserve"> 6</w:t>
      </w:r>
      <w:r>
        <w:rPr>
          <w:b/>
          <w:bCs/>
        </w:rPr>
        <w:t xml:space="preserve">: </w:t>
      </w:r>
      <w:r>
        <w:rPr>
          <w:rFonts w:hint="default"/>
          <w:b/>
          <w:bCs/>
          <w:vertAlign w:val="baseline"/>
          <w:lang w:val="en-IN"/>
        </w:rPr>
        <w:t>HRMS</w:t>
      </w:r>
      <w:r>
        <w:rPr>
          <w:b/>
          <w:bCs/>
        </w:rPr>
        <w:t xml:space="preserve"> spectrum of IC-</w:t>
      </w:r>
      <w:r>
        <w:rPr>
          <w:rFonts w:hint="default"/>
          <w:b/>
          <w:bCs/>
          <w:lang w:val="en-IN"/>
        </w:rPr>
        <w:t>4</w:t>
      </w:r>
    </w:p>
    <w:p w14:paraId="62A527F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577117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IC-6:</w:t>
      </w:r>
    </w:p>
    <w:p w14:paraId="7126BB85">
      <w:pPr>
        <w:pStyle w:val="4"/>
        <w:spacing w:before="0" w:beforeAutospacing="0" w:line="360" w:lineRule="auto"/>
        <w:jc w:val="center"/>
      </w:pPr>
      <w:r>
        <w:object>
          <v:shape id="_x0000_i1034" o:spt="75" type="#_x0000_t75" style="height:80.65pt;width:269.3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ChemDraw.Document.6.0" ShapeID="_x0000_i1034" DrawAspect="Content" ObjectID="_1468075729" r:id="rId24">
            <o:LockedField>false</o:LockedField>
          </o:OLEObject>
        </w:object>
      </w:r>
    </w:p>
    <w:p w14:paraId="496765A0">
      <w:pPr>
        <w:pStyle w:val="4"/>
        <w:spacing w:before="0" w:beforeAutospacing="0" w:line="360" w:lineRule="auto"/>
        <w:jc w:val="center"/>
        <w:rPr>
          <w:color w:val="000000"/>
        </w:rPr>
      </w:pPr>
      <w:r>
        <w:object>
          <v:shape id="_x0000_i1035" o:spt="75" type="#_x0000_t75" style="height:16.85pt;width:340.4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ChemDraw.Document.6.0" ShapeID="_x0000_i1035" DrawAspect="Content" ObjectID="_1468075730" r:id="rId26">
            <o:LockedField>false</o:LockedField>
          </o:OLEObject>
        </w:object>
      </w:r>
    </w:p>
    <w:p w14:paraId="5B4B9899">
      <w:pPr>
        <w:pStyle w:val="4"/>
        <w:spacing w:before="0" w:beforeAutospacing="0" w:after="0" w:line="360" w:lineRule="auto"/>
        <w:jc w:val="center"/>
        <w:rPr>
          <w:rFonts w:hint="default"/>
          <w:b/>
          <w:bCs/>
          <w:lang w:val="en-IN"/>
        </w:rPr>
      </w:pPr>
      <w:r>
        <w:rPr>
          <w:color w:val="000000"/>
        </w:rPr>
        <w:drawing>
          <wp:inline distT="0" distB="0" distL="0" distR="0">
            <wp:extent cx="5731510" cy="4023995"/>
            <wp:effectExtent l="0" t="0" r="2540" b="0"/>
            <wp:docPr id="1483947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47992" name="Picture 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Fig </w:t>
      </w:r>
      <w:r>
        <w:rPr>
          <w:rFonts w:hint="default"/>
          <w:b/>
          <w:bCs/>
          <w:lang w:val="en-IN"/>
        </w:rPr>
        <w:t>7</w:t>
      </w:r>
      <w:r>
        <w:rPr>
          <w:b/>
          <w:bCs/>
        </w:rPr>
        <w:t xml:space="preserve">: </w:t>
      </w:r>
      <w:r>
        <w:rPr>
          <w:b/>
          <w:bCs/>
          <w:vertAlign w:val="superscript"/>
        </w:rPr>
        <w:t>1</w:t>
      </w:r>
      <w:r>
        <w:rPr>
          <w:b/>
          <w:bCs/>
        </w:rPr>
        <w:t>H-NMR spectrum of IC-</w:t>
      </w:r>
      <w:r>
        <w:rPr>
          <w:rFonts w:hint="default"/>
          <w:b/>
          <w:bCs/>
          <w:lang w:val="en-IN"/>
        </w:rPr>
        <w:t>6</w:t>
      </w:r>
    </w:p>
    <w:p w14:paraId="2D2E9CB5">
      <w:pPr>
        <w:pStyle w:val="4"/>
        <w:spacing w:before="0" w:beforeAutospacing="0" w:after="0" w:line="360" w:lineRule="auto"/>
        <w:jc w:val="center"/>
        <w:rPr>
          <w:rFonts w:hint="default"/>
          <w:b/>
          <w:bCs/>
          <w:lang w:val="en-IN"/>
        </w:rPr>
      </w:pPr>
      <w:r>
        <w:rPr>
          <w:lang w:val="en-US" w:eastAsia="en-US"/>
        </w:rPr>
        <w:drawing>
          <wp:inline distT="0" distB="0" distL="0" distR="0">
            <wp:extent cx="5731510" cy="4036695"/>
            <wp:effectExtent l="0" t="0" r="8890" b="1905"/>
            <wp:docPr id="19365226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22634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6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Fig </w:t>
      </w:r>
      <w:r>
        <w:rPr>
          <w:rFonts w:hint="default"/>
          <w:b/>
          <w:bCs/>
          <w:lang w:val="en-IN"/>
        </w:rPr>
        <w:t>8</w:t>
      </w:r>
      <w:r>
        <w:rPr>
          <w:b/>
          <w:bCs/>
        </w:rPr>
        <w:t xml:space="preserve">: </w:t>
      </w:r>
      <w:r>
        <w:rPr>
          <w:b/>
          <w:bCs/>
          <w:vertAlign w:val="superscript"/>
        </w:rPr>
        <w:t>13</w:t>
      </w:r>
      <w:r>
        <w:rPr>
          <w:b/>
          <w:bCs/>
        </w:rPr>
        <w:t>C-NMR spectrum of IC-6</w:t>
      </w:r>
    </w:p>
    <w:p w14:paraId="5A87D267">
      <w:pPr>
        <w:pStyle w:val="4"/>
        <w:spacing w:before="0" w:beforeAutospacing="0" w:after="0" w:line="360" w:lineRule="auto"/>
        <w:jc w:val="center"/>
        <w:rPr>
          <w:rFonts w:hint="default"/>
          <w:b/>
          <w:bCs/>
          <w:lang w:val="en-IN"/>
        </w:rPr>
      </w:pPr>
      <w:r>
        <w:drawing>
          <wp:inline distT="0" distB="0" distL="114300" distR="114300">
            <wp:extent cx="5447665" cy="3756025"/>
            <wp:effectExtent l="0" t="0" r="635" b="3175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82984">
      <w:pPr>
        <w:pStyle w:val="4"/>
        <w:spacing w:before="0" w:beforeAutospacing="0" w:after="0" w:line="360" w:lineRule="auto"/>
        <w:jc w:val="center"/>
        <w:rPr>
          <w:rFonts w:hint="default"/>
          <w:b/>
          <w:bCs/>
          <w:lang w:val="en-IN"/>
        </w:rPr>
      </w:pPr>
      <w:r>
        <w:rPr>
          <w:b/>
          <w:bCs/>
        </w:rPr>
        <w:t>Fig</w:t>
      </w:r>
      <w:r>
        <w:rPr>
          <w:rFonts w:hint="default"/>
          <w:b/>
          <w:bCs/>
          <w:lang w:val="en-IN"/>
        </w:rPr>
        <w:t xml:space="preserve"> 9</w:t>
      </w:r>
      <w:r>
        <w:rPr>
          <w:b/>
          <w:bCs/>
        </w:rPr>
        <w:t xml:space="preserve">: </w:t>
      </w:r>
      <w:r>
        <w:rPr>
          <w:rFonts w:hint="default"/>
          <w:b/>
          <w:bCs/>
          <w:vertAlign w:val="baseline"/>
          <w:lang w:val="en-IN"/>
        </w:rPr>
        <w:t>HRMS</w:t>
      </w:r>
      <w:r>
        <w:rPr>
          <w:b/>
          <w:bCs/>
        </w:rPr>
        <w:t xml:space="preserve"> spectrum of IC-</w:t>
      </w:r>
      <w:r>
        <w:rPr>
          <w:rFonts w:hint="default"/>
          <w:b/>
          <w:bCs/>
          <w:lang w:val="en-IN"/>
        </w:rPr>
        <w:t>6</w:t>
      </w:r>
    </w:p>
    <w:p w14:paraId="4AA3C6B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IC-8:</w:t>
      </w:r>
    </w:p>
    <w:p w14:paraId="2F02F50F">
      <w:pPr>
        <w:pStyle w:val="4"/>
        <w:spacing w:line="360" w:lineRule="auto"/>
        <w:jc w:val="center"/>
      </w:pPr>
      <w:r>
        <w:object>
          <v:shape id="_x0000_i1038" o:spt="75" type="#_x0000_t75" style="height:74.75pt;width:385.9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ChemDraw.Document.6.0" ShapeID="_x0000_i1038" DrawAspect="Content" ObjectID="_1468075731" r:id="rId32">
            <o:LockedField>false</o:LockedField>
          </o:OLEObject>
        </w:object>
      </w:r>
    </w:p>
    <w:p w14:paraId="1F801785">
      <w:pPr>
        <w:pStyle w:val="4"/>
        <w:spacing w:line="360" w:lineRule="auto"/>
        <w:jc w:val="center"/>
        <w:rPr>
          <w:color w:val="000000"/>
        </w:rPr>
      </w:pPr>
      <w:r>
        <w:object>
          <v:shape id="_x0000_i1039" o:spt="75" type="#_x0000_t75" style="height:16.85pt;width:376.4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ChemDraw.Document.6.0" ShapeID="_x0000_i1039" DrawAspect="Content" ObjectID="_1468075732" r:id="rId34">
            <o:LockedField>false</o:LockedField>
          </o:OLEObject>
        </w:object>
      </w:r>
    </w:p>
    <w:p w14:paraId="24BD1888">
      <w:pPr>
        <w:pStyle w:val="4"/>
        <w:spacing w:line="360" w:lineRule="auto"/>
        <w:jc w:val="center"/>
        <w:rPr>
          <w:b/>
          <w:bCs/>
        </w:rPr>
      </w:pPr>
      <w:r>
        <w:rPr>
          <w:color w:val="000000"/>
        </w:rPr>
        <w:drawing>
          <wp:inline distT="0" distB="0" distL="0" distR="0">
            <wp:extent cx="5731510" cy="3982720"/>
            <wp:effectExtent l="0" t="0" r="2540" b="0"/>
            <wp:docPr id="1209015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015286" name="Picture 1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Fig </w:t>
      </w:r>
      <w:r>
        <w:rPr>
          <w:rFonts w:hint="default"/>
          <w:b/>
          <w:bCs/>
          <w:lang w:val="en-IN"/>
        </w:rPr>
        <w:t>10</w:t>
      </w:r>
      <w:r>
        <w:rPr>
          <w:b/>
          <w:bCs/>
        </w:rPr>
        <w:t xml:space="preserve">: </w:t>
      </w:r>
      <w:r>
        <w:rPr>
          <w:b/>
          <w:bCs/>
          <w:vertAlign w:val="superscript"/>
        </w:rPr>
        <w:t>1</w:t>
      </w:r>
      <w:r>
        <w:rPr>
          <w:b/>
          <w:bCs/>
        </w:rPr>
        <w:t>H-NMR spectrum of IC-8</w:t>
      </w:r>
    </w:p>
    <w:p w14:paraId="1012FF58">
      <w:pPr>
        <w:pStyle w:val="4"/>
        <w:spacing w:line="360" w:lineRule="auto"/>
        <w:jc w:val="center"/>
        <w:rPr>
          <w:color w:val="000000"/>
        </w:rPr>
      </w:pPr>
      <w:r>
        <w:rPr>
          <w:lang w:val="en-US" w:eastAsia="en-US"/>
        </w:rPr>
        <w:drawing>
          <wp:inline distT="0" distB="0" distL="0" distR="0">
            <wp:extent cx="5730875" cy="4005580"/>
            <wp:effectExtent l="0" t="0" r="9525" b="7620"/>
            <wp:docPr id="5574380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43803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t>Fig 1</w:t>
      </w:r>
      <w:r>
        <w:rPr>
          <w:rFonts w:hint="default"/>
          <w:b/>
          <w:bCs/>
          <w:lang w:val="en-IN"/>
        </w:rPr>
        <w:t>1</w:t>
      </w:r>
      <w:r>
        <w:rPr>
          <w:b/>
          <w:bCs/>
        </w:rPr>
        <w:t xml:space="preserve">: </w:t>
      </w:r>
      <w:r>
        <w:rPr>
          <w:b/>
          <w:bCs/>
          <w:vertAlign w:val="superscript"/>
        </w:rPr>
        <w:t>13</w:t>
      </w:r>
      <w:r>
        <w:rPr>
          <w:b/>
          <w:bCs/>
        </w:rPr>
        <w:t>C-NMR spectrum of IC-8</w:t>
      </w:r>
    </w:p>
    <w:p w14:paraId="2442B716">
      <w:pPr>
        <w:pStyle w:val="4"/>
        <w:spacing w:before="0" w:beforeAutospacing="0" w:after="0" w:line="360" w:lineRule="auto"/>
        <w:jc w:val="center"/>
      </w:pPr>
      <w:r>
        <w:drawing>
          <wp:inline distT="0" distB="0" distL="114300" distR="114300">
            <wp:extent cx="5445760" cy="3773805"/>
            <wp:effectExtent l="0" t="0" r="2540" b="10795"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8EF85">
      <w:pPr>
        <w:pStyle w:val="4"/>
        <w:spacing w:before="0" w:beforeAutospacing="0" w:after="0" w:line="360" w:lineRule="auto"/>
        <w:jc w:val="center"/>
        <w:rPr>
          <w:rFonts w:hint="default"/>
          <w:lang w:val="en-IN"/>
        </w:rPr>
      </w:pPr>
      <w:r>
        <w:rPr>
          <w:b/>
          <w:bCs/>
        </w:rPr>
        <w:t>Fig</w:t>
      </w:r>
      <w:r>
        <w:rPr>
          <w:rFonts w:hint="default"/>
          <w:b/>
          <w:bCs/>
          <w:lang w:val="en-IN"/>
        </w:rPr>
        <w:t xml:space="preserve"> 12</w:t>
      </w:r>
      <w:bookmarkStart w:id="2" w:name="_GoBack"/>
      <w:bookmarkEnd w:id="2"/>
      <w:r>
        <w:rPr>
          <w:b/>
          <w:bCs/>
        </w:rPr>
        <w:t xml:space="preserve">: </w:t>
      </w:r>
      <w:r>
        <w:rPr>
          <w:rFonts w:hint="default"/>
          <w:b/>
          <w:bCs/>
          <w:vertAlign w:val="baseline"/>
          <w:lang w:val="en-IN"/>
        </w:rPr>
        <w:t>HRMS</w:t>
      </w:r>
      <w:r>
        <w:rPr>
          <w:b/>
          <w:bCs/>
        </w:rPr>
        <w:t xml:space="preserve"> spectrum of IC-</w:t>
      </w:r>
      <w:r>
        <w:rPr>
          <w:rFonts w:hint="default"/>
          <w:b/>
          <w:bCs/>
          <w:lang w:val="en-IN"/>
        </w:rPr>
        <w:t>8</w:t>
      </w:r>
    </w:p>
    <w:sectPr>
      <w:pgSz w:w="11906" w:h="16838"/>
      <w:pgMar w:top="1440" w:right="1526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MS Shell Dlg 2">
    <w:altName w:val="Tahoma"/>
    <w:panose1 w:val="020B0604030504040204"/>
    <w:charset w:val="00"/>
    <w:family w:val="swiss"/>
    <w:pitch w:val="default"/>
    <w:sig w:usb0="00000000" w:usb1="00000000" w:usb2="00000029" w:usb3="00000000" w:csb0="000101F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131EE4"/>
    <w:rsid w:val="04E83C8B"/>
    <w:rsid w:val="1CFE4D9F"/>
    <w:rsid w:val="2B2A099B"/>
    <w:rsid w:val="67131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IN" w:eastAsia="en-US" w:bidi="ar-SA"/>
      <w14:ligatures w14:val="standardContextual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IN" w:bidi="hi-IN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8" Type="http://schemas.openxmlformats.org/officeDocument/2006/relationships/oleObject" Target="embeddings/oleObject2.bin"/><Relationship Id="rId7" Type="http://schemas.openxmlformats.org/officeDocument/2006/relationships/image" Target="media/image1.e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microsoft.com/office/2007/relationships/hdphoto" Target="media/image24.wdp"/><Relationship Id="rId36" Type="http://schemas.openxmlformats.org/officeDocument/2006/relationships/image" Target="media/image23.png"/><Relationship Id="rId35" Type="http://schemas.openxmlformats.org/officeDocument/2006/relationships/image" Target="media/image22.emf"/><Relationship Id="rId34" Type="http://schemas.openxmlformats.org/officeDocument/2006/relationships/oleObject" Target="embeddings/oleObject8.bin"/><Relationship Id="rId33" Type="http://schemas.openxmlformats.org/officeDocument/2006/relationships/image" Target="media/image21.emf"/><Relationship Id="rId32" Type="http://schemas.openxmlformats.org/officeDocument/2006/relationships/oleObject" Target="embeddings/oleObject7.bin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microsoft.com/office/2007/relationships/hdphoto" Target="media/image18.wdp"/><Relationship Id="rId28" Type="http://schemas.openxmlformats.org/officeDocument/2006/relationships/image" Target="media/image17.png"/><Relationship Id="rId27" Type="http://schemas.openxmlformats.org/officeDocument/2006/relationships/image" Target="media/image16.emf"/><Relationship Id="rId26" Type="http://schemas.openxmlformats.org/officeDocument/2006/relationships/oleObject" Target="embeddings/oleObject6.bin"/><Relationship Id="rId25" Type="http://schemas.openxmlformats.org/officeDocument/2006/relationships/image" Target="media/image15.emf"/><Relationship Id="rId24" Type="http://schemas.openxmlformats.org/officeDocument/2006/relationships/oleObject" Target="embeddings/oleObject5.bin"/><Relationship Id="rId23" Type="http://schemas.openxmlformats.org/officeDocument/2006/relationships/image" Target="media/image14.png"/><Relationship Id="rId22" Type="http://schemas.microsoft.com/office/2007/relationships/hdphoto" Target="media/image13.wdp"/><Relationship Id="rId21" Type="http://schemas.openxmlformats.org/officeDocument/2006/relationships/image" Target="media/image12.png"/><Relationship Id="rId20" Type="http://schemas.microsoft.com/office/2007/relationships/hdphoto" Target="media/image11.wdp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emf"/><Relationship Id="rId17" Type="http://schemas.openxmlformats.org/officeDocument/2006/relationships/oleObject" Target="embeddings/oleObject4.bin"/><Relationship Id="rId16" Type="http://schemas.openxmlformats.org/officeDocument/2006/relationships/image" Target="media/image8.emf"/><Relationship Id="rId15" Type="http://schemas.openxmlformats.org/officeDocument/2006/relationships/oleObject" Target="embeddings/oleObject3.bin"/><Relationship Id="rId14" Type="http://schemas.openxmlformats.org/officeDocument/2006/relationships/image" Target="media/image7.png"/><Relationship Id="rId13" Type="http://schemas.microsoft.com/office/2007/relationships/hdphoto" Target="media/image6.wdp"/><Relationship Id="rId12" Type="http://schemas.openxmlformats.org/officeDocument/2006/relationships/image" Target="media/image5.png"/><Relationship Id="rId11" Type="http://schemas.microsoft.com/office/2007/relationships/hdphoto" Target="media/image4.wdp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2025-01-06T10:39:00Z</dcterms:created>
  <dc:creator>Rakesh Mund</dc:creator>
  <cp:lastModifiedBy>Rakesh Mund</cp:lastModifiedBy>
  <dcterms:modified xsi:type="dcterms:W3CDTF">2025-01-08T12:35:55Z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1033-12.2.0.19307</vt:lpwstr>
  </property>
  <property fmtid="{D5CDD505-2E9C-101B-9397-08002B2CF9AE}" pid="3" name="ICV">
    <vt:lpwstr>7280FA0CD8D642E9BBD101A5F91968C0_11</vt:lpwstr>
  </property>
</Properties>
</file>