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73395" w14:textId="0045369E" w:rsidR="00222F56" w:rsidRDefault="00F53493">
      <w:r>
        <w:rPr>
          <w:noProof/>
        </w:rPr>
        <w:drawing>
          <wp:inline distT="0" distB="0" distL="0" distR="0" wp14:anchorId="7A4CEF23" wp14:editId="6399E030">
            <wp:extent cx="4809490" cy="8229600"/>
            <wp:effectExtent l="0" t="0" r="0" b="0"/>
            <wp:docPr id="242180610" name="Picture 1" descr="A collage of diagrams and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180610" name="Picture 1" descr="A collage of diagrams and graph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49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AEF0C" w14:textId="77777777" w:rsidR="00F53493" w:rsidRPr="00F53493" w:rsidRDefault="00F53493" w:rsidP="00F53493">
      <w:pPr>
        <w:rPr>
          <w:lang w:val="en-IN"/>
        </w:rPr>
      </w:pPr>
      <w:r w:rsidRPr="00F53493">
        <w:rPr>
          <w:b/>
          <w:bCs/>
          <w:lang w:val="en-IN"/>
        </w:rPr>
        <w:lastRenderedPageBreak/>
        <w:t xml:space="preserve">Figure 1 | Integrated multi-omics analysis of adaptation and ciprofloxacin degradation by </w:t>
      </w:r>
      <w:r w:rsidRPr="00F53493">
        <w:rPr>
          <w:b/>
          <w:bCs/>
          <w:i/>
          <w:iCs/>
          <w:lang w:val="en-IN"/>
        </w:rPr>
        <w:t>Klebsiella</w:t>
      </w:r>
      <w:r w:rsidRPr="00F53493">
        <w:rPr>
          <w:b/>
          <w:bCs/>
          <w:lang w:val="en-IN"/>
        </w:rPr>
        <w:t xml:space="preserve"> sp. SG01.</w:t>
      </w:r>
    </w:p>
    <w:p w14:paraId="54A17CA5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(a) Phylogenetic tree showing the evolutionary placement of Klebsiella sp. SG01 based on whole-genome alignment with closely related taxa.</w:t>
      </w:r>
    </w:p>
    <w:p w14:paraId="5237A540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(b) Circular genome map depicting annotated features, including coding sequences (CDS), non-coding RNAs, GC content, and GC skew.</w:t>
      </w:r>
    </w:p>
    <w:p w14:paraId="3BCB63E3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(c) Schematic representation of the experimental setup for metabolomic analysis. The SG01 strain was grown in minimal salt medium supplemented with ciprofloxacin (MSM-CIP), and samples were collected during lag and log phases for LC–MS-based profiling.</w:t>
      </w:r>
    </w:p>
    <w:p w14:paraId="04C3DAED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(d) Ciprofloxacin degradation intermediates identified through metabolomics, including hydroxylated, defluorinated, and ring-cleaved metabolites.</w:t>
      </w:r>
    </w:p>
    <w:p w14:paraId="68B2794E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(e) Lipidomic shifts inferred from metabolomic data, showing changes in abundance across lipid classes between lag and log phases.</w:t>
      </w:r>
    </w:p>
    <w:p w14:paraId="21E4A2EB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 xml:space="preserve">(f) Pathway analysis visualized using </w:t>
      </w:r>
      <w:proofErr w:type="spellStart"/>
      <w:r w:rsidRPr="00F53493">
        <w:rPr>
          <w:lang w:val="en-IN"/>
        </w:rPr>
        <w:t>iPath</w:t>
      </w:r>
      <w:proofErr w:type="spellEnd"/>
      <w:r w:rsidRPr="00F53493">
        <w:rPr>
          <w:lang w:val="en-IN"/>
        </w:rPr>
        <w:t>; red lines indicate significantly upregulated and blue lines indicate downregulated metabolic pathways in response to ciprofloxacin treatment.</w:t>
      </w:r>
    </w:p>
    <w:p w14:paraId="1BB622BD" w14:textId="6602A905" w:rsidR="00F53493" w:rsidRDefault="00F53493">
      <w:r>
        <w:rPr>
          <w:noProof/>
        </w:rPr>
        <w:lastRenderedPageBreak/>
        <w:drawing>
          <wp:inline distT="0" distB="0" distL="0" distR="0" wp14:anchorId="0F1B198F" wp14:editId="0CA9A7DF">
            <wp:extent cx="5943600" cy="4457700"/>
            <wp:effectExtent l="0" t="0" r="0" b="0"/>
            <wp:docPr id="662532401" name="Picture 2" descr="A collage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532401" name="Picture 2" descr="A collage of graph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FCF58" w14:textId="77777777" w:rsidR="00F53493" w:rsidRPr="00F53493" w:rsidRDefault="00F53493" w:rsidP="00F53493">
      <w:pPr>
        <w:rPr>
          <w:lang w:val="en-IN"/>
        </w:rPr>
      </w:pPr>
      <w:r w:rsidRPr="00F53493">
        <w:rPr>
          <w:b/>
          <w:bCs/>
          <w:lang w:val="en-IN"/>
        </w:rPr>
        <w:t xml:space="preserve">Figure 2 | Growth dynamics of </w:t>
      </w:r>
      <w:r w:rsidRPr="00F53493">
        <w:rPr>
          <w:b/>
          <w:bCs/>
          <w:i/>
          <w:iCs/>
          <w:lang w:val="en-IN"/>
        </w:rPr>
        <w:t>Klebsiella</w:t>
      </w:r>
      <w:r w:rsidRPr="00F53493">
        <w:rPr>
          <w:b/>
          <w:bCs/>
          <w:lang w:val="en-IN"/>
        </w:rPr>
        <w:t xml:space="preserve"> sp. SG01 in different media.</w:t>
      </w:r>
    </w:p>
    <w:p w14:paraId="1EA25037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Growth was monitored by colony-forming units per millilitre (CFU/mL) at multiple time points in three biological replicates.</w:t>
      </w:r>
    </w:p>
    <w:p w14:paraId="53EC2160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(a) Growth curve in Luria–Bertani (LB) medium.</w:t>
      </w:r>
    </w:p>
    <w:p w14:paraId="24C94016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(b) Growth in minimal salt medium supplemented with glucose (5 g/L).</w:t>
      </w:r>
    </w:p>
    <w:p w14:paraId="57AC4829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(c) Growth in MSM supplemented with ciprofloxacin (2 g/L).</w:t>
      </w:r>
    </w:p>
    <w:p w14:paraId="07592144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(d) Ciprofloxacin degradation measured by UV–visible spectrophotometry in MSM-CIP cultures.</w:t>
      </w:r>
    </w:p>
    <w:p w14:paraId="015DF56A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(e) Mean generation time of SG01 in LB, MSM-glucose, and MSM-CIP media.</w:t>
      </w:r>
    </w:p>
    <w:p w14:paraId="3F90ED80" w14:textId="2DBC50E7" w:rsidR="00F53493" w:rsidRDefault="00F53493">
      <w:r>
        <w:rPr>
          <w:noProof/>
        </w:rPr>
        <w:lastRenderedPageBreak/>
        <w:drawing>
          <wp:inline distT="0" distB="0" distL="0" distR="0" wp14:anchorId="2C786D16" wp14:editId="0993F84F">
            <wp:extent cx="5943600" cy="6946900"/>
            <wp:effectExtent l="0" t="0" r="0" b="6350"/>
            <wp:docPr id="1157501047" name="Picture 3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501047" name="Picture 3" descr="A close-up of a diagram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4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42367" w14:textId="77777777" w:rsidR="00F53493" w:rsidRPr="00F53493" w:rsidRDefault="00F53493" w:rsidP="00F53493">
      <w:pPr>
        <w:rPr>
          <w:lang w:val="en-IN"/>
        </w:rPr>
      </w:pPr>
      <w:r w:rsidRPr="00F53493">
        <w:rPr>
          <w:b/>
          <w:bCs/>
          <w:lang w:val="en-IN"/>
        </w:rPr>
        <w:t xml:space="preserve">Figure 3 | Morphological changes and filterability of </w:t>
      </w:r>
      <w:r w:rsidRPr="00F53493">
        <w:rPr>
          <w:b/>
          <w:bCs/>
          <w:i/>
          <w:iCs/>
          <w:lang w:val="en-IN"/>
        </w:rPr>
        <w:t>Klebsiella</w:t>
      </w:r>
      <w:r w:rsidRPr="00F53493">
        <w:rPr>
          <w:b/>
          <w:bCs/>
          <w:lang w:val="en-IN"/>
        </w:rPr>
        <w:t xml:space="preserve"> sp. SG01 cells under ciprofloxacin treatment.</w:t>
      </w:r>
    </w:p>
    <w:p w14:paraId="6ACF19E1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(a) Gram stain of Klebsiella sp. SG01 cells grown in LB medium.</w:t>
      </w:r>
    </w:p>
    <w:p w14:paraId="2620C96C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lastRenderedPageBreak/>
        <w:t>(b) Scanning electron microscopy (SEM) image of LB-grown SG01cells showing typical cell morphology.</w:t>
      </w:r>
    </w:p>
    <w:p w14:paraId="52DBF14D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(c) Gram-stained SG01cells grown in minimal salt medium with glucose, displaying morphology comparable to LB-grown cells.</w:t>
      </w:r>
    </w:p>
    <w:p w14:paraId="5AC4F23C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(d) SEM image of MSM-glucose-grown SG01cells.</w:t>
      </w:r>
    </w:p>
    <w:p w14:paraId="508DCAC7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(e) Gram-stained SG01 cells grown in MSM-CIP and retained on a 0.22 µm membrane filter.</w:t>
      </w:r>
    </w:p>
    <w:p w14:paraId="6AA90C1B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(f) SEM of MSM-CIP-grown SG01cells showing reduced cell size and altered surface features.</w:t>
      </w:r>
    </w:p>
    <w:p w14:paraId="72426383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(g) Gram stain of the SG01cells present in the filtrate from MSM-CIP culture, indicating the presence of small, filterable cells.</w:t>
      </w:r>
    </w:p>
    <w:p w14:paraId="77F09485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 xml:space="preserve">(h) Gram stain of SG01cells scooped from colonies grown after </w:t>
      </w:r>
      <w:proofErr w:type="gramStart"/>
      <w:r w:rsidRPr="00F53493">
        <w:rPr>
          <w:lang w:val="en-IN"/>
        </w:rPr>
        <w:t>dilution streaked</w:t>
      </w:r>
      <w:proofErr w:type="gramEnd"/>
      <w:r w:rsidRPr="00F53493">
        <w:rPr>
          <w:lang w:val="en-IN"/>
        </w:rPr>
        <w:t xml:space="preserve"> filtrate on MSM-CIP agar, demonstrating morphologically altered cells.</w:t>
      </w:r>
    </w:p>
    <w:p w14:paraId="637E9CF0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</w:t>
      </w:r>
      <w:proofErr w:type="spellStart"/>
      <w:r w:rsidRPr="00F53493">
        <w:rPr>
          <w:lang w:val="en-IN"/>
        </w:rPr>
        <w:t>i</w:t>
      </w:r>
      <w:proofErr w:type="spellEnd"/>
      <w:r w:rsidRPr="00F53493">
        <w:rPr>
          <w:lang w:val="en-IN"/>
        </w:rPr>
        <w:t xml:space="preserve">) Gram stain of SG01cells scooped colonies grown after </w:t>
      </w:r>
      <w:proofErr w:type="gramStart"/>
      <w:r w:rsidRPr="00F53493">
        <w:rPr>
          <w:lang w:val="en-IN"/>
        </w:rPr>
        <w:t>dilution streaked</w:t>
      </w:r>
      <w:proofErr w:type="gramEnd"/>
      <w:r w:rsidRPr="00F53493">
        <w:rPr>
          <w:lang w:val="en-IN"/>
        </w:rPr>
        <w:t xml:space="preserve"> filtrate on LB agar, further demonstrating reversal of cell morphology, from nanometre sized (when grown in MSM-CIP) to micrometre sized cells.</w:t>
      </w:r>
    </w:p>
    <w:p w14:paraId="0B578F50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(j) Dynamic light scattering (DLS) analysis of filtrate-derived cells, showing reduced size distribution consistent with gram stain observations.</w:t>
      </w:r>
    </w:p>
    <w:p w14:paraId="3921A7A9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(k) Schematic of the filtration and plating workflow used to assess filterability.</w:t>
      </w:r>
    </w:p>
    <w:p w14:paraId="5B29CFB1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(l) Quantification of the proportion of cells retained and passed through the filter across growth conditions. A significant difference in cell count was observed between filtered and unfiltered samples for LB and MSM-glucose, but not for MSM-CIP cultures.</w:t>
      </w:r>
    </w:p>
    <w:p w14:paraId="70C17527" w14:textId="52832913" w:rsidR="00F53493" w:rsidRDefault="00F53493">
      <w:r>
        <w:rPr>
          <w:noProof/>
        </w:rPr>
        <w:lastRenderedPageBreak/>
        <w:drawing>
          <wp:inline distT="0" distB="0" distL="0" distR="0" wp14:anchorId="0CCB8E27" wp14:editId="6B2F1DB7">
            <wp:extent cx="5943600" cy="4457700"/>
            <wp:effectExtent l="0" t="0" r="0" b="0"/>
            <wp:docPr id="1837003858" name="Picture 4" descr="A group of graphs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003858" name="Picture 4" descr="A group of graphs with different colored lin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67F60" w14:textId="77777777" w:rsidR="00F53493" w:rsidRPr="00F53493" w:rsidRDefault="00F53493" w:rsidP="00F53493">
      <w:pPr>
        <w:rPr>
          <w:bCs/>
          <w:lang w:val="en-IN"/>
        </w:rPr>
      </w:pPr>
      <w:r w:rsidRPr="00F53493">
        <w:rPr>
          <w:b/>
          <w:bCs/>
          <w:lang w:val="en-IN"/>
        </w:rPr>
        <w:t>Figure 4. Optimization of ciprofloxacin (CIP) degradation conditions by strain SG01</w:t>
      </w:r>
      <w:r w:rsidRPr="00F53493">
        <w:rPr>
          <w:bCs/>
          <w:i/>
          <w:iCs/>
          <w:lang w:val="en-IN"/>
        </w:rPr>
        <w:t>.</w:t>
      </w:r>
      <w:r w:rsidRPr="00F53493">
        <w:rPr>
          <w:bCs/>
          <w:lang w:val="en-IN"/>
        </w:rPr>
        <w:br/>
        <w:t>(a) Effect of different pH values (2–6) on CIP degradation.</w:t>
      </w:r>
      <w:r w:rsidRPr="00F53493">
        <w:rPr>
          <w:bCs/>
          <w:lang w:val="en-IN"/>
        </w:rPr>
        <w:br/>
        <w:t>(b) Influence of incubation temperatures (4</w:t>
      </w:r>
      <w:r w:rsidRPr="00F53493">
        <w:rPr>
          <w:rFonts w:ascii="Arial" w:hAnsi="Arial" w:cs="Arial"/>
          <w:bCs/>
          <w:lang w:val="en-IN"/>
        </w:rPr>
        <w:t> </w:t>
      </w:r>
      <w:r w:rsidRPr="00F53493">
        <w:rPr>
          <w:rFonts w:ascii="Aptos" w:hAnsi="Aptos" w:cs="Aptos"/>
          <w:bCs/>
          <w:lang w:val="en-IN"/>
        </w:rPr>
        <w:t>°</w:t>
      </w:r>
      <w:r w:rsidRPr="00F53493">
        <w:rPr>
          <w:bCs/>
          <w:lang w:val="en-IN"/>
        </w:rPr>
        <w:t>C, 30</w:t>
      </w:r>
      <w:r w:rsidRPr="00F53493">
        <w:rPr>
          <w:rFonts w:ascii="Arial" w:hAnsi="Arial" w:cs="Arial"/>
          <w:bCs/>
          <w:lang w:val="en-IN"/>
        </w:rPr>
        <w:t> </w:t>
      </w:r>
      <w:r w:rsidRPr="00F53493">
        <w:rPr>
          <w:rFonts w:ascii="Aptos" w:hAnsi="Aptos" w:cs="Aptos"/>
          <w:bCs/>
          <w:lang w:val="en-IN"/>
        </w:rPr>
        <w:t>°</w:t>
      </w:r>
      <w:r w:rsidRPr="00F53493">
        <w:rPr>
          <w:bCs/>
          <w:lang w:val="en-IN"/>
        </w:rPr>
        <w:t>C, 37</w:t>
      </w:r>
      <w:r w:rsidRPr="00F53493">
        <w:rPr>
          <w:rFonts w:ascii="Arial" w:hAnsi="Arial" w:cs="Arial"/>
          <w:bCs/>
          <w:lang w:val="en-IN"/>
        </w:rPr>
        <w:t> </w:t>
      </w:r>
      <w:r w:rsidRPr="00F53493">
        <w:rPr>
          <w:rFonts w:ascii="Aptos" w:hAnsi="Aptos" w:cs="Aptos"/>
          <w:bCs/>
          <w:lang w:val="en-IN"/>
        </w:rPr>
        <w:t>°</w:t>
      </w:r>
      <w:r w:rsidRPr="00F53493">
        <w:rPr>
          <w:bCs/>
          <w:lang w:val="en-IN"/>
        </w:rPr>
        <w:t>C) on degradation efficiency.</w:t>
      </w:r>
      <w:r w:rsidRPr="00F53493">
        <w:rPr>
          <w:bCs/>
          <w:lang w:val="en-IN"/>
        </w:rPr>
        <w:br/>
        <w:t>(c) Impact of varying inoculum densities (1</w:t>
      </w:r>
      <w:r w:rsidRPr="00F53493">
        <w:rPr>
          <w:rFonts w:ascii="Aptos" w:hAnsi="Aptos" w:cs="Aptos"/>
          <w:bCs/>
          <w:lang w:val="en-IN"/>
        </w:rPr>
        <w:t>–</w:t>
      </w:r>
      <w:r w:rsidRPr="00F53493">
        <w:rPr>
          <w:bCs/>
          <w:lang w:val="en-IN"/>
        </w:rPr>
        <w:t xml:space="preserve">5%) on </w:t>
      </w:r>
      <w:proofErr w:type="spellStart"/>
      <w:r w:rsidRPr="00F53493">
        <w:rPr>
          <w:bCs/>
          <w:lang w:val="en-IN"/>
        </w:rPr>
        <w:t>CIPdegradation</w:t>
      </w:r>
      <w:proofErr w:type="spellEnd"/>
      <w:r w:rsidRPr="00F53493">
        <w:rPr>
          <w:bCs/>
          <w:lang w:val="en-IN"/>
        </w:rPr>
        <w:t>.</w:t>
      </w:r>
      <w:r w:rsidRPr="00F53493">
        <w:rPr>
          <w:bCs/>
          <w:lang w:val="en-IN"/>
        </w:rPr>
        <w:br/>
        <w:t xml:space="preserve">(d) Bacterial growth (log CFU/ml) over time under different CIP concentrations. </w:t>
      </w:r>
    </w:p>
    <w:p w14:paraId="290C0759" w14:textId="2DFEBE9B" w:rsidR="00F53493" w:rsidRDefault="00F53493">
      <w:r>
        <w:rPr>
          <w:noProof/>
        </w:rPr>
        <w:lastRenderedPageBreak/>
        <w:drawing>
          <wp:inline distT="0" distB="0" distL="0" distR="0" wp14:anchorId="20E2FC2E" wp14:editId="28BCB9C2">
            <wp:extent cx="5943600" cy="7924800"/>
            <wp:effectExtent l="0" t="0" r="0" b="0"/>
            <wp:docPr id="1366055162" name="Picture 5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055162" name="Picture 5" descr="A diagram of a diagram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28E63" w14:textId="77777777" w:rsidR="00F53493" w:rsidRPr="00F53493" w:rsidRDefault="00F53493" w:rsidP="00F53493">
      <w:pPr>
        <w:rPr>
          <w:b/>
          <w:lang w:val="en-IN"/>
        </w:rPr>
      </w:pPr>
      <w:r w:rsidRPr="00F53493">
        <w:rPr>
          <w:b/>
          <w:bCs/>
          <w:lang w:val="en-IN"/>
        </w:rPr>
        <w:lastRenderedPageBreak/>
        <w:t>Figure .5. Hypothetical pathway for ciprofloxacin degradation by SG01.</w:t>
      </w:r>
    </w:p>
    <w:p w14:paraId="27AD2A76" w14:textId="77777777" w:rsidR="00F53493" w:rsidRPr="00F53493" w:rsidRDefault="00F53493" w:rsidP="00F53493">
      <w:pPr>
        <w:rPr>
          <w:lang w:val="en-IN"/>
        </w:rPr>
      </w:pPr>
      <w:r w:rsidRPr="00F53493">
        <w:rPr>
          <w:lang w:val="en-IN"/>
        </w:rPr>
        <w:t>The proposed degradation pathway involves two phases of metabolic activity.</w:t>
      </w:r>
      <w:r w:rsidRPr="00F53493">
        <w:rPr>
          <w:lang w:val="en-IN"/>
        </w:rPr>
        <w:br/>
        <w:t xml:space="preserve">In the lag phase (blue box), ciprofloxacin is initially degraded by hydroxyl radicals, monooxygenases, and short-chain dehydrogenase/reductase (SDR) family oxidoreductases, resulting in </w:t>
      </w:r>
      <w:proofErr w:type="spellStart"/>
      <w:r w:rsidRPr="00F53493">
        <w:rPr>
          <w:lang w:val="en-IN"/>
        </w:rPr>
        <w:t>dehalogenated</w:t>
      </w:r>
      <w:proofErr w:type="spellEnd"/>
      <w:r w:rsidRPr="00F53493">
        <w:rPr>
          <w:lang w:val="en-IN"/>
        </w:rPr>
        <w:t>, demethylated, and oxidized intermediates.</w:t>
      </w:r>
      <w:r w:rsidRPr="00F53493">
        <w:rPr>
          <w:lang w:val="en-IN"/>
        </w:rPr>
        <w:br/>
        <w:t>These intermediates, including acetyl coenzyme A, feed into downstream central metabolic pathways during the log phase (orange box), which involve fatty acid degradation, glycerophospholipid biosynthesis, and carnitine-linked oxidation. Key enzymes include glycerol kinase, methylglyoxal synthase, and 1,3-propanediol dehydrogenase, among others.</w:t>
      </w:r>
    </w:p>
    <w:p w14:paraId="5AFD3731" w14:textId="77777777" w:rsidR="00F53493" w:rsidRDefault="00F53493"/>
    <w:sectPr w:rsidR="00F534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493"/>
    <w:rsid w:val="002164CC"/>
    <w:rsid w:val="00222F56"/>
    <w:rsid w:val="003B01ED"/>
    <w:rsid w:val="004C3DC8"/>
    <w:rsid w:val="00F5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37B8B"/>
  <w15:chartTrackingRefBased/>
  <w15:docId w15:val="{2BCAFBB7-27F5-49AA-8943-ED9CC93E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3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4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4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4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4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4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4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4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4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4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3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3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3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3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4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34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4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4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7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652</Words>
  <Characters>3717</Characters>
  <Application>Microsoft Office Word</Application>
  <DocSecurity>0</DocSecurity>
  <Lines>30</Lines>
  <Paragraphs>8</Paragraphs>
  <ScaleCrop>false</ScaleCrop>
  <Company>Springer Nature</Company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2025-08-12T16:38:00Z</dcterms:created>
  <dcterms:modified xsi:type="dcterms:W3CDTF">2025-08-12T16:41:00Z</dcterms:modified>
</cp:coreProperties>
</file>