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0F54" w:rsidRPr="00B550B0" w:rsidRDefault="005A0F54" w:rsidP="005A0F54">
      <w:pPr>
        <w:spacing w:line="480" w:lineRule="auto"/>
        <w:rPr>
          <w:rFonts w:ascii="Times New Roman" w:hAnsi="Times New Roman"/>
          <w:b/>
          <w:sz w:val="24"/>
          <w:szCs w:val="24"/>
          <w:shd w:val="clear" w:color="auto" w:fill="FFFFFF"/>
        </w:rPr>
      </w:pPr>
      <w:r w:rsidRPr="00B550B0">
        <w:rPr>
          <w:rFonts w:ascii="Times New Roman" w:hAnsi="Times New Roman"/>
          <w:b/>
          <w:sz w:val="24"/>
          <w:szCs w:val="24"/>
          <w:shd w:val="clear" w:color="auto" w:fill="FFFFFF"/>
        </w:rPr>
        <w:t>Supporting Information</w:t>
      </w:r>
    </w:p>
    <w:p w:rsidR="005A0F54" w:rsidRPr="00B550B0" w:rsidRDefault="005A0F54" w:rsidP="005A0F54">
      <w:pPr>
        <w:spacing w:line="480" w:lineRule="auto"/>
        <w:rPr>
          <w:rFonts w:ascii="Times New Roman" w:hAnsi="Times New Roman"/>
          <w:b/>
          <w:sz w:val="24"/>
          <w:szCs w:val="24"/>
          <w:shd w:val="clear" w:color="auto" w:fill="FFFFFF"/>
        </w:rPr>
      </w:pPr>
    </w:p>
    <w:p w:rsidR="005A0F54" w:rsidRPr="00B550B0" w:rsidRDefault="005A0F54" w:rsidP="005A0F54">
      <w:pPr>
        <w:spacing w:line="480" w:lineRule="auto"/>
        <w:rPr>
          <w:rFonts w:ascii="Times New Roman" w:hAnsi="Times New Roman"/>
          <w:b/>
          <w:sz w:val="24"/>
          <w:szCs w:val="24"/>
          <w:shd w:val="clear" w:color="auto" w:fill="FFFFFF"/>
        </w:rPr>
      </w:pPr>
      <w:r w:rsidRPr="00B550B0">
        <w:rPr>
          <w:noProof/>
        </w:rPr>
        <w:drawing>
          <wp:inline distT="0" distB="0" distL="0" distR="0" wp14:anchorId="7BA7F32F" wp14:editId="7529460F">
            <wp:extent cx="5379395" cy="1377016"/>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
                    <a:srcRect l="3231" t="35998" r="2721" b="21179"/>
                    <a:stretch/>
                  </pic:blipFill>
                  <pic:spPr bwMode="auto">
                    <a:xfrm>
                      <a:off x="0" y="0"/>
                      <a:ext cx="5390348" cy="1379820"/>
                    </a:xfrm>
                    <a:prstGeom prst="rect">
                      <a:avLst/>
                    </a:prstGeom>
                    <a:ln>
                      <a:noFill/>
                    </a:ln>
                    <a:extLst>
                      <a:ext uri="{53640926-AAD7-44D8-BBD7-CCE9431645EC}">
                        <a14:shadowObscured xmlns:a14="http://schemas.microsoft.com/office/drawing/2010/main"/>
                      </a:ext>
                    </a:extLst>
                  </pic:spPr>
                </pic:pic>
              </a:graphicData>
            </a:graphic>
          </wp:inline>
        </w:drawing>
      </w:r>
    </w:p>
    <w:p w:rsidR="005A0F54" w:rsidRPr="00B550B0" w:rsidRDefault="005A0F54" w:rsidP="005A0F54">
      <w:pPr>
        <w:spacing w:line="480" w:lineRule="auto"/>
        <w:jc w:val="both"/>
        <w:rPr>
          <w:rFonts w:ascii="Times New Roman" w:hAnsi="Times New Roman"/>
          <w:color w:val="5B9BD5" w:themeColor="accent1"/>
          <w:sz w:val="24"/>
          <w:szCs w:val="24"/>
          <w:shd w:val="clear" w:color="auto" w:fill="FFFFFF"/>
        </w:rPr>
      </w:pPr>
      <w:r w:rsidRPr="00B550B0">
        <w:rPr>
          <w:rFonts w:ascii="Times New Roman" w:hAnsi="Times New Roman"/>
          <w:b/>
          <w:color w:val="5B9BD5" w:themeColor="accent1"/>
          <w:sz w:val="24"/>
          <w:szCs w:val="24"/>
          <w:shd w:val="clear" w:color="auto" w:fill="FFFFFF"/>
        </w:rPr>
        <w:t>Figure A.1. (A) S</w:t>
      </w:r>
      <w:r w:rsidRPr="00B550B0">
        <w:rPr>
          <w:rFonts w:ascii="Times New Roman" w:hAnsi="Times New Roman"/>
          <w:bCs/>
          <w:color w:val="5B9BD5" w:themeColor="accent1"/>
          <w:sz w:val="24"/>
          <w:szCs w:val="24"/>
          <w:shd w:val="clear" w:color="auto" w:fill="FFFFFF"/>
        </w:rPr>
        <w:t>tructure of epoxidized linolein</w:t>
      </w:r>
      <w:r w:rsidRPr="00B550B0">
        <w:rPr>
          <w:rFonts w:ascii="Times New Roman" w:hAnsi="Times New Roman"/>
          <w:color w:val="5B9BD5" w:themeColor="accent1"/>
          <w:sz w:val="24"/>
          <w:szCs w:val="24"/>
        </w:rPr>
        <w:t>, a major component of</w:t>
      </w:r>
      <w:r w:rsidRPr="00B550B0">
        <w:rPr>
          <w:rFonts w:ascii="Times New Roman" w:hAnsi="Times New Roman"/>
          <w:bCs/>
          <w:color w:val="5B9BD5" w:themeColor="accent1"/>
          <w:sz w:val="24"/>
          <w:szCs w:val="24"/>
          <w:shd w:val="clear" w:color="auto" w:fill="FFFFFF"/>
        </w:rPr>
        <w:t xml:space="preserve"> spin-finish epoxidized soybean oil - </w:t>
      </w:r>
      <w:r w:rsidRPr="00B550B0">
        <w:rPr>
          <w:rFonts w:ascii="Times New Roman" w:hAnsi="Times New Roman"/>
          <w:color w:val="5B9BD5" w:themeColor="accent1"/>
          <w:sz w:val="24"/>
          <w:szCs w:val="24"/>
          <w:shd w:val="clear" w:color="auto" w:fill="FFFFFF"/>
        </w:rPr>
        <w:t xml:space="preserve">yellowish viscous liquid </w:t>
      </w:r>
      <w:r w:rsidRPr="00B550B0">
        <w:rPr>
          <w:rFonts w:ascii="Times New Roman" w:hAnsi="Times New Roman"/>
          <w:color w:val="5B9BD5" w:themeColor="accent1"/>
          <w:sz w:val="24"/>
          <w:szCs w:val="24"/>
          <w:shd w:val="clear" w:color="auto" w:fill="FFFFFF"/>
        </w:rPr>
        <w:fldChar w:fldCharType="begin" w:fldLock="1"/>
      </w:r>
      <w:r>
        <w:rPr>
          <w:rFonts w:ascii="Times New Roman" w:hAnsi="Times New Roman"/>
          <w:color w:val="5B9BD5" w:themeColor="accent1"/>
          <w:sz w:val="24"/>
          <w:szCs w:val="24"/>
          <w:shd w:val="clear" w:color="auto" w:fill="FFFFFF"/>
        </w:rPr>
        <w:instrText>ADDIN CSL_CITATION {"citationItems":[{"id":"ITEM-1","itemData":{"DOI":"10.5772/intechopen.81544","abstract":"Abstract Long-haul travel does not constitute an obstacle for tourists to travel and is fast gaining the attention of tourists in new and unique experiences. This study was conducted to identify the long-haul travel motivation by international tourists to Penang. A total of 400 respondents participated in this survey, conducted around the tourist attractions in Penang, using cluster random sampling. However, only 370 questionnaires were only used for this research. Data were analysed using SPSS software 22 version. The findings, ‘knowledge and novelty seeking’ were the main push factors that drove long-haul travel by international tourists to Penang. Meanwhile, the main pull factor that attracts long- haul travel by international tourists to Penang was its ‘culture and history’. Additionally, there were partly direct and significant relationships between socio-demographic, trip characteristics and travel motivation (push factors and pull factors). Overall, this study identified the long-haul travel motivations by international tourists to Penang based on socio-demographic, trip characteristics and travel motivation and has indirectly helped in understanding the long-haul travel market particularly for Penang and Southeast Asia. This research also suggested for an effective marketing and promotion strategy in pro- viding useful information that is the key to attract international tourists to travel long distances. Keywords:","author":[{"dropping-particle":"","family":"Tang","given":"Qiuyu","non-dropping-particle":"","parse-names":false,"suffix":""},{"dropping-particle":"","family":"Chen","given":"Yahua","non-dropping-particle":"","parse-names":false,"suffix":""},{"dropping-particle":"","family":"Gao","given":"Huizhi","non-dropping-particle":"","parse-names":false,"suffix":""},{"dropping-particle":"","family":"Li","given":"Qian","non-dropping-particle":"","parse-names":false,"suffix":""},{"dropping-particle":"","family":"Xi","given":"Zhenhao","non-dropping-particle":"","parse-names":false,"suffix":""},{"dropping-particle":"","family":"Zhao","given":"Ling","non-dropping-particle":"","parse-names":false,"suffix":""},{"dropping-particle":"","family":"Peng","given":"Chong","non-dropping-particle":"","parse-names":false,"suffix":""},{"dropping-particle":"","family":"Li","given":"Lanpeng","non-dropping-particle":"","parse-names":false,"suffix":""}],"container-title":"Soybean - Biomass, Yield and Productivity","id":"ITEM-1","issued":{"date-parts":[["2019"]]},"title":"Bio-Based Epoxy Resin from Epoxidized Soybean Oil","type":"article-journal"},"uris":["http://www.mendeley.com/documents/?uuid=316deee9-c164-4317-bda1-63e3ad12e7c7"]},{"id":"ITEM-2","itemData":{"DOI":"10.1002/app.46472","ISSN":"10974628","abstract":"In an effort to alleviate the well-known toxicity effect of phthalate derivatives on human health, genistein (G) modified epoxidized soybean oil (ESBO) has been investigated as an alternative “green” plasticizer for poly(vinyl chloride) (PVC) with potential application in medical products. As evidenced by a single glass transition that shifts systematically with composition in conjunction with the melting point depression of G crystals, ESBO is not only a good plasticizer to PVC, but also miscible with G. Moreover, ESBO is an excellent compatibilizer to the immiscible PVC/G pair. Furthermore, PVC/ESBO/G ternary blends revealed complete miscibility in the amorphous state. Of particular interest is that ESBO-plasticized PVC is thermally curable with G at elevated temperatures above 220 °C and affords relatively stable G modified ESBO-plasticized PVC for blood contact medical applications such as blood bags and hemodialysis tubings. © 2018 Wiley Periodicals, Inc. J. Appl. Polym. Sci. 2018, 135, 46472.","author":[{"dropping-particle":"","family":"Buddhiranon","given":"Sasiwimon","non-dropping-particle":"","parse-names":false,"suffix":""},{"dropping-particle":"","family":"Chang","given":"Teng","non-dropping-particle":"","parse-names":false,"suffix":""},{"dropping-particle":"","family":"Tang","given":"Kangli","non-dropping-particle":"","parse-names":false,"suffix":""},{"dropping-particle":"","family":"Kyu","given":"Thein","non-dropping-particle":"","parse-names":false,"suffix":""}],"container-title":"Journal of Applied Polymer Science","id":"ITEM-2","issue":"31","issued":{"date-parts":[["2018"]]},"note":"crosslinking of soybeen + OH polymer","page":"1-7","title":"Stabilization of epoxidized soybean oil-plasticized poly(vinyl chloride) blends via thermal curing with genistein","type":"article-journal","volume":"135"},"uris":["http://www.mendeley.com/documents/?uuid=dd34894b-1c61-47e3-9c6a-81cad72b12db"]}],"mendeley":{"formattedCitation":"[29,34]","plainTextFormattedCitation":"[29,34]","previouslyFormattedCitation":"[29,34]"},"properties":{"noteIndex":0},"schema":"https://github.com/citation-style-language/schema/raw/master/csl-citation.json"}</w:instrText>
      </w:r>
      <w:r w:rsidRPr="00B550B0">
        <w:rPr>
          <w:rFonts w:ascii="Times New Roman" w:hAnsi="Times New Roman"/>
          <w:color w:val="5B9BD5" w:themeColor="accent1"/>
          <w:sz w:val="24"/>
          <w:szCs w:val="24"/>
          <w:shd w:val="clear" w:color="auto" w:fill="FFFFFF"/>
        </w:rPr>
        <w:fldChar w:fldCharType="separate"/>
      </w:r>
      <w:r w:rsidRPr="00CD3119">
        <w:rPr>
          <w:rFonts w:ascii="Times New Roman" w:hAnsi="Times New Roman"/>
          <w:noProof/>
          <w:color w:val="5B9BD5" w:themeColor="accent1"/>
          <w:sz w:val="24"/>
          <w:szCs w:val="24"/>
          <w:shd w:val="clear" w:color="auto" w:fill="FFFFFF"/>
        </w:rPr>
        <w:t>[29,34]</w:t>
      </w:r>
      <w:r w:rsidRPr="00B550B0">
        <w:rPr>
          <w:rFonts w:ascii="Times New Roman" w:hAnsi="Times New Roman"/>
          <w:color w:val="5B9BD5" w:themeColor="accent1"/>
          <w:sz w:val="24"/>
          <w:szCs w:val="24"/>
          <w:shd w:val="clear" w:color="auto" w:fill="FFFFFF"/>
        </w:rPr>
        <w:fldChar w:fldCharType="end"/>
      </w:r>
      <w:r w:rsidRPr="00B550B0">
        <w:rPr>
          <w:rFonts w:ascii="Times New Roman" w:hAnsi="Times New Roman"/>
          <w:color w:val="5B9BD5" w:themeColor="accent1"/>
          <w:sz w:val="24"/>
          <w:szCs w:val="24"/>
          <w:shd w:val="clear" w:color="auto" w:fill="FFFFFF"/>
        </w:rPr>
        <w:t xml:space="preserve">; </w:t>
      </w:r>
      <w:r w:rsidRPr="00B550B0">
        <w:rPr>
          <w:rFonts w:ascii="Times New Roman" w:hAnsi="Times New Roman"/>
          <w:b/>
          <w:color w:val="5B9BD5" w:themeColor="accent1"/>
          <w:sz w:val="24"/>
          <w:szCs w:val="24"/>
          <w:shd w:val="clear" w:color="auto" w:fill="FFFFFF"/>
        </w:rPr>
        <w:t>(B)</w:t>
      </w:r>
      <w:r w:rsidRPr="00B550B0">
        <w:rPr>
          <w:rFonts w:ascii="Times New Roman" w:hAnsi="Times New Roman"/>
          <w:color w:val="5B9BD5" w:themeColor="accent1"/>
          <w:sz w:val="24"/>
          <w:szCs w:val="24"/>
          <w:shd w:val="clear" w:color="auto" w:fill="FFFFFF"/>
        </w:rPr>
        <w:t xml:space="preserve"> the structure of polyethylene terephthalate (PET) </w:t>
      </w:r>
      <w:r w:rsidRPr="00B550B0">
        <w:rPr>
          <w:rFonts w:ascii="Times New Roman" w:hAnsi="Times New Roman"/>
          <w:color w:val="5B9BD5" w:themeColor="accent1"/>
          <w:sz w:val="24"/>
          <w:szCs w:val="24"/>
          <w:shd w:val="clear" w:color="auto" w:fill="FFFFFF"/>
        </w:rPr>
        <w:fldChar w:fldCharType="begin" w:fldLock="1"/>
      </w:r>
      <w:r>
        <w:rPr>
          <w:rFonts w:ascii="Times New Roman" w:hAnsi="Times New Roman"/>
          <w:color w:val="5B9BD5" w:themeColor="accent1"/>
          <w:sz w:val="24"/>
          <w:szCs w:val="24"/>
          <w:shd w:val="clear" w:color="auto" w:fill="FFFFFF"/>
        </w:rPr>
        <w:instrText>ADDIN CSL_CITATION {"citationItems":[{"id":"ITEM-1","itemData":{"DOI":"10.1016/j.eurpolymj.2005.02.005","ISSN":"00143057","abstract":"The recycling of post-consumer PET (POSTC-PET) as a technology is a cross-disciplinary practice with many fields of science involved. These include polymer chemistry and physics, process engineering and manufacturing engineering. This paper presents a concise background of the current state of knowledge with respect to POSTC-PET recycling covering the disciplines mentioned above. In the first section of this paper, a brief background is presented about virgin PET synthesis, thermal transitions, processing and applications. The second section covers the PET recycling process with a focus on contamination and ways to increase the molecular weight of recycled PET (R-PET). It serves as an introduction to Section 3 where the chain extension process is described in detail. In Section 3, the current understanding of chain extenders, chain extension experimentation variables and equipment is reviewed. Reactive extrusion process is described in Section 4 with a special focus on system stability under chain extension conditions. Section 5 covers the effect of chain extension on R-PET thermal transitions and crystallinity. Section 6 presents the injection stretch blow moulding (ISBM) process as a possible application for R-PET with a focus on preform and bottle moulding. The last section gives a description of FT-IR technology to detect bottles' orientation and conformation changes. © 2005 Elsevier Ltd. All right reserved.","author":[{"dropping-particle":"","family":"Awaja","given":"Firas","non-dropping-particle":"","parse-names":false,"suffix":""},{"dropping-particle":"","family":"Pavel","given":"Dumitru","non-dropping-particle":"","parse-names":false,"suffix":""}],"container-title":"European Polymer Journal","id":"ITEM-1","issue":"7","issued":{"date-parts":[["2005"]]},"page":"1453-1477","title":"Recycling of PET","type":"article-journal","volume":"41"},"uris":["http://www.mendeley.com/documents/?uuid=1466bfb8-d339-465f-8966-f6f6cc908c02"]}],"mendeley":{"formattedCitation":"[39]","plainTextFormattedCitation":"[39]","previouslyFormattedCitation":"[39]"},"properties":{"noteIndex":0},"schema":"https://github.com/citation-style-language/schema/raw/master/csl-citation.json"}</w:instrText>
      </w:r>
      <w:r w:rsidRPr="00B550B0">
        <w:rPr>
          <w:rFonts w:ascii="Times New Roman" w:hAnsi="Times New Roman"/>
          <w:color w:val="5B9BD5" w:themeColor="accent1"/>
          <w:sz w:val="24"/>
          <w:szCs w:val="24"/>
          <w:shd w:val="clear" w:color="auto" w:fill="FFFFFF"/>
        </w:rPr>
        <w:fldChar w:fldCharType="separate"/>
      </w:r>
      <w:r w:rsidRPr="00CD3119">
        <w:rPr>
          <w:rFonts w:ascii="Times New Roman" w:hAnsi="Times New Roman"/>
          <w:noProof/>
          <w:color w:val="5B9BD5" w:themeColor="accent1"/>
          <w:sz w:val="24"/>
          <w:szCs w:val="24"/>
          <w:shd w:val="clear" w:color="auto" w:fill="FFFFFF"/>
        </w:rPr>
        <w:t>[39]</w:t>
      </w:r>
      <w:r w:rsidRPr="00B550B0">
        <w:rPr>
          <w:rFonts w:ascii="Times New Roman" w:hAnsi="Times New Roman"/>
          <w:color w:val="5B9BD5" w:themeColor="accent1"/>
          <w:sz w:val="24"/>
          <w:szCs w:val="24"/>
          <w:shd w:val="clear" w:color="auto" w:fill="FFFFFF"/>
        </w:rPr>
        <w:fldChar w:fldCharType="end"/>
      </w:r>
    </w:p>
    <w:p w:rsidR="005A0F54" w:rsidRPr="00B550B0" w:rsidRDefault="005A0F54" w:rsidP="005A0F54">
      <w:pPr>
        <w:spacing w:line="480" w:lineRule="auto"/>
        <w:jc w:val="both"/>
        <w:rPr>
          <w:rFonts w:ascii="Times New Roman" w:hAnsi="Times New Roman"/>
          <w:b/>
          <w:sz w:val="24"/>
          <w:szCs w:val="24"/>
          <w:shd w:val="clear" w:color="auto" w:fill="FFFFFF"/>
        </w:rPr>
      </w:pPr>
    </w:p>
    <w:p w:rsidR="005A0F54" w:rsidRPr="00B550B0" w:rsidRDefault="005A0F54" w:rsidP="005A0F54">
      <w:pPr>
        <w:spacing w:line="480" w:lineRule="auto"/>
        <w:jc w:val="center"/>
        <w:rPr>
          <w:rFonts w:ascii="Times New Roman" w:hAnsi="Times New Roman"/>
          <w:sz w:val="24"/>
          <w:szCs w:val="24"/>
        </w:rPr>
      </w:pPr>
      <w:r w:rsidRPr="00B550B0">
        <w:rPr>
          <w:noProof/>
        </w:rPr>
        <w:drawing>
          <wp:inline distT="0" distB="0" distL="0" distR="0" wp14:anchorId="4B71B48B" wp14:editId="64282584">
            <wp:extent cx="3159306" cy="2500065"/>
            <wp:effectExtent l="0" t="0" r="317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20105" t="22801" r="33784" b="12293"/>
                    <a:stretch/>
                  </pic:blipFill>
                  <pic:spPr bwMode="auto">
                    <a:xfrm>
                      <a:off x="0" y="0"/>
                      <a:ext cx="3164782" cy="2504399"/>
                    </a:xfrm>
                    <a:prstGeom prst="rect">
                      <a:avLst/>
                    </a:prstGeom>
                    <a:ln>
                      <a:noFill/>
                    </a:ln>
                    <a:extLst>
                      <a:ext uri="{53640926-AAD7-44D8-BBD7-CCE9431645EC}">
                        <a14:shadowObscured xmlns:a14="http://schemas.microsoft.com/office/drawing/2010/main"/>
                      </a:ext>
                    </a:extLst>
                  </pic:spPr>
                </pic:pic>
              </a:graphicData>
            </a:graphic>
          </wp:inline>
        </w:drawing>
      </w:r>
    </w:p>
    <w:p w:rsidR="005A0F54" w:rsidRPr="00B550B0" w:rsidRDefault="005A0F54" w:rsidP="005A0F54">
      <w:pPr>
        <w:pStyle w:val="Caption"/>
        <w:spacing w:line="480" w:lineRule="auto"/>
        <w:jc w:val="both"/>
        <w:rPr>
          <w:rFonts w:ascii="Times New Roman" w:hAnsi="Times New Roman"/>
          <w:b w:val="0"/>
          <w:color w:val="5B9BD5" w:themeColor="accent1"/>
          <w:sz w:val="24"/>
          <w:szCs w:val="24"/>
        </w:rPr>
      </w:pPr>
      <w:r w:rsidRPr="00B550B0">
        <w:rPr>
          <w:rFonts w:ascii="Times New Roman" w:hAnsi="Times New Roman"/>
          <w:color w:val="5B9BD5" w:themeColor="accent1"/>
          <w:sz w:val="24"/>
          <w:szCs w:val="24"/>
        </w:rPr>
        <w:t xml:space="preserve">Figure A.2. </w:t>
      </w:r>
      <w:r w:rsidRPr="00B550B0">
        <w:rPr>
          <w:rFonts w:ascii="Times New Roman" w:hAnsi="Times New Roman"/>
          <w:b w:val="0"/>
          <w:color w:val="5B9BD5" w:themeColor="accent1"/>
          <w:sz w:val="24"/>
          <w:szCs w:val="24"/>
        </w:rPr>
        <w:t>Spin-finish SF-oil treatment: (</w:t>
      </w:r>
      <w:r w:rsidRPr="00B550B0">
        <w:rPr>
          <w:rFonts w:ascii="Times New Roman" w:hAnsi="Times New Roman"/>
          <w:color w:val="5B9BD5" w:themeColor="accent1"/>
          <w:sz w:val="24"/>
          <w:szCs w:val="24"/>
        </w:rPr>
        <w:t>A)</w:t>
      </w:r>
      <w:r w:rsidRPr="00B550B0">
        <w:rPr>
          <w:rFonts w:ascii="Times New Roman" w:hAnsi="Times New Roman"/>
          <w:b w:val="0"/>
          <w:color w:val="5B9BD5" w:themeColor="accent1"/>
          <w:sz w:val="24"/>
          <w:szCs w:val="24"/>
        </w:rPr>
        <w:t xml:space="preserve"> Degradation of SF-oils by UV treatment and thermal treatment: </w:t>
      </w:r>
      <w:r w:rsidRPr="00B550B0">
        <w:rPr>
          <w:rFonts w:ascii="Times New Roman" w:hAnsi="Times New Roman"/>
          <w:color w:val="5B9BD5" w:themeColor="accent1"/>
          <w:sz w:val="24"/>
          <w:szCs w:val="24"/>
        </w:rPr>
        <w:t>(i)</w:t>
      </w:r>
      <w:r w:rsidRPr="00B550B0">
        <w:rPr>
          <w:rFonts w:ascii="Times New Roman" w:hAnsi="Times New Roman"/>
          <w:b w:val="0"/>
          <w:color w:val="5B9BD5" w:themeColor="accent1"/>
          <w:sz w:val="24"/>
          <w:szCs w:val="24"/>
        </w:rPr>
        <w:t xml:space="preserve"> virgin SF oil, </w:t>
      </w:r>
      <w:r w:rsidRPr="00B550B0">
        <w:rPr>
          <w:rFonts w:ascii="Times New Roman" w:hAnsi="Times New Roman"/>
          <w:color w:val="5B9BD5" w:themeColor="accent1"/>
          <w:sz w:val="24"/>
          <w:szCs w:val="24"/>
        </w:rPr>
        <w:t>(ii)</w:t>
      </w:r>
      <w:r w:rsidRPr="00B550B0">
        <w:rPr>
          <w:rFonts w:ascii="Times New Roman" w:hAnsi="Times New Roman"/>
          <w:b w:val="0"/>
          <w:color w:val="5B9BD5" w:themeColor="accent1"/>
          <w:sz w:val="24"/>
          <w:szCs w:val="24"/>
        </w:rPr>
        <w:t xml:space="preserve"> UV treated SF-oil, </w:t>
      </w:r>
      <w:r w:rsidRPr="00B550B0">
        <w:rPr>
          <w:rFonts w:ascii="Times New Roman" w:hAnsi="Times New Roman"/>
          <w:color w:val="5B9BD5" w:themeColor="accent1"/>
          <w:sz w:val="24"/>
          <w:szCs w:val="24"/>
        </w:rPr>
        <w:t>(iii)</w:t>
      </w:r>
      <w:r w:rsidRPr="00B550B0">
        <w:rPr>
          <w:rFonts w:ascii="Times New Roman" w:hAnsi="Times New Roman"/>
          <w:b w:val="0"/>
          <w:color w:val="5B9BD5" w:themeColor="accent1"/>
          <w:sz w:val="24"/>
          <w:szCs w:val="24"/>
        </w:rPr>
        <w:t xml:space="preserve"> thermally treated SF-oil; and </w:t>
      </w:r>
      <w:r w:rsidRPr="00B550B0">
        <w:rPr>
          <w:rFonts w:ascii="Times New Roman" w:hAnsi="Times New Roman"/>
          <w:color w:val="5B9BD5" w:themeColor="accent1"/>
          <w:sz w:val="24"/>
          <w:szCs w:val="24"/>
        </w:rPr>
        <w:t>(B)</w:t>
      </w:r>
      <w:r w:rsidRPr="00B550B0">
        <w:rPr>
          <w:rFonts w:ascii="Times New Roman" w:hAnsi="Times New Roman"/>
          <w:b w:val="0"/>
          <w:color w:val="5B9BD5" w:themeColor="accent1"/>
          <w:sz w:val="24"/>
          <w:szCs w:val="24"/>
        </w:rPr>
        <w:t xml:space="preserve"> Solubility of treated oil in diethyl ether (DE), tetrahydrofuran (THF), and n-hexane.</w:t>
      </w:r>
    </w:p>
    <w:p w:rsidR="005A0F54" w:rsidRPr="00B550B0" w:rsidRDefault="005A0F54" w:rsidP="005A0F54">
      <w:pPr>
        <w:spacing w:line="480" w:lineRule="auto"/>
        <w:rPr>
          <w:rFonts w:ascii="Times New Roman" w:hAnsi="Times New Roman"/>
          <w:sz w:val="24"/>
          <w:szCs w:val="24"/>
        </w:rPr>
      </w:pPr>
    </w:p>
    <w:p w:rsidR="005A0F54" w:rsidRPr="00B550B0" w:rsidRDefault="005A0F54" w:rsidP="005A0F54">
      <w:pPr>
        <w:spacing w:line="480" w:lineRule="auto"/>
        <w:jc w:val="center"/>
        <w:rPr>
          <w:rFonts w:ascii="Times New Roman" w:hAnsi="Times New Roman"/>
          <w:sz w:val="24"/>
          <w:szCs w:val="24"/>
          <w:shd w:val="clear" w:color="auto" w:fill="FFFFFF"/>
        </w:rPr>
      </w:pPr>
      <w:r w:rsidRPr="00B550B0">
        <w:rPr>
          <w:rFonts w:ascii="Times New Roman" w:hAnsi="Times New Roman"/>
          <w:noProof/>
          <w:sz w:val="24"/>
          <w:szCs w:val="24"/>
        </w:rPr>
        <w:lastRenderedPageBreak/>
        <w:drawing>
          <wp:inline distT="0" distB="0" distL="0" distR="0" wp14:anchorId="73341DCE" wp14:editId="31685469">
            <wp:extent cx="3971925" cy="2247900"/>
            <wp:effectExtent l="0" t="0" r="3175" b="0"/>
            <wp:docPr id="40" name="Char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5A0F54" w:rsidRPr="00B550B0" w:rsidRDefault="005A0F54" w:rsidP="005A0F54">
      <w:pPr>
        <w:spacing w:line="480" w:lineRule="auto"/>
        <w:jc w:val="both"/>
        <w:rPr>
          <w:rFonts w:ascii="Times New Roman" w:hAnsi="Times New Roman"/>
          <w:color w:val="5B9BD5" w:themeColor="accent1"/>
          <w:sz w:val="24"/>
          <w:szCs w:val="24"/>
          <w:shd w:val="clear" w:color="auto" w:fill="FFFFFF"/>
        </w:rPr>
      </w:pPr>
      <w:r w:rsidRPr="00B550B0">
        <w:rPr>
          <w:rFonts w:ascii="Times New Roman" w:hAnsi="Times New Roman"/>
          <w:b/>
          <w:color w:val="5B9BD5" w:themeColor="accent1"/>
          <w:sz w:val="24"/>
          <w:szCs w:val="24"/>
          <w:shd w:val="clear" w:color="auto" w:fill="FFFFFF"/>
        </w:rPr>
        <w:t>Figure A.3.</w:t>
      </w:r>
      <w:r w:rsidRPr="00B550B0">
        <w:rPr>
          <w:rFonts w:ascii="Times New Roman" w:hAnsi="Times New Roman"/>
          <w:color w:val="5B9BD5" w:themeColor="accent1"/>
          <w:sz w:val="24"/>
          <w:szCs w:val="24"/>
          <w:shd w:val="clear" w:color="auto" w:fill="FFFFFF"/>
        </w:rPr>
        <w:t xml:space="preserve"> PNaSS GR of PET</w:t>
      </w:r>
      <w:r w:rsidRPr="00B550B0">
        <w:rPr>
          <w:rFonts w:ascii="Times New Roman" w:hAnsi="Times New Roman"/>
          <w:color w:val="5B9BD5" w:themeColor="accent1"/>
          <w:sz w:val="24"/>
          <w:szCs w:val="24"/>
          <w:shd w:val="clear" w:color="auto" w:fill="FFFFFF"/>
          <w:vertAlign w:val="subscript"/>
        </w:rPr>
        <w:t>2009</w:t>
      </w:r>
      <w:r w:rsidRPr="00B550B0">
        <w:rPr>
          <w:rFonts w:ascii="Times New Roman" w:hAnsi="Times New Roman"/>
          <w:color w:val="5B9BD5" w:themeColor="accent1"/>
          <w:sz w:val="24"/>
          <w:szCs w:val="24"/>
          <w:shd w:val="clear" w:color="auto" w:fill="FFFFFF"/>
        </w:rPr>
        <w:t xml:space="preserve"> fabrics at various grafting temperatures: ozonation 10</w:t>
      </w:r>
      <w:r>
        <w:rPr>
          <w:rFonts w:ascii="Times New Roman" w:hAnsi="Times New Roman"/>
          <w:color w:val="5B9BD5" w:themeColor="accent1"/>
          <w:sz w:val="24"/>
          <w:szCs w:val="24"/>
          <w:shd w:val="clear" w:color="auto" w:fill="FFFFFF"/>
        </w:rPr>
        <w:t xml:space="preserve"> </w:t>
      </w:r>
      <w:r w:rsidRPr="00B550B0">
        <w:rPr>
          <w:rFonts w:ascii="Times New Roman" w:hAnsi="Times New Roman"/>
          <w:color w:val="5B9BD5" w:themeColor="accent1"/>
          <w:sz w:val="24"/>
          <w:szCs w:val="24"/>
          <w:shd w:val="clear" w:color="auto" w:fill="FFFFFF"/>
        </w:rPr>
        <w:t>min at 30</w:t>
      </w:r>
      <w:r w:rsidRPr="00B550B0">
        <w:rPr>
          <w:rFonts w:ascii="Times New Roman" w:hAnsi="Times New Roman"/>
          <w:color w:val="5B9BD5" w:themeColor="accent1"/>
          <w:sz w:val="24"/>
          <w:szCs w:val="24"/>
          <w:shd w:val="clear" w:color="auto" w:fill="FFFFFF"/>
          <w:vertAlign w:val="superscript"/>
        </w:rPr>
        <w:t>o</w:t>
      </w:r>
      <w:r w:rsidRPr="00B550B0">
        <w:rPr>
          <w:rFonts w:ascii="Times New Roman" w:hAnsi="Times New Roman"/>
          <w:color w:val="5B9BD5" w:themeColor="accent1"/>
          <w:sz w:val="24"/>
          <w:szCs w:val="24"/>
          <w:shd w:val="clear" w:color="auto" w:fill="FFFFFF"/>
        </w:rPr>
        <w:t>C, grafting for 1h at 25, 65, 70, 80, 100, 130</w:t>
      </w:r>
      <w:r w:rsidRPr="00B550B0">
        <w:rPr>
          <w:rFonts w:ascii="Times New Roman" w:hAnsi="Times New Roman"/>
          <w:color w:val="5B9BD5" w:themeColor="accent1"/>
          <w:sz w:val="24"/>
          <w:szCs w:val="24"/>
          <w:shd w:val="clear" w:color="auto" w:fill="FFFFFF"/>
          <w:vertAlign w:val="superscript"/>
        </w:rPr>
        <w:t>o</w:t>
      </w:r>
      <w:r w:rsidRPr="00B550B0">
        <w:rPr>
          <w:rFonts w:ascii="Times New Roman" w:hAnsi="Times New Roman"/>
          <w:color w:val="5B9BD5" w:themeColor="accent1"/>
          <w:sz w:val="24"/>
          <w:szCs w:val="24"/>
          <w:shd w:val="clear" w:color="auto" w:fill="FFFFFF"/>
        </w:rPr>
        <w:t>C (n=3)</w:t>
      </w:r>
      <w:r>
        <w:rPr>
          <w:rFonts w:ascii="Times New Roman" w:hAnsi="Times New Roman"/>
          <w:color w:val="5B9BD5" w:themeColor="accent1"/>
          <w:sz w:val="24"/>
          <w:szCs w:val="24"/>
          <w:shd w:val="clear" w:color="auto" w:fill="FFFFFF"/>
        </w:rPr>
        <w:t>.</w:t>
      </w:r>
    </w:p>
    <w:p w:rsidR="005A0F54" w:rsidRPr="00B550B0" w:rsidRDefault="005A0F54" w:rsidP="005A0F54">
      <w:pPr>
        <w:spacing w:line="480" w:lineRule="auto"/>
        <w:jc w:val="both"/>
        <w:rPr>
          <w:rFonts w:ascii="Times New Roman" w:hAnsi="Times New Roman"/>
          <w:i/>
          <w:sz w:val="24"/>
          <w:szCs w:val="24"/>
          <w:shd w:val="clear" w:color="auto" w:fill="FFFFFF"/>
        </w:rPr>
      </w:pPr>
    </w:p>
    <w:p w:rsidR="005A0F54" w:rsidRPr="00B550B0" w:rsidRDefault="005A0F54" w:rsidP="005A0F54">
      <w:pPr>
        <w:spacing w:line="480" w:lineRule="auto"/>
        <w:jc w:val="both"/>
        <w:rPr>
          <w:rFonts w:ascii="Times New Roman" w:hAnsi="Times New Roman"/>
          <w:b/>
          <w:sz w:val="24"/>
          <w:szCs w:val="24"/>
          <w:shd w:val="clear" w:color="auto" w:fill="FFFFFF"/>
        </w:rPr>
      </w:pPr>
      <w:r w:rsidRPr="00B550B0">
        <w:rPr>
          <w:noProof/>
        </w:rPr>
        <w:drawing>
          <wp:inline distT="0" distB="0" distL="0" distR="0" wp14:anchorId="0A7AFB44" wp14:editId="2B061F3E">
            <wp:extent cx="5343525" cy="3675698"/>
            <wp:effectExtent l="0" t="0" r="0" b="127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5780" t="22456" r="29402" b="10472"/>
                    <a:stretch/>
                  </pic:blipFill>
                  <pic:spPr bwMode="auto">
                    <a:xfrm>
                      <a:off x="0" y="0"/>
                      <a:ext cx="5341159" cy="3674070"/>
                    </a:xfrm>
                    <a:prstGeom prst="rect">
                      <a:avLst/>
                    </a:prstGeom>
                    <a:ln>
                      <a:noFill/>
                    </a:ln>
                    <a:extLst>
                      <a:ext uri="{53640926-AAD7-44D8-BBD7-CCE9431645EC}">
                        <a14:shadowObscured xmlns:a14="http://schemas.microsoft.com/office/drawing/2010/main"/>
                      </a:ext>
                    </a:extLst>
                  </pic:spPr>
                </pic:pic>
              </a:graphicData>
            </a:graphic>
          </wp:inline>
        </w:drawing>
      </w:r>
    </w:p>
    <w:p w:rsidR="005A0F54" w:rsidRPr="00B550B0" w:rsidRDefault="005A0F54" w:rsidP="005A0F54">
      <w:pPr>
        <w:spacing w:line="480" w:lineRule="auto"/>
        <w:jc w:val="both"/>
        <w:rPr>
          <w:rFonts w:ascii="Times New Roman" w:hAnsi="Times New Roman"/>
          <w:color w:val="5B9BD5" w:themeColor="accent1"/>
          <w:sz w:val="24"/>
          <w:szCs w:val="24"/>
          <w:shd w:val="clear" w:color="auto" w:fill="FFFFFF"/>
        </w:rPr>
      </w:pPr>
      <w:r w:rsidRPr="00B550B0">
        <w:rPr>
          <w:rFonts w:ascii="Times New Roman" w:hAnsi="Times New Roman"/>
          <w:b/>
          <w:color w:val="5B9BD5" w:themeColor="accent1"/>
          <w:sz w:val="24"/>
          <w:szCs w:val="24"/>
          <w:shd w:val="clear" w:color="auto" w:fill="FFFFFF"/>
        </w:rPr>
        <w:t>Figure A.4.</w:t>
      </w:r>
      <w:r w:rsidRPr="00B550B0">
        <w:rPr>
          <w:rFonts w:ascii="Times New Roman" w:hAnsi="Times New Roman"/>
          <w:color w:val="5B9BD5" w:themeColor="accent1"/>
          <w:sz w:val="24"/>
          <w:szCs w:val="24"/>
          <w:shd w:val="clear" w:color="auto" w:fill="FFFFFF"/>
        </w:rPr>
        <w:t xml:space="preserve"> Topography and roughness of PET</w:t>
      </w:r>
      <w:r w:rsidRPr="00B550B0">
        <w:rPr>
          <w:rFonts w:ascii="Times New Roman" w:hAnsi="Times New Roman"/>
          <w:color w:val="5B9BD5" w:themeColor="accent1"/>
          <w:sz w:val="24"/>
          <w:szCs w:val="24"/>
          <w:shd w:val="clear" w:color="auto" w:fill="FFFFFF"/>
          <w:vertAlign w:val="subscript"/>
        </w:rPr>
        <w:t>1993</w:t>
      </w:r>
      <w:r w:rsidRPr="00B550B0">
        <w:rPr>
          <w:rFonts w:ascii="Times New Roman" w:hAnsi="Times New Roman"/>
          <w:color w:val="5B9BD5" w:themeColor="accent1"/>
          <w:sz w:val="24"/>
          <w:szCs w:val="24"/>
          <w:shd w:val="clear" w:color="auto" w:fill="FFFFFF"/>
        </w:rPr>
        <w:t xml:space="preserve"> fibers after (top) DE SFR and (bottom) after DE-SFR + PNaSS grafting.</w:t>
      </w:r>
    </w:p>
    <w:p w:rsidR="005A0F54" w:rsidRPr="00B550B0" w:rsidRDefault="005A0F54" w:rsidP="005A0F54">
      <w:pPr>
        <w:spacing w:line="480" w:lineRule="auto"/>
        <w:rPr>
          <w:rFonts w:ascii="Times New Roman" w:hAnsi="Times New Roman"/>
          <w:sz w:val="24"/>
          <w:szCs w:val="24"/>
        </w:rPr>
      </w:pPr>
      <w:r w:rsidRPr="00B550B0">
        <w:rPr>
          <w:rFonts w:ascii="Times New Roman" w:hAnsi="Times New Roman"/>
          <w:sz w:val="24"/>
          <w:szCs w:val="24"/>
          <w:shd w:val="clear" w:color="auto" w:fill="FFFFFF"/>
        </w:rPr>
        <w:lastRenderedPageBreak/>
        <w:br/>
      </w:r>
      <w:r w:rsidRPr="00B550B0">
        <w:rPr>
          <w:noProof/>
        </w:rPr>
        <w:drawing>
          <wp:inline distT="0" distB="0" distL="0" distR="0" wp14:anchorId="24E96890" wp14:editId="295D2A64">
            <wp:extent cx="5038725" cy="3194192"/>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0963" t="23342" r="33223" b="13722"/>
                    <a:stretch/>
                  </pic:blipFill>
                  <pic:spPr bwMode="auto">
                    <a:xfrm>
                      <a:off x="0" y="0"/>
                      <a:ext cx="5036493" cy="3192777"/>
                    </a:xfrm>
                    <a:prstGeom prst="rect">
                      <a:avLst/>
                    </a:prstGeom>
                    <a:ln>
                      <a:noFill/>
                    </a:ln>
                    <a:extLst>
                      <a:ext uri="{53640926-AAD7-44D8-BBD7-CCE9431645EC}">
                        <a14:shadowObscured xmlns:a14="http://schemas.microsoft.com/office/drawing/2010/main"/>
                      </a:ext>
                    </a:extLst>
                  </pic:spPr>
                </pic:pic>
              </a:graphicData>
            </a:graphic>
          </wp:inline>
        </w:drawing>
      </w:r>
    </w:p>
    <w:p w:rsidR="005A0F54" w:rsidRPr="00B550B0" w:rsidRDefault="005A0F54" w:rsidP="005A0F54">
      <w:pPr>
        <w:pStyle w:val="Caption"/>
        <w:spacing w:line="480" w:lineRule="auto"/>
        <w:jc w:val="both"/>
        <w:rPr>
          <w:rFonts w:ascii="Times New Roman" w:hAnsi="Times New Roman"/>
          <w:b w:val="0"/>
          <w:color w:val="5B9BD5" w:themeColor="accent1"/>
          <w:sz w:val="24"/>
          <w:szCs w:val="24"/>
        </w:rPr>
      </w:pPr>
      <w:r w:rsidRPr="00B550B0">
        <w:rPr>
          <w:rFonts w:ascii="Times New Roman" w:hAnsi="Times New Roman"/>
          <w:color w:val="5B9BD5" w:themeColor="accent1"/>
          <w:sz w:val="24"/>
          <w:szCs w:val="24"/>
        </w:rPr>
        <w:t xml:space="preserve">Figure A.5. </w:t>
      </w:r>
      <w:r w:rsidRPr="00B550B0">
        <w:rPr>
          <w:rFonts w:ascii="Times New Roman" w:hAnsi="Times New Roman"/>
          <w:b w:val="0"/>
          <w:color w:val="5B9BD5" w:themeColor="accent1"/>
          <w:sz w:val="24"/>
          <w:szCs w:val="24"/>
        </w:rPr>
        <w:t xml:space="preserve">Surface Young's modulus imaging by Peakforce QNM mapping for spin finish-removed non-grafted and PNaSS-grafted PET fabrics. </w:t>
      </w:r>
    </w:p>
    <w:p w:rsidR="005A0F54" w:rsidRPr="00B550B0" w:rsidRDefault="005A0F54" w:rsidP="005A0F54">
      <w:pPr>
        <w:spacing w:line="480" w:lineRule="auto"/>
        <w:rPr>
          <w:rFonts w:ascii="Times New Roman" w:hAnsi="Times New Roman"/>
          <w:sz w:val="24"/>
          <w:szCs w:val="24"/>
          <w:shd w:val="clear" w:color="auto" w:fill="FFFFFF"/>
        </w:rPr>
      </w:pPr>
      <w:r w:rsidRPr="00B550B0">
        <w:rPr>
          <w:rFonts w:ascii="Times New Roman" w:hAnsi="Times New Roman"/>
          <w:noProof/>
          <w:sz w:val="20"/>
          <w:szCs w:val="20"/>
        </w:rPr>
        <w:lastRenderedPageBreak/>
        <w:drawing>
          <wp:inline distT="0" distB="0" distL="0" distR="0" wp14:anchorId="762FFC24" wp14:editId="29E8EBAA">
            <wp:extent cx="2160000" cy="1800000"/>
            <wp:effectExtent l="0" t="0" r="0" b="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B550B0">
        <w:rPr>
          <w:rFonts w:ascii="Times New Roman" w:hAnsi="Times New Roman"/>
          <w:noProof/>
          <w:sz w:val="24"/>
          <w:szCs w:val="24"/>
        </w:rPr>
        <w:drawing>
          <wp:inline distT="0" distB="0" distL="0" distR="0" wp14:anchorId="67A59287" wp14:editId="55F3209B">
            <wp:extent cx="2160000" cy="1800000"/>
            <wp:effectExtent l="0" t="0" r="0" b="0"/>
            <wp:docPr id="55" name="Chart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B550B0">
        <w:rPr>
          <w:rFonts w:ascii="Times New Roman" w:hAnsi="Times New Roman"/>
          <w:noProof/>
          <w:sz w:val="24"/>
          <w:szCs w:val="24"/>
        </w:rPr>
        <w:drawing>
          <wp:inline distT="0" distB="0" distL="0" distR="0" wp14:anchorId="6B36B2CC" wp14:editId="2C7629CE">
            <wp:extent cx="2160000" cy="1800000"/>
            <wp:effectExtent l="0" t="0" r="0" b="0"/>
            <wp:docPr id="56" name="Chart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B550B0">
        <w:rPr>
          <w:rFonts w:ascii="Times New Roman" w:hAnsi="Times New Roman"/>
          <w:noProof/>
          <w:sz w:val="24"/>
          <w:szCs w:val="24"/>
        </w:rPr>
        <w:drawing>
          <wp:inline distT="0" distB="0" distL="0" distR="0" wp14:anchorId="4C2E9AAD" wp14:editId="32F0CCB2">
            <wp:extent cx="2160000" cy="1800000"/>
            <wp:effectExtent l="0" t="0" r="0" b="0"/>
            <wp:docPr id="57" name="Chart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B550B0">
        <w:rPr>
          <w:rFonts w:ascii="Times New Roman" w:hAnsi="Times New Roman"/>
          <w:noProof/>
          <w:sz w:val="24"/>
          <w:szCs w:val="24"/>
        </w:rPr>
        <w:drawing>
          <wp:inline distT="0" distB="0" distL="0" distR="0" wp14:anchorId="5AE98714" wp14:editId="4BEFEFDE">
            <wp:extent cx="2160000" cy="1800000"/>
            <wp:effectExtent l="0" t="0" r="0" b="0"/>
            <wp:docPr id="58" name="Chart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B550B0">
        <w:rPr>
          <w:rFonts w:ascii="Times New Roman" w:hAnsi="Times New Roman"/>
          <w:noProof/>
          <w:sz w:val="24"/>
          <w:szCs w:val="24"/>
        </w:rPr>
        <w:drawing>
          <wp:inline distT="0" distB="0" distL="0" distR="0" wp14:anchorId="4ED1FD2D" wp14:editId="68EA85E8">
            <wp:extent cx="2160000" cy="1800000"/>
            <wp:effectExtent l="0" t="0" r="0" b="0"/>
            <wp:docPr id="59" name="Chart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A0F54" w:rsidRPr="00D722D9" w:rsidRDefault="005A0F54" w:rsidP="005A0F54">
      <w:pPr>
        <w:spacing w:line="480" w:lineRule="auto"/>
        <w:jc w:val="both"/>
        <w:rPr>
          <w:rFonts w:ascii="Times New Roman" w:hAnsi="Times New Roman"/>
          <w:color w:val="5B9BD5" w:themeColor="accent1"/>
          <w:sz w:val="24"/>
          <w:szCs w:val="24"/>
          <w:shd w:val="clear" w:color="auto" w:fill="FFFFFF"/>
        </w:rPr>
      </w:pPr>
      <w:r w:rsidRPr="00B550B0">
        <w:rPr>
          <w:rFonts w:ascii="Times New Roman" w:hAnsi="Times New Roman"/>
          <w:b/>
          <w:color w:val="5B9BD5" w:themeColor="accent1"/>
          <w:sz w:val="24"/>
          <w:szCs w:val="24"/>
          <w:shd w:val="clear" w:color="auto" w:fill="FFFFFF"/>
        </w:rPr>
        <w:t xml:space="preserve">Figure A.6 </w:t>
      </w:r>
      <w:r w:rsidRPr="00B550B0">
        <w:rPr>
          <w:rFonts w:ascii="Times New Roman" w:hAnsi="Times New Roman"/>
          <w:color w:val="5B9BD5" w:themeColor="accent1"/>
          <w:sz w:val="24"/>
          <w:szCs w:val="24"/>
          <w:shd w:val="clear" w:color="auto" w:fill="FFFFFF"/>
        </w:rPr>
        <w:t xml:space="preserve">Young’s modulus histogram of PET fibers/fabrics </w:t>
      </w:r>
      <w:r w:rsidRPr="00B550B0">
        <w:rPr>
          <w:rFonts w:ascii="Times New Roman" w:hAnsi="Times New Roman"/>
          <w:color w:val="5B9BD5" w:themeColor="accent1"/>
          <w:sz w:val="24"/>
          <w:szCs w:val="24"/>
          <w:shd w:val="clear" w:color="auto" w:fill="FFFFFF"/>
          <w:vertAlign w:val="subscript"/>
        </w:rPr>
        <w:t>1993, 2009, 2018</w:t>
      </w:r>
      <w:r w:rsidRPr="00B550B0">
        <w:rPr>
          <w:rFonts w:ascii="Times New Roman" w:hAnsi="Times New Roman"/>
          <w:color w:val="5B9BD5" w:themeColor="accent1"/>
          <w:sz w:val="24"/>
          <w:szCs w:val="24"/>
          <w:shd w:val="clear" w:color="auto" w:fill="FFFFFF"/>
        </w:rPr>
        <w:t xml:space="preserve"> non-grafted (</w:t>
      </w:r>
      <w:r w:rsidRPr="00B550B0">
        <w:rPr>
          <w:rFonts w:ascii="Times New Roman" w:hAnsi="Times New Roman"/>
          <w:b/>
          <w:color w:val="5B9BD5" w:themeColor="accent1"/>
          <w:sz w:val="24"/>
          <w:szCs w:val="24"/>
          <w:shd w:val="clear" w:color="auto" w:fill="FFFFFF"/>
        </w:rPr>
        <w:t>NG</w:t>
      </w:r>
      <w:r w:rsidRPr="00B550B0">
        <w:rPr>
          <w:rFonts w:ascii="Times New Roman" w:hAnsi="Times New Roman"/>
          <w:color w:val="5B9BD5" w:themeColor="accent1"/>
          <w:sz w:val="24"/>
          <w:szCs w:val="24"/>
          <w:shd w:val="clear" w:color="auto" w:fill="FFFFFF"/>
        </w:rPr>
        <w:t>) and PNaSS grafted (</w:t>
      </w:r>
      <w:r w:rsidRPr="00B550B0">
        <w:rPr>
          <w:rFonts w:ascii="Times New Roman" w:hAnsi="Times New Roman"/>
          <w:b/>
          <w:color w:val="5B9BD5" w:themeColor="accent1"/>
          <w:sz w:val="24"/>
          <w:szCs w:val="24"/>
          <w:shd w:val="clear" w:color="auto" w:fill="FFFFFF"/>
        </w:rPr>
        <w:t>G</w:t>
      </w:r>
      <w:r w:rsidRPr="00B550B0">
        <w:rPr>
          <w:rFonts w:ascii="Times New Roman" w:hAnsi="Times New Roman"/>
          <w:color w:val="5B9BD5" w:themeColor="accent1"/>
          <w:sz w:val="24"/>
          <w:szCs w:val="24"/>
          <w:shd w:val="clear" w:color="auto" w:fill="FFFFFF"/>
        </w:rPr>
        <w:t>). Force Volume program was used with scanning area 500 nm × 500 nm (scan rate = 0.5 Hz).</w:t>
      </w:r>
    </w:p>
    <w:p w:rsidR="008A5DBE" w:rsidRDefault="008A5DBE">
      <w:bookmarkStart w:id="0" w:name="_GoBack"/>
      <w:bookmarkEnd w:id="0"/>
    </w:p>
    <w:sectPr w:rsidR="008A5DBE" w:rsidSect="00194440">
      <w:footerReference w:type="default" r:id="rId15"/>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6847510"/>
      <w:docPartObj>
        <w:docPartGallery w:val="Page Numbers (Bottom of Page)"/>
        <w:docPartUnique/>
      </w:docPartObj>
    </w:sdtPr>
    <w:sdtEndPr>
      <w:rPr>
        <w:rFonts w:ascii="Times New Roman" w:hAnsi="Times New Roman"/>
        <w:noProof/>
        <w:sz w:val="20"/>
        <w:szCs w:val="20"/>
      </w:rPr>
    </w:sdtEndPr>
    <w:sdtContent>
      <w:p w:rsidR="00401A44" w:rsidRPr="00194440" w:rsidRDefault="005A0F54">
        <w:pPr>
          <w:pStyle w:val="Footer"/>
          <w:jc w:val="right"/>
          <w:rPr>
            <w:rFonts w:ascii="Times New Roman" w:hAnsi="Times New Roman"/>
            <w:sz w:val="20"/>
            <w:szCs w:val="20"/>
          </w:rPr>
        </w:pPr>
        <w:r w:rsidRPr="00194440">
          <w:rPr>
            <w:rFonts w:ascii="Times New Roman" w:hAnsi="Times New Roman"/>
            <w:sz w:val="20"/>
            <w:szCs w:val="20"/>
          </w:rPr>
          <w:fldChar w:fldCharType="begin"/>
        </w:r>
        <w:r w:rsidRPr="00194440">
          <w:rPr>
            <w:rFonts w:ascii="Times New Roman" w:hAnsi="Times New Roman"/>
            <w:sz w:val="20"/>
            <w:szCs w:val="20"/>
          </w:rPr>
          <w:instrText xml:space="preserve"> PAGE   \* MERGEFORMAT </w:instrText>
        </w:r>
        <w:r w:rsidRPr="00194440">
          <w:rPr>
            <w:rFonts w:ascii="Times New Roman" w:hAnsi="Times New Roman"/>
            <w:sz w:val="20"/>
            <w:szCs w:val="20"/>
          </w:rPr>
          <w:fldChar w:fldCharType="separate"/>
        </w:r>
        <w:r>
          <w:rPr>
            <w:rFonts w:ascii="Times New Roman" w:hAnsi="Times New Roman"/>
            <w:noProof/>
            <w:sz w:val="20"/>
            <w:szCs w:val="20"/>
          </w:rPr>
          <w:t>4</w:t>
        </w:r>
        <w:r w:rsidRPr="00194440">
          <w:rPr>
            <w:rFonts w:ascii="Times New Roman" w:hAnsi="Times New Roman"/>
            <w:noProof/>
            <w:sz w:val="20"/>
            <w:szCs w:val="20"/>
          </w:rPr>
          <w:fldChar w:fldCharType="end"/>
        </w:r>
      </w:p>
    </w:sdtContent>
  </w:sdt>
  <w:p w:rsidR="00401A44" w:rsidRPr="00496EF5" w:rsidRDefault="005A0F54">
    <w:pPr>
      <w:pStyle w:val="Footer"/>
      <w:rPr>
        <w:rFonts w:ascii="Times New Roman" w:hAnsi="Times New Roman"/>
        <w:sz w:val="20"/>
        <w:szCs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F54"/>
    <w:rsid w:val="005A0F54"/>
    <w:rsid w:val="008A5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2BFD0B-9684-4073-A8B9-DF5B1CC73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0F54"/>
    <w:rPr>
      <w:rFonts w:ascii="Arial" w:eastAsia="Arial" w:hAnsi="Arial"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A0F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0F54"/>
    <w:rPr>
      <w:rFonts w:ascii="Arial" w:eastAsia="Arial" w:hAnsi="Arial" w:cs="Times New Roman"/>
    </w:rPr>
  </w:style>
  <w:style w:type="paragraph" w:styleId="Caption">
    <w:name w:val="caption"/>
    <w:basedOn w:val="Normal"/>
    <w:next w:val="Normal"/>
    <w:uiPriority w:val="35"/>
    <w:unhideWhenUsed/>
    <w:qFormat/>
    <w:rsid w:val="005A0F54"/>
    <w:pPr>
      <w:spacing w:after="200" w:line="240" w:lineRule="auto"/>
    </w:pPr>
    <w:rPr>
      <w:b/>
      <w:bCs/>
      <w:color w:val="5B9BD5"/>
      <w:sz w:val="18"/>
      <w:szCs w:val="18"/>
    </w:rPr>
  </w:style>
  <w:style w:type="character" w:styleId="LineNumber">
    <w:name w:val="line number"/>
    <w:basedOn w:val="DefaultParagraphFont"/>
    <w:uiPriority w:val="99"/>
    <w:semiHidden/>
    <w:unhideWhenUsed/>
    <w:rsid w:val="005A0F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hart" Target="charts/chart6.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chart" Target="charts/chart4.xml"/><Relationship Id="rId5" Type="http://schemas.openxmlformats.org/officeDocument/2006/relationships/image" Target="media/image2.png"/><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image" Target="media/image1.png"/><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labo%20chimie\Downloads\database%20TUAN\PET%20ligament.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labo%20chimie\Desktop\FV%20PET1993G.csv"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abo%20chimie\Desktop\FV%20PET1993G.csv"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abo%20chimie\Desktop\FV%20PET1993G.csv"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labo%20chimie\Desktop\FV%20PET1993G.csv"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labo%20chimie\Desktop\FV%20PET1993G.csv"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abo%20chimie\Desktop\FV%20PET1993G.csv"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74066101449549"/>
          <c:y val="4.2908301695249479E-2"/>
          <c:w val="0.78955342812364282"/>
          <c:h val="0.74071794478677988"/>
        </c:manualLayout>
      </c:layout>
      <c:scatterChart>
        <c:scatterStyle val="smoothMarker"/>
        <c:varyColors val="0"/>
        <c:ser>
          <c:idx val="0"/>
          <c:order val="0"/>
          <c:tx>
            <c:v>Temp. grafting PET liga 2018</c:v>
          </c:tx>
          <c:spPr>
            <a:ln w="15875">
              <a:noFill/>
            </a:ln>
          </c:spPr>
          <c:marker>
            <c:symbol val="circle"/>
            <c:size val="5"/>
            <c:spPr>
              <a:solidFill>
                <a:schemeClr val="tx1"/>
              </a:solidFill>
              <a:ln>
                <a:solidFill>
                  <a:schemeClr val="tx1"/>
                </a:solidFill>
              </a:ln>
            </c:spPr>
          </c:marker>
          <c:dPt>
            <c:idx val="2"/>
            <c:bubble3D val="0"/>
            <c:extLst>
              <c:ext xmlns:c16="http://schemas.microsoft.com/office/drawing/2014/chart" uri="{C3380CC4-5D6E-409C-BE32-E72D297353CC}">
                <c16:uniqueId val="{00000000-F030-4ACA-AAD7-5086E42D167D}"/>
              </c:ext>
            </c:extLst>
          </c:dPt>
          <c:trendline>
            <c:trendlineType val="poly"/>
            <c:order val="2"/>
            <c:dispRSqr val="1"/>
            <c:dispEq val="1"/>
            <c:trendlineLbl>
              <c:numFmt formatCode="General" sourceLinked="0"/>
            </c:trendlineLbl>
          </c:trendline>
          <c:errBars>
            <c:errDir val="y"/>
            <c:errBarType val="both"/>
            <c:errValType val="cust"/>
            <c:noEndCap val="0"/>
            <c:plus>
              <c:numRef>
                <c:f>'Temp. polymerization'!$E$15:$E$21</c:f>
                <c:numCache>
                  <c:formatCode>General</c:formatCode>
                  <c:ptCount val="7"/>
                  <c:pt idx="0">
                    <c:v>7.0000000000000001E-3</c:v>
                  </c:pt>
                  <c:pt idx="1">
                    <c:v>0.04</c:v>
                  </c:pt>
                  <c:pt idx="2">
                    <c:v>0.03</c:v>
                  </c:pt>
                  <c:pt idx="3">
                    <c:v>0.05</c:v>
                  </c:pt>
                  <c:pt idx="4">
                    <c:v>0.03</c:v>
                  </c:pt>
                  <c:pt idx="5">
                    <c:v>0.02</c:v>
                  </c:pt>
                  <c:pt idx="6">
                    <c:v>1.4999999999999999E-2</c:v>
                  </c:pt>
                </c:numCache>
              </c:numRef>
            </c:plus>
            <c:minus>
              <c:numRef>
                <c:f>'Temp. polymerization'!$E$15:$E$21</c:f>
                <c:numCache>
                  <c:formatCode>General</c:formatCode>
                  <c:ptCount val="7"/>
                  <c:pt idx="0">
                    <c:v>7.0000000000000001E-3</c:v>
                  </c:pt>
                  <c:pt idx="1">
                    <c:v>0.04</c:v>
                  </c:pt>
                  <c:pt idx="2">
                    <c:v>0.03</c:v>
                  </c:pt>
                  <c:pt idx="3">
                    <c:v>0.05</c:v>
                  </c:pt>
                  <c:pt idx="4">
                    <c:v>0.03</c:v>
                  </c:pt>
                  <c:pt idx="5">
                    <c:v>0.02</c:v>
                  </c:pt>
                  <c:pt idx="6">
                    <c:v>1.4999999999999999E-2</c:v>
                  </c:pt>
                </c:numCache>
              </c:numRef>
            </c:minus>
          </c:errBars>
          <c:xVal>
            <c:numRef>
              <c:f>'Temp. polymerization'!$C$15:$C$20</c:f>
              <c:numCache>
                <c:formatCode>General</c:formatCode>
                <c:ptCount val="6"/>
                <c:pt idx="0">
                  <c:v>25</c:v>
                </c:pt>
                <c:pt idx="1">
                  <c:v>65</c:v>
                </c:pt>
                <c:pt idx="2">
                  <c:v>70</c:v>
                </c:pt>
                <c:pt idx="3">
                  <c:v>80</c:v>
                </c:pt>
                <c:pt idx="4">
                  <c:v>100</c:v>
                </c:pt>
                <c:pt idx="5">
                  <c:v>130</c:v>
                </c:pt>
              </c:numCache>
            </c:numRef>
          </c:xVal>
          <c:yVal>
            <c:numRef>
              <c:f>'Temp. polymerization'!$D$15:$D$20</c:f>
              <c:numCache>
                <c:formatCode>General</c:formatCode>
                <c:ptCount val="6"/>
                <c:pt idx="0">
                  <c:v>0.56999999999999995</c:v>
                </c:pt>
                <c:pt idx="1">
                  <c:v>0.61</c:v>
                </c:pt>
                <c:pt idx="2">
                  <c:v>0.66</c:v>
                </c:pt>
                <c:pt idx="3">
                  <c:v>0.67</c:v>
                </c:pt>
                <c:pt idx="4">
                  <c:v>0.88</c:v>
                </c:pt>
                <c:pt idx="5">
                  <c:v>1.04</c:v>
                </c:pt>
              </c:numCache>
            </c:numRef>
          </c:yVal>
          <c:smooth val="1"/>
          <c:extLst>
            <c:ext xmlns:c16="http://schemas.microsoft.com/office/drawing/2014/chart" uri="{C3380CC4-5D6E-409C-BE32-E72D297353CC}">
              <c16:uniqueId val="{00000001-F030-4ACA-AAD7-5086E42D167D}"/>
            </c:ext>
          </c:extLst>
        </c:ser>
        <c:dLbls>
          <c:showLegendKey val="0"/>
          <c:showVal val="0"/>
          <c:showCatName val="0"/>
          <c:showSerName val="0"/>
          <c:showPercent val="0"/>
          <c:showBubbleSize val="0"/>
        </c:dLbls>
        <c:axId val="367070592"/>
        <c:axId val="367072768"/>
      </c:scatterChart>
      <c:valAx>
        <c:axId val="367070592"/>
        <c:scaling>
          <c:orientation val="minMax"/>
          <c:max val="140"/>
          <c:min val="0"/>
        </c:scaling>
        <c:delete val="0"/>
        <c:axPos val="b"/>
        <c:title>
          <c:tx>
            <c:rich>
              <a:bodyPr/>
              <a:lstStyle/>
              <a:p>
                <a:pPr>
                  <a:defRPr/>
                </a:pPr>
                <a:r>
                  <a:rPr lang="en-US"/>
                  <a:t>Grafting temperature (</a:t>
                </a:r>
                <a:r>
                  <a:rPr lang="en-US" baseline="30000"/>
                  <a:t>o</a:t>
                </a:r>
                <a:r>
                  <a:rPr lang="en-US"/>
                  <a:t>C)</a:t>
                </a:r>
              </a:p>
            </c:rich>
          </c:tx>
          <c:layout>
            <c:manualLayout>
              <c:xMode val="edge"/>
              <c:yMode val="edge"/>
              <c:x val="0.36689354508652522"/>
              <c:y val="0.92328042328042326"/>
            </c:manualLayout>
          </c:layout>
          <c:overlay val="0"/>
        </c:title>
        <c:numFmt formatCode="General" sourceLinked="1"/>
        <c:majorTickMark val="out"/>
        <c:minorTickMark val="none"/>
        <c:tickLblPos val="nextTo"/>
        <c:crossAx val="367072768"/>
        <c:crosses val="autoZero"/>
        <c:crossBetween val="midCat"/>
        <c:majorUnit val="25"/>
      </c:valAx>
      <c:valAx>
        <c:axId val="367072768"/>
        <c:scaling>
          <c:orientation val="minMax"/>
        </c:scaling>
        <c:delete val="0"/>
        <c:axPos val="l"/>
        <c:majorGridlines/>
        <c:title>
          <c:tx>
            <c:rich>
              <a:bodyPr rot="-5400000" vert="horz"/>
              <a:lstStyle/>
              <a:p>
                <a:pPr>
                  <a:defRPr/>
                </a:pPr>
                <a:r>
                  <a:rPr lang="en-US"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rPr>
                  <a:t>GR</a:t>
                </a:r>
                <a:r>
                  <a:rPr lang="en-US" baseline="0"/>
                  <a:t> </a:t>
                </a:r>
                <a:r>
                  <a:rPr lang="en-US"/>
                  <a:t>(</a:t>
                </a:r>
                <a:r>
                  <a:rPr lang="el-GR">
                    <a:latin typeface="Times New Roman"/>
                    <a:cs typeface="Times New Roman"/>
                  </a:rPr>
                  <a:t>μ</a:t>
                </a:r>
                <a:r>
                  <a:rPr lang="en-US"/>
                  <a:t>mol/g)</a:t>
                </a:r>
              </a:p>
            </c:rich>
          </c:tx>
          <c:layout>
            <c:manualLayout>
              <c:xMode val="edge"/>
              <c:yMode val="edge"/>
              <c:x val="0"/>
              <c:y val="0.24789710513471408"/>
            </c:manualLayout>
          </c:layout>
          <c:overlay val="0"/>
        </c:title>
        <c:numFmt formatCode="General" sourceLinked="1"/>
        <c:majorTickMark val="out"/>
        <c:minorTickMark val="none"/>
        <c:tickLblPos val="nextTo"/>
        <c:crossAx val="367070592"/>
        <c:crosses val="autoZero"/>
        <c:crossBetween val="midCat"/>
      </c:valAx>
    </c:plotArea>
    <c:plotVisOnly val="1"/>
    <c:dispBlanksAs val="gap"/>
    <c:showDLblsOverMax val="0"/>
  </c:chart>
  <c:spPr>
    <a:ln>
      <a:noFill/>
    </a:ln>
  </c:spPr>
  <c:txPr>
    <a:bodyPr/>
    <a:lstStyle/>
    <a:p>
      <a:pPr>
        <a:defRPr b="0">
          <a:latin typeface="Times New Roman" panose="02020603050405020304" pitchFamily="18" charset="0"/>
          <a:cs typeface="Times New Roman" panose="02020603050405020304" pitchFamily="18" charset="0"/>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457562874021387"/>
          <c:y val="4.7154782735491396E-2"/>
        </c:manualLayout>
      </c:layout>
      <c:overlay val="0"/>
      <c:spPr>
        <a:solidFill>
          <a:schemeClr val="bg1"/>
        </a:solidFill>
      </c:spPr>
      <c:txPr>
        <a:bodyPr/>
        <a:lstStyle/>
        <a:p>
          <a:pPr>
            <a:defRPr sz="1000"/>
          </a:pPr>
          <a:endParaRPr lang="en-US"/>
        </a:p>
      </c:txPr>
    </c:title>
    <c:autoTitleDeleted val="0"/>
    <c:plotArea>
      <c:layout>
        <c:manualLayout>
          <c:layoutTarget val="inner"/>
          <c:xMode val="edge"/>
          <c:yMode val="edge"/>
          <c:x val="0.21854564352500863"/>
          <c:y val="3.7669934115378438E-2"/>
          <c:w val="0.74368484721439765"/>
          <c:h val="0.69757833728793783"/>
        </c:manualLayout>
      </c:layout>
      <c:barChart>
        <c:barDir val="col"/>
        <c:grouping val="clustered"/>
        <c:varyColors val="0"/>
        <c:ser>
          <c:idx val="0"/>
          <c:order val="0"/>
          <c:tx>
            <c:v>PET1993G</c:v>
          </c:tx>
          <c:spPr>
            <a:solidFill>
              <a:schemeClr val="bg1">
                <a:lumMod val="75000"/>
              </a:schemeClr>
            </a:solidFill>
            <a:ln>
              <a:solidFill>
                <a:schemeClr val="tx1"/>
              </a:solidFill>
            </a:ln>
          </c:spPr>
          <c:invertIfNegative val="0"/>
          <c:cat>
            <c:numRef>
              <c:f>'FV PET1993G'!$A$25:$A$40</c:f>
              <c:numCache>
                <c:formatCode>0.00</c:formatCode>
                <c:ptCount val="16"/>
                <c:pt idx="0">
                  <c:v>37.574194720899996</c:v>
                </c:pt>
                <c:pt idx="1">
                  <c:v>39.481514249900002</c:v>
                </c:pt>
                <c:pt idx="2">
                  <c:v>41.3888337789</c:v>
                </c:pt>
                <c:pt idx="3">
                  <c:v>43.296153307899999</c:v>
                </c:pt>
                <c:pt idx="4">
                  <c:v>45.203472836800003</c:v>
                </c:pt>
                <c:pt idx="5">
                  <c:v>47.110792365800002</c:v>
                </c:pt>
                <c:pt idx="6">
                  <c:v>49.018111894800001</c:v>
                </c:pt>
                <c:pt idx="7">
                  <c:v>50.925431423799999</c:v>
                </c:pt>
                <c:pt idx="8">
                  <c:v>52.832750952799998</c:v>
                </c:pt>
                <c:pt idx="9">
                  <c:v>54.740070481700002</c:v>
                </c:pt>
                <c:pt idx="10">
                  <c:v>56.647390010700001</c:v>
                </c:pt>
                <c:pt idx="11">
                  <c:v>58.554709539699999</c:v>
                </c:pt>
                <c:pt idx="12">
                  <c:v>60.462029068699998</c:v>
                </c:pt>
                <c:pt idx="13">
                  <c:v>62.369348597699997</c:v>
                </c:pt>
                <c:pt idx="14">
                  <c:v>64.276668126600001</c:v>
                </c:pt>
                <c:pt idx="15">
                  <c:v>66.183987655599992</c:v>
                </c:pt>
              </c:numCache>
            </c:numRef>
          </c:cat>
          <c:val>
            <c:numRef>
              <c:f>'FV PET1993G'!$B$5:$B$20</c:f>
              <c:numCache>
                <c:formatCode>General</c:formatCode>
                <c:ptCount val="16"/>
                <c:pt idx="0">
                  <c:v>1</c:v>
                </c:pt>
                <c:pt idx="1">
                  <c:v>2</c:v>
                </c:pt>
                <c:pt idx="2">
                  <c:v>1</c:v>
                </c:pt>
                <c:pt idx="3">
                  <c:v>4</c:v>
                </c:pt>
                <c:pt idx="4">
                  <c:v>13</c:v>
                </c:pt>
                <c:pt idx="5">
                  <c:v>15</c:v>
                </c:pt>
                <c:pt idx="6">
                  <c:v>18</c:v>
                </c:pt>
                <c:pt idx="7">
                  <c:v>27</c:v>
                </c:pt>
                <c:pt idx="8">
                  <c:v>65</c:v>
                </c:pt>
                <c:pt idx="9">
                  <c:v>25</c:v>
                </c:pt>
                <c:pt idx="10">
                  <c:v>30</c:v>
                </c:pt>
                <c:pt idx="11">
                  <c:v>22</c:v>
                </c:pt>
                <c:pt idx="12">
                  <c:v>21</c:v>
                </c:pt>
                <c:pt idx="13">
                  <c:v>3</c:v>
                </c:pt>
                <c:pt idx="14">
                  <c:v>5</c:v>
                </c:pt>
                <c:pt idx="15">
                  <c:v>4</c:v>
                </c:pt>
              </c:numCache>
            </c:numRef>
          </c:val>
          <c:extLst>
            <c:ext xmlns:c16="http://schemas.microsoft.com/office/drawing/2014/chart" uri="{C3380CC4-5D6E-409C-BE32-E72D297353CC}">
              <c16:uniqueId val="{00000000-0BA3-460A-84CF-3C345E361666}"/>
            </c:ext>
          </c:extLst>
        </c:ser>
        <c:dLbls>
          <c:showLegendKey val="0"/>
          <c:showVal val="0"/>
          <c:showCatName val="0"/>
          <c:showSerName val="0"/>
          <c:showPercent val="0"/>
          <c:showBubbleSize val="0"/>
        </c:dLbls>
        <c:gapWidth val="0"/>
        <c:axId val="367097344"/>
        <c:axId val="367099264"/>
      </c:barChart>
      <c:catAx>
        <c:axId val="367097344"/>
        <c:scaling>
          <c:orientation val="minMax"/>
        </c:scaling>
        <c:delete val="0"/>
        <c:axPos val="b"/>
        <c:title>
          <c:tx>
            <c:rich>
              <a:bodyPr/>
              <a:lstStyle/>
              <a:p>
                <a:pPr>
                  <a:defRPr/>
                </a:pPr>
                <a:r>
                  <a:rPr lang="en-US"/>
                  <a:t>Young's modulus (MPa)</a:t>
                </a:r>
              </a:p>
            </c:rich>
          </c:tx>
          <c:layout>
            <c:manualLayout>
              <c:xMode val="edge"/>
              <c:yMode val="edge"/>
              <c:x val="0.31336354616816947"/>
              <c:y val="0.88811728395061729"/>
            </c:manualLayout>
          </c:layout>
          <c:overlay val="0"/>
        </c:title>
        <c:numFmt formatCode="00" sourceLinked="0"/>
        <c:majorTickMark val="out"/>
        <c:minorTickMark val="none"/>
        <c:tickLblPos val="nextTo"/>
        <c:crossAx val="367099264"/>
        <c:crosses val="autoZero"/>
        <c:auto val="1"/>
        <c:lblAlgn val="ctr"/>
        <c:lblOffset val="100"/>
        <c:tickLblSkip val="2"/>
        <c:tickMarkSkip val="1"/>
        <c:noMultiLvlLbl val="0"/>
      </c:catAx>
      <c:valAx>
        <c:axId val="367099264"/>
        <c:scaling>
          <c:orientation val="minMax"/>
        </c:scaling>
        <c:delete val="0"/>
        <c:axPos val="l"/>
        <c:majorGridlines/>
        <c:title>
          <c:tx>
            <c:rich>
              <a:bodyPr rot="-5400000" vert="horz"/>
              <a:lstStyle/>
              <a:p>
                <a:pPr>
                  <a:defRPr/>
                </a:pPr>
                <a:r>
                  <a:rPr lang="en-US"/>
                  <a:t>Count</a:t>
                </a:r>
              </a:p>
            </c:rich>
          </c:tx>
          <c:layout>
            <c:manualLayout>
              <c:xMode val="edge"/>
              <c:yMode val="edge"/>
              <c:x val="2.8611653571915165E-3"/>
              <c:y val="0.34171891707980945"/>
            </c:manualLayout>
          </c:layout>
          <c:overlay val="0"/>
        </c:title>
        <c:numFmt formatCode="General" sourceLinked="1"/>
        <c:majorTickMark val="out"/>
        <c:minorTickMark val="none"/>
        <c:tickLblPos val="nextTo"/>
        <c:crossAx val="367097344"/>
        <c:crosses val="autoZero"/>
        <c:crossBetween val="between"/>
      </c:valAx>
    </c:plotArea>
    <c:plotVisOnly val="1"/>
    <c:dispBlanksAs val="gap"/>
    <c:showDLblsOverMax val="0"/>
  </c:chart>
  <c:spPr>
    <a:ln>
      <a:noFill/>
    </a:ln>
  </c:spPr>
  <c:txPr>
    <a:bodyPr/>
    <a:lstStyle/>
    <a:p>
      <a:pPr>
        <a:defRPr sz="1000" b="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8456359523715815"/>
          <c:y val="8.4253079868192193E-2"/>
        </c:manualLayout>
      </c:layout>
      <c:overlay val="0"/>
      <c:spPr>
        <a:solidFill>
          <a:schemeClr val="bg1"/>
        </a:solidFill>
      </c:spPr>
      <c:txPr>
        <a:bodyPr/>
        <a:lstStyle/>
        <a:p>
          <a:pPr>
            <a:defRPr sz="1000"/>
          </a:pPr>
          <a:endParaRPr lang="en-US"/>
        </a:p>
      </c:txPr>
    </c:title>
    <c:autoTitleDeleted val="0"/>
    <c:plotArea>
      <c:layout>
        <c:manualLayout>
          <c:layoutTarget val="inner"/>
          <c:xMode val="edge"/>
          <c:yMode val="edge"/>
          <c:x val="0.19016039661708953"/>
          <c:y val="6.5471473960491786E-2"/>
          <c:w val="0.77912822008360061"/>
          <c:h val="0.70488796795137454"/>
        </c:manualLayout>
      </c:layout>
      <c:barChart>
        <c:barDir val="col"/>
        <c:grouping val="clustered"/>
        <c:varyColors val="0"/>
        <c:ser>
          <c:idx val="1"/>
          <c:order val="0"/>
          <c:tx>
            <c:v>PET1993NG</c:v>
          </c:tx>
          <c:spPr>
            <a:solidFill>
              <a:schemeClr val="bg1">
                <a:lumMod val="75000"/>
              </a:schemeClr>
            </a:solidFill>
            <a:ln>
              <a:solidFill>
                <a:schemeClr val="tx1"/>
              </a:solidFill>
            </a:ln>
          </c:spPr>
          <c:invertIfNegative val="0"/>
          <c:cat>
            <c:numRef>
              <c:f>'FV PET1993G'!$C$25:$C$40</c:f>
              <c:numCache>
                <c:formatCode>0.00</c:formatCode>
                <c:ptCount val="16"/>
                <c:pt idx="0">
                  <c:v>39.100050344099998</c:v>
                </c:pt>
                <c:pt idx="1">
                  <c:v>41.007369873099996</c:v>
                </c:pt>
                <c:pt idx="2">
                  <c:v>42.914689402099995</c:v>
                </c:pt>
                <c:pt idx="3">
                  <c:v>44.822008930999999</c:v>
                </c:pt>
                <c:pt idx="4">
                  <c:v>46.729328459999998</c:v>
                </c:pt>
                <c:pt idx="5">
                  <c:v>48.636647988999997</c:v>
                </c:pt>
                <c:pt idx="6">
                  <c:v>50.543967518000002</c:v>
                </c:pt>
                <c:pt idx="7">
                  <c:v>52.451287047000001</c:v>
                </c:pt>
                <c:pt idx="8">
                  <c:v>54.358606575900005</c:v>
                </c:pt>
                <c:pt idx="9">
                  <c:v>56.265926104900004</c:v>
                </c:pt>
                <c:pt idx="10">
                  <c:v>58.173245633900002</c:v>
                </c:pt>
                <c:pt idx="11">
                  <c:v>60.080565162900001</c:v>
                </c:pt>
                <c:pt idx="12">
                  <c:v>61.9878846919</c:v>
                </c:pt>
                <c:pt idx="13">
                  <c:v>63.895204220799997</c:v>
                </c:pt>
                <c:pt idx="14">
                  <c:v>65.802523749800002</c:v>
                </c:pt>
                <c:pt idx="15">
                  <c:v>67.709843278799994</c:v>
                </c:pt>
              </c:numCache>
            </c:numRef>
          </c:cat>
          <c:val>
            <c:numRef>
              <c:f>'FV PET1993G'!$D$25:$D$40</c:f>
              <c:numCache>
                <c:formatCode>0.00</c:formatCode>
                <c:ptCount val="16"/>
                <c:pt idx="0">
                  <c:v>1</c:v>
                </c:pt>
                <c:pt idx="1">
                  <c:v>1</c:v>
                </c:pt>
                <c:pt idx="2">
                  <c:v>1</c:v>
                </c:pt>
                <c:pt idx="3">
                  <c:v>2</c:v>
                </c:pt>
                <c:pt idx="4">
                  <c:v>33</c:v>
                </c:pt>
                <c:pt idx="5">
                  <c:v>26</c:v>
                </c:pt>
                <c:pt idx="6">
                  <c:v>32</c:v>
                </c:pt>
                <c:pt idx="7">
                  <c:v>55</c:v>
                </c:pt>
                <c:pt idx="8">
                  <c:v>76</c:v>
                </c:pt>
                <c:pt idx="9">
                  <c:v>17</c:v>
                </c:pt>
                <c:pt idx="10">
                  <c:v>2</c:v>
                </c:pt>
                <c:pt idx="11">
                  <c:v>4</c:v>
                </c:pt>
                <c:pt idx="12">
                  <c:v>4</c:v>
                </c:pt>
                <c:pt idx="13">
                  <c:v>1</c:v>
                </c:pt>
                <c:pt idx="14">
                  <c:v>0</c:v>
                </c:pt>
                <c:pt idx="15">
                  <c:v>1</c:v>
                </c:pt>
              </c:numCache>
            </c:numRef>
          </c:val>
          <c:extLst>
            <c:ext xmlns:c16="http://schemas.microsoft.com/office/drawing/2014/chart" uri="{C3380CC4-5D6E-409C-BE32-E72D297353CC}">
              <c16:uniqueId val="{00000000-BC33-47BE-AC39-A2B26368A760}"/>
            </c:ext>
          </c:extLst>
        </c:ser>
        <c:dLbls>
          <c:showLegendKey val="0"/>
          <c:showVal val="0"/>
          <c:showCatName val="0"/>
          <c:showSerName val="0"/>
          <c:showPercent val="0"/>
          <c:showBubbleSize val="0"/>
        </c:dLbls>
        <c:gapWidth val="0"/>
        <c:axId val="367124480"/>
        <c:axId val="367126400"/>
      </c:barChart>
      <c:catAx>
        <c:axId val="367124480"/>
        <c:scaling>
          <c:orientation val="minMax"/>
        </c:scaling>
        <c:delete val="0"/>
        <c:axPos val="b"/>
        <c:title>
          <c:tx>
            <c:rich>
              <a:bodyPr/>
              <a:lstStyle/>
              <a:p>
                <a:pPr>
                  <a:defRPr/>
                </a:pPr>
                <a:r>
                  <a:rPr lang="en-US"/>
                  <a:t>Young's modulus (MPa)</a:t>
                </a:r>
              </a:p>
            </c:rich>
          </c:tx>
          <c:layout>
            <c:manualLayout>
              <c:xMode val="edge"/>
              <c:yMode val="edge"/>
              <c:x val="0.38694094488188979"/>
              <c:y val="0.93287037037037035"/>
            </c:manualLayout>
          </c:layout>
          <c:overlay val="0"/>
        </c:title>
        <c:numFmt formatCode="#,##0;\-#,##0" sourceLinked="0"/>
        <c:majorTickMark val="out"/>
        <c:minorTickMark val="none"/>
        <c:tickLblPos val="nextTo"/>
        <c:crossAx val="367126400"/>
        <c:crosses val="autoZero"/>
        <c:auto val="1"/>
        <c:lblAlgn val="ctr"/>
        <c:lblOffset val="100"/>
        <c:noMultiLvlLbl val="0"/>
      </c:catAx>
      <c:valAx>
        <c:axId val="367126400"/>
        <c:scaling>
          <c:orientation val="minMax"/>
        </c:scaling>
        <c:delete val="0"/>
        <c:axPos val="l"/>
        <c:majorGridlines/>
        <c:title>
          <c:tx>
            <c:rich>
              <a:bodyPr rot="-5400000" vert="horz"/>
              <a:lstStyle/>
              <a:p>
                <a:pPr>
                  <a:defRPr/>
                </a:pPr>
                <a:r>
                  <a:rPr lang="en-US"/>
                  <a:t>Count</a:t>
                </a:r>
              </a:p>
            </c:rich>
          </c:tx>
          <c:layout>
            <c:manualLayout>
              <c:xMode val="edge"/>
              <c:yMode val="edge"/>
              <c:x val="2.7777442489519215E-3"/>
              <c:y val="0.2826240650554519"/>
            </c:manualLayout>
          </c:layout>
          <c:overlay val="0"/>
        </c:title>
        <c:numFmt formatCode="#,##0;\-#,##0" sourceLinked="0"/>
        <c:majorTickMark val="out"/>
        <c:minorTickMark val="none"/>
        <c:tickLblPos val="nextTo"/>
        <c:crossAx val="367124480"/>
        <c:crosses val="autoZero"/>
        <c:crossBetween val="between"/>
      </c:valAx>
    </c:plotArea>
    <c:plotVisOnly val="1"/>
    <c:dispBlanksAs val="gap"/>
    <c:showDLblsOverMax val="0"/>
  </c:chart>
  <c:spPr>
    <a:ln>
      <a:noFill/>
    </a:ln>
  </c:spPr>
  <c:txPr>
    <a:bodyPr/>
    <a:lstStyle/>
    <a:p>
      <a:pPr>
        <a:defRPr b="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52502483058479787"/>
          <c:y val="7.4546980145477587E-2"/>
        </c:manualLayout>
      </c:layout>
      <c:overlay val="0"/>
      <c:spPr>
        <a:solidFill>
          <a:schemeClr val="bg1"/>
        </a:solidFill>
      </c:spPr>
      <c:txPr>
        <a:bodyPr/>
        <a:lstStyle/>
        <a:p>
          <a:pPr>
            <a:defRPr sz="1000"/>
          </a:pPr>
          <a:endParaRPr lang="en-US"/>
        </a:p>
      </c:txPr>
    </c:title>
    <c:autoTitleDeleted val="0"/>
    <c:plotArea>
      <c:layout>
        <c:manualLayout>
          <c:layoutTarget val="inner"/>
          <c:xMode val="edge"/>
          <c:yMode val="edge"/>
          <c:x val="0.22029694832691635"/>
          <c:y val="5.4643975954618569E-2"/>
          <c:w val="0.73808128983634302"/>
          <c:h val="0.70624333248666493"/>
        </c:manualLayout>
      </c:layout>
      <c:barChart>
        <c:barDir val="col"/>
        <c:grouping val="clustered"/>
        <c:varyColors val="0"/>
        <c:ser>
          <c:idx val="0"/>
          <c:order val="0"/>
          <c:tx>
            <c:v>PET2009NG</c:v>
          </c:tx>
          <c:spPr>
            <a:solidFill>
              <a:schemeClr val="bg1">
                <a:lumMod val="75000"/>
              </a:schemeClr>
            </a:solidFill>
            <a:ln>
              <a:solidFill>
                <a:schemeClr val="tx1"/>
              </a:solidFill>
            </a:ln>
          </c:spPr>
          <c:invertIfNegative val="0"/>
          <c:cat>
            <c:numRef>
              <c:f>'FV PET1993G'!$E$25:$E$40</c:f>
              <c:numCache>
                <c:formatCode>0.00</c:formatCode>
                <c:ptCount val="16"/>
                <c:pt idx="0">
                  <c:v>52.785067964500001</c:v>
                </c:pt>
                <c:pt idx="1">
                  <c:v>54.597021517099996</c:v>
                </c:pt>
                <c:pt idx="2">
                  <c:v>56.408975069600004</c:v>
                </c:pt>
                <c:pt idx="3">
                  <c:v>58.220928622100004</c:v>
                </c:pt>
                <c:pt idx="4">
                  <c:v>60.032882174699999</c:v>
                </c:pt>
                <c:pt idx="5">
                  <c:v>61.8448357272</c:v>
                </c:pt>
                <c:pt idx="6">
                  <c:v>63.656789279700007</c:v>
                </c:pt>
                <c:pt idx="7">
                  <c:v>65.468742832199993</c:v>
                </c:pt>
                <c:pt idx="8">
                  <c:v>67.280696384799995</c:v>
                </c:pt>
                <c:pt idx="9">
                  <c:v>69.092649937299996</c:v>
                </c:pt>
                <c:pt idx="10">
                  <c:v>70.90460348980001</c:v>
                </c:pt>
                <c:pt idx="11">
                  <c:v>72.716557042399998</c:v>
                </c:pt>
                <c:pt idx="12">
                  <c:v>74.528510594899998</c:v>
                </c:pt>
                <c:pt idx="13">
                  <c:v>76.340464147400013</c:v>
                </c:pt>
                <c:pt idx="14">
                  <c:v>78.152417700000001</c:v>
                </c:pt>
                <c:pt idx="15">
                  <c:v>79.964371252500001</c:v>
                </c:pt>
              </c:numCache>
            </c:numRef>
          </c:cat>
          <c:val>
            <c:numRef>
              <c:f>'FV PET1993G'!$F$25:$F$40</c:f>
              <c:numCache>
                <c:formatCode>General</c:formatCode>
                <c:ptCount val="16"/>
                <c:pt idx="0">
                  <c:v>2</c:v>
                </c:pt>
                <c:pt idx="1">
                  <c:v>5</c:v>
                </c:pt>
                <c:pt idx="2">
                  <c:v>19</c:v>
                </c:pt>
                <c:pt idx="3">
                  <c:v>50</c:v>
                </c:pt>
                <c:pt idx="4">
                  <c:v>49</c:v>
                </c:pt>
                <c:pt idx="5">
                  <c:v>84</c:v>
                </c:pt>
                <c:pt idx="6">
                  <c:v>31</c:v>
                </c:pt>
                <c:pt idx="7">
                  <c:v>10</c:v>
                </c:pt>
                <c:pt idx="8">
                  <c:v>3</c:v>
                </c:pt>
                <c:pt idx="9">
                  <c:v>2</c:v>
                </c:pt>
                <c:pt idx="10">
                  <c:v>0</c:v>
                </c:pt>
                <c:pt idx="11">
                  <c:v>0</c:v>
                </c:pt>
                <c:pt idx="12">
                  <c:v>0</c:v>
                </c:pt>
                <c:pt idx="13">
                  <c:v>0</c:v>
                </c:pt>
                <c:pt idx="14">
                  <c:v>0</c:v>
                </c:pt>
                <c:pt idx="15">
                  <c:v>1</c:v>
                </c:pt>
              </c:numCache>
            </c:numRef>
          </c:val>
          <c:extLst>
            <c:ext xmlns:c16="http://schemas.microsoft.com/office/drawing/2014/chart" uri="{C3380CC4-5D6E-409C-BE32-E72D297353CC}">
              <c16:uniqueId val="{00000000-4567-4383-996A-8F9618D60929}"/>
            </c:ext>
          </c:extLst>
        </c:ser>
        <c:dLbls>
          <c:showLegendKey val="0"/>
          <c:showVal val="0"/>
          <c:showCatName val="0"/>
          <c:showSerName val="0"/>
          <c:showPercent val="0"/>
          <c:showBubbleSize val="0"/>
        </c:dLbls>
        <c:gapWidth val="0"/>
        <c:axId val="367429888"/>
        <c:axId val="367432064"/>
      </c:barChart>
      <c:catAx>
        <c:axId val="367429888"/>
        <c:scaling>
          <c:orientation val="minMax"/>
        </c:scaling>
        <c:delete val="0"/>
        <c:axPos val="b"/>
        <c:title>
          <c:tx>
            <c:rich>
              <a:bodyPr/>
              <a:lstStyle/>
              <a:p>
                <a:pPr>
                  <a:defRPr/>
                </a:pPr>
                <a:r>
                  <a:rPr lang="en-US"/>
                  <a:t>Young's modulus (MPa)</a:t>
                </a:r>
              </a:p>
            </c:rich>
          </c:tx>
          <c:layout>
            <c:manualLayout>
              <c:xMode val="edge"/>
              <c:yMode val="edge"/>
              <c:x val="0.33162253294850597"/>
              <c:y val="0.89605734767025091"/>
            </c:manualLayout>
          </c:layout>
          <c:overlay val="0"/>
        </c:title>
        <c:numFmt formatCode="#,##0;\-#,##0" sourceLinked="0"/>
        <c:majorTickMark val="out"/>
        <c:minorTickMark val="none"/>
        <c:tickLblPos val="nextTo"/>
        <c:crossAx val="367432064"/>
        <c:crosses val="autoZero"/>
        <c:auto val="1"/>
        <c:lblAlgn val="ctr"/>
        <c:lblOffset val="100"/>
        <c:tickLblSkip val="2"/>
        <c:noMultiLvlLbl val="0"/>
      </c:catAx>
      <c:valAx>
        <c:axId val="367432064"/>
        <c:scaling>
          <c:orientation val="minMax"/>
        </c:scaling>
        <c:delete val="0"/>
        <c:axPos val="l"/>
        <c:majorGridlines/>
        <c:title>
          <c:tx>
            <c:rich>
              <a:bodyPr rot="-5400000" vert="horz"/>
              <a:lstStyle/>
              <a:p>
                <a:pPr>
                  <a:defRPr/>
                </a:pPr>
                <a:r>
                  <a:rPr lang="en-US"/>
                  <a:t>Count</a:t>
                </a:r>
              </a:p>
            </c:rich>
          </c:tx>
          <c:layout>
            <c:manualLayout>
              <c:xMode val="edge"/>
              <c:yMode val="edge"/>
              <c:x val="2.7779383240357784E-3"/>
              <c:y val="0.33446562828199755"/>
            </c:manualLayout>
          </c:layout>
          <c:overlay val="0"/>
        </c:title>
        <c:numFmt formatCode="General" sourceLinked="1"/>
        <c:majorTickMark val="out"/>
        <c:minorTickMark val="none"/>
        <c:tickLblPos val="nextTo"/>
        <c:crossAx val="367429888"/>
        <c:crosses val="autoZero"/>
        <c:crossBetween val="between"/>
      </c:valAx>
    </c:plotArea>
    <c:plotVisOnly val="1"/>
    <c:dispBlanksAs val="gap"/>
    <c:showDLblsOverMax val="0"/>
  </c:chart>
  <c:spPr>
    <a:ln>
      <a:noFill/>
    </a:ln>
  </c:spPr>
  <c:txPr>
    <a:bodyPr/>
    <a:lstStyle/>
    <a:p>
      <a:pPr>
        <a:defRPr b="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1900538895991456"/>
          <c:y val="6.2934335042982001E-2"/>
        </c:manualLayout>
      </c:layout>
      <c:overlay val="0"/>
      <c:spPr>
        <a:solidFill>
          <a:schemeClr val="bg1"/>
        </a:solidFill>
      </c:spPr>
      <c:txPr>
        <a:bodyPr/>
        <a:lstStyle/>
        <a:p>
          <a:pPr>
            <a:defRPr sz="1000"/>
          </a:pPr>
          <a:endParaRPr lang="en-US"/>
        </a:p>
      </c:txPr>
    </c:title>
    <c:autoTitleDeleted val="0"/>
    <c:plotArea>
      <c:layout>
        <c:manualLayout>
          <c:layoutTarget val="inner"/>
          <c:xMode val="edge"/>
          <c:yMode val="edge"/>
          <c:x val="0.20925295246650474"/>
          <c:y val="5.9645057321202732E-2"/>
          <c:w val="0.74948110165044113"/>
          <c:h val="0.69360042429929425"/>
        </c:manualLayout>
      </c:layout>
      <c:barChart>
        <c:barDir val="col"/>
        <c:grouping val="clustered"/>
        <c:varyColors val="0"/>
        <c:ser>
          <c:idx val="0"/>
          <c:order val="0"/>
          <c:tx>
            <c:v>PET2009G</c:v>
          </c:tx>
          <c:spPr>
            <a:solidFill>
              <a:schemeClr val="bg1">
                <a:lumMod val="75000"/>
              </a:schemeClr>
            </a:solidFill>
            <a:ln>
              <a:solidFill>
                <a:schemeClr val="tx1"/>
              </a:solidFill>
            </a:ln>
          </c:spPr>
          <c:invertIfNegative val="0"/>
          <c:cat>
            <c:numRef>
              <c:f>'FV PET1993G'!$G$25:$G$40</c:f>
              <c:numCache>
                <c:formatCode>0.00</c:formatCode>
                <c:ptCount val="16"/>
                <c:pt idx="0">
                  <c:v>50.782382459099999</c:v>
                </c:pt>
                <c:pt idx="1">
                  <c:v>51.640676247100004</c:v>
                </c:pt>
                <c:pt idx="2">
                  <c:v>52.498970035200003</c:v>
                </c:pt>
                <c:pt idx="3">
                  <c:v>53.3572638232</c:v>
                </c:pt>
                <c:pt idx="4">
                  <c:v>54.2155576113</c:v>
                </c:pt>
                <c:pt idx="5">
                  <c:v>55.073851399300004</c:v>
                </c:pt>
                <c:pt idx="6">
                  <c:v>55.932145187299994</c:v>
                </c:pt>
                <c:pt idx="7">
                  <c:v>56.790438975400001</c:v>
                </c:pt>
                <c:pt idx="8">
                  <c:v>57.648732763400005</c:v>
                </c:pt>
                <c:pt idx="9">
                  <c:v>58.507026551499997</c:v>
                </c:pt>
                <c:pt idx="10">
                  <c:v>59.365320339500002</c:v>
                </c:pt>
                <c:pt idx="11">
                  <c:v>60.223614127600001</c:v>
                </c:pt>
                <c:pt idx="12">
                  <c:v>61.081907915599999</c:v>
                </c:pt>
                <c:pt idx="13">
                  <c:v>61.940201703599996</c:v>
                </c:pt>
                <c:pt idx="14">
                  <c:v>62.798495491700002</c:v>
                </c:pt>
                <c:pt idx="15">
                  <c:v>63.656789279700007</c:v>
                </c:pt>
              </c:numCache>
            </c:numRef>
          </c:cat>
          <c:val>
            <c:numRef>
              <c:f>'FV PET1993G'!$H$25:$H$40</c:f>
              <c:numCache>
                <c:formatCode>General</c:formatCode>
                <c:ptCount val="16"/>
                <c:pt idx="0">
                  <c:v>1</c:v>
                </c:pt>
                <c:pt idx="1">
                  <c:v>14</c:v>
                </c:pt>
                <c:pt idx="2">
                  <c:v>0</c:v>
                </c:pt>
                <c:pt idx="3">
                  <c:v>44</c:v>
                </c:pt>
                <c:pt idx="4">
                  <c:v>0</c:v>
                </c:pt>
                <c:pt idx="5">
                  <c:v>59</c:v>
                </c:pt>
                <c:pt idx="6">
                  <c:v>0</c:v>
                </c:pt>
                <c:pt idx="7">
                  <c:v>54</c:v>
                </c:pt>
                <c:pt idx="8">
                  <c:v>40</c:v>
                </c:pt>
                <c:pt idx="9">
                  <c:v>0</c:v>
                </c:pt>
                <c:pt idx="10">
                  <c:v>30</c:v>
                </c:pt>
                <c:pt idx="11">
                  <c:v>0</c:v>
                </c:pt>
                <c:pt idx="12">
                  <c:v>10</c:v>
                </c:pt>
                <c:pt idx="13">
                  <c:v>0</c:v>
                </c:pt>
                <c:pt idx="14">
                  <c:v>3</c:v>
                </c:pt>
                <c:pt idx="15">
                  <c:v>1</c:v>
                </c:pt>
              </c:numCache>
            </c:numRef>
          </c:val>
          <c:extLst>
            <c:ext xmlns:c16="http://schemas.microsoft.com/office/drawing/2014/chart" uri="{C3380CC4-5D6E-409C-BE32-E72D297353CC}">
              <c16:uniqueId val="{00000000-2607-4F9D-A55C-FD6B4FFF38F4}"/>
            </c:ext>
          </c:extLst>
        </c:ser>
        <c:dLbls>
          <c:showLegendKey val="0"/>
          <c:showVal val="0"/>
          <c:showCatName val="0"/>
          <c:showSerName val="0"/>
          <c:showPercent val="0"/>
          <c:showBubbleSize val="0"/>
        </c:dLbls>
        <c:gapWidth val="9"/>
        <c:axId val="367452928"/>
        <c:axId val="367454848"/>
      </c:barChart>
      <c:catAx>
        <c:axId val="367452928"/>
        <c:scaling>
          <c:orientation val="minMax"/>
        </c:scaling>
        <c:delete val="0"/>
        <c:axPos val="b"/>
        <c:title>
          <c:tx>
            <c:rich>
              <a:bodyPr/>
              <a:lstStyle/>
              <a:p>
                <a:pPr>
                  <a:defRPr/>
                </a:pPr>
                <a:r>
                  <a:rPr lang="en-US"/>
                  <a:t>Young's modulus (MPa)</a:t>
                </a:r>
              </a:p>
            </c:rich>
          </c:tx>
          <c:layout>
            <c:manualLayout>
              <c:xMode val="edge"/>
              <c:yMode val="edge"/>
              <c:x val="0.30233290409685792"/>
              <c:y val="0.89622914108213536"/>
            </c:manualLayout>
          </c:layout>
          <c:overlay val="0"/>
        </c:title>
        <c:numFmt formatCode="#,##0;\-#,##0" sourceLinked="0"/>
        <c:majorTickMark val="out"/>
        <c:minorTickMark val="none"/>
        <c:tickLblPos val="nextTo"/>
        <c:crossAx val="367454848"/>
        <c:crosses val="autoZero"/>
        <c:auto val="1"/>
        <c:lblAlgn val="ctr"/>
        <c:lblOffset val="100"/>
        <c:tickLblSkip val="2"/>
        <c:noMultiLvlLbl val="0"/>
      </c:catAx>
      <c:valAx>
        <c:axId val="367454848"/>
        <c:scaling>
          <c:orientation val="minMax"/>
        </c:scaling>
        <c:delete val="0"/>
        <c:axPos val="l"/>
        <c:majorGridlines/>
        <c:title>
          <c:tx>
            <c:rich>
              <a:bodyPr rot="-5400000" vert="horz"/>
              <a:lstStyle/>
              <a:p>
                <a:pPr>
                  <a:defRPr/>
                </a:pPr>
                <a:r>
                  <a:rPr lang="en-US"/>
                  <a:t>Count</a:t>
                </a:r>
              </a:p>
            </c:rich>
          </c:tx>
          <c:layout>
            <c:manualLayout>
              <c:xMode val="edge"/>
              <c:yMode val="edge"/>
              <c:x val="2.7779383240357784E-3"/>
              <c:y val="0.32765407676192909"/>
            </c:manualLayout>
          </c:layout>
          <c:overlay val="0"/>
        </c:title>
        <c:numFmt formatCode="General" sourceLinked="1"/>
        <c:majorTickMark val="out"/>
        <c:minorTickMark val="none"/>
        <c:tickLblPos val="nextTo"/>
        <c:crossAx val="367452928"/>
        <c:crosses val="autoZero"/>
        <c:crossBetween val="between"/>
      </c:valAx>
    </c:plotArea>
    <c:plotVisOnly val="1"/>
    <c:dispBlanksAs val="gap"/>
    <c:showDLblsOverMax val="0"/>
  </c:chart>
  <c:spPr>
    <a:ln>
      <a:noFill/>
    </a:ln>
  </c:spPr>
  <c:txPr>
    <a:bodyPr/>
    <a:lstStyle/>
    <a:p>
      <a:pPr>
        <a:defRPr sz="1000" b="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59330400425925411"/>
          <c:y val="0.11113162578815577"/>
        </c:manualLayout>
      </c:layout>
      <c:overlay val="0"/>
      <c:spPr>
        <a:solidFill>
          <a:schemeClr val="bg1"/>
        </a:solidFill>
      </c:spPr>
      <c:txPr>
        <a:bodyPr/>
        <a:lstStyle/>
        <a:p>
          <a:pPr>
            <a:defRPr sz="1000"/>
          </a:pPr>
          <a:endParaRPr lang="en-US"/>
        </a:p>
      </c:txPr>
    </c:title>
    <c:autoTitleDeleted val="0"/>
    <c:plotArea>
      <c:layout>
        <c:manualLayout>
          <c:layoutTarget val="inner"/>
          <c:xMode val="edge"/>
          <c:yMode val="edge"/>
          <c:x val="0.21546835460621819"/>
          <c:y val="6.3423423423423428E-2"/>
          <c:w val="0.73547766621739397"/>
          <c:h val="0.67700872526069378"/>
        </c:manualLayout>
      </c:layout>
      <c:barChart>
        <c:barDir val="col"/>
        <c:grouping val="clustered"/>
        <c:varyColors val="0"/>
        <c:ser>
          <c:idx val="0"/>
          <c:order val="0"/>
          <c:tx>
            <c:v>PET2018NG</c:v>
          </c:tx>
          <c:spPr>
            <a:pattFill prst="ltDnDiag">
              <a:fgClr>
                <a:schemeClr val="bg1">
                  <a:lumMod val="75000"/>
                </a:schemeClr>
              </a:fgClr>
              <a:bgClr>
                <a:schemeClr val="bg1"/>
              </a:bgClr>
            </a:pattFill>
            <a:ln>
              <a:solidFill>
                <a:schemeClr val="tx1"/>
              </a:solidFill>
            </a:ln>
          </c:spPr>
          <c:invertIfNegative val="0"/>
          <c:cat>
            <c:numRef>
              <c:f>'FV PET1993G'!$I$25:$I$40</c:f>
              <c:numCache>
                <c:formatCode>General</c:formatCode>
                <c:ptCount val="16"/>
                <c:pt idx="0">
                  <c:v>1.2649343116197</c:v>
                </c:pt>
                <c:pt idx="1">
                  <c:v>1.4144681626918001</c:v>
                </c:pt>
                <c:pt idx="2">
                  <c:v>1.5640020137638</c:v>
                </c:pt>
                <c:pt idx="3">
                  <c:v>1.7135358648359</c:v>
                </c:pt>
                <c:pt idx="4">
                  <c:v>1.8630697159079002</c:v>
                </c:pt>
                <c:pt idx="5">
                  <c:v>2.0126035669800002</c:v>
                </c:pt>
                <c:pt idx="6">
                  <c:v>2.1621374180520001</c:v>
                </c:pt>
                <c:pt idx="7">
                  <c:v>2.3116712691241004</c:v>
                </c:pt>
                <c:pt idx="8">
                  <c:v>2.4612051201961003</c:v>
                </c:pt>
                <c:pt idx="9">
                  <c:v>2.6107389712682001</c:v>
                </c:pt>
                <c:pt idx="10">
                  <c:v>2.7602728223402</c:v>
                </c:pt>
                <c:pt idx="11">
                  <c:v>2.9098066734123003</c:v>
                </c:pt>
                <c:pt idx="12">
                  <c:v>3.0593405244843002</c:v>
                </c:pt>
                <c:pt idx="13">
                  <c:v>3.2088743755564</c:v>
                </c:pt>
                <c:pt idx="14">
                  <c:v>3.3584082266283999</c:v>
                </c:pt>
                <c:pt idx="15">
                  <c:v>3.5079420777005001</c:v>
                </c:pt>
              </c:numCache>
            </c:numRef>
          </c:cat>
          <c:val>
            <c:numRef>
              <c:f>'FV PET1993G'!$J$25:$J$40</c:f>
              <c:numCache>
                <c:formatCode>General</c:formatCode>
                <c:ptCount val="16"/>
                <c:pt idx="0">
                  <c:v>8</c:v>
                </c:pt>
                <c:pt idx="1">
                  <c:v>24</c:v>
                </c:pt>
                <c:pt idx="2">
                  <c:v>44</c:v>
                </c:pt>
                <c:pt idx="3">
                  <c:v>43</c:v>
                </c:pt>
                <c:pt idx="4">
                  <c:v>46</c:v>
                </c:pt>
                <c:pt idx="5">
                  <c:v>29</c:v>
                </c:pt>
                <c:pt idx="6">
                  <c:v>29</c:v>
                </c:pt>
                <c:pt idx="7">
                  <c:v>8</c:v>
                </c:pt>
                <c:pt idx="8">
                  <c:v>7</c:v>
                </c:pt>
                <c:pt idx="9">
                  <c:v>9</c:v>
                </c:pt>
                <c:pt idx="10">
                  <c:v>3</c:v>
                </c:pt>
                <c:pt idx="11">
                  <c:v>2</c:v>
                </c:pt>
                <c:pt idx="12">
                  <c:v>1</c:v>
                </c:pt>
                <c:pt idx="13">
                  <c:v>1</c:v>
                </c:pt>
                <c:pt idx="14">
                  <c:v>0</c:v>
                </c:pt>
                <c:pt idx="15">
                  <c:v>2</c:v>
                </c:pt>
              </c:numCache>
            </c:numRef>
          </c:val>
          <c:extLst>
            <c:ext xmlns:c16="http://schemas.microsoft.com/office/drawing/2014/chart" uri="{C3380CC4-5D6E-409C-BE32-E72D297353CC}">
              <c16:uniqueId val="{00000000-7973-449E-BC08-3B702DB746F3}"/>
            </c:ext>
          </c:extLst>
        </c:ser>
        <c:dLbls>
          <c:showLegendKey val="0"/>
          <c:showVal val="0"/>
          <c:showCatName val="0"/>
          <c:showSerName val="0"/>
          <c:showPercent val="0"/>
          <c:showBubbleSize val="0"/>
        </c:dLbls>
        <c:gapWidth val="0"/>
        <c:axId val="367479808"/>
        <c:axId val="367494272"/>
      </c:barChart>
      <c:catAx>
        <c:axId val="367479808"/>
        <c:scaling>
          <c:orientation val="minMax"/>
        </c:scaling>
        <c:delete val="0"/>
        <c:axPos val="b"/>
        <c:title>
          <c:tx>
            <c:rich>
              <a:bodyPr/>
              <a:lstStyle/>
              <a:p>
                <a:pPr>
                  <a:defRPr/>
                </a:pPr>
                <a:r>
                  <a:rPr lang="en-US"/>
                  <a:t>Young's modulus (GPa)</a:t>
                </a:r>
              </a:p>
            </c:rich>
          </c:tx>
          <c:layout>
            <c:manualLayout>
              <c:xMode val="edge"/>
              <c:yMode val="edge"/>
              <c:x val="0.26036483016806078"/>
              <c:y val="0.89549564067370901"/>
            </c:manualLayout>
          </c:layout>
          <c:overlay val="0"/>
        </c:title>
        <c:numFmt formatCode="#,##0.0" sourceLinked="0"/>
        <c:majorTickMark val="out"/>
        <c:minorTickMark val="none"/>
        <c:tickLblPos val="nextTo"/>
        <c:crossAx val="367494272"/>
        <c:crosses val="autoZero"/>
        <c:auto val="1"/>
        <c:lblAlgn val="ctr"/>
        <c:lblOffset val="100"/>
        <c:noMultiLvlLbl val="0"/>
      </c:catAx>
      <c:valAx>
        <c:axId val="367494272"/>
        <c:scaling>
          <c:orientation val="minMax"/>
        </c:scaling>
        <c:delete val="0"/>
        <c:axPos val="l"/>
        <c:majorGridlines/>
        <c:title>
          <c:tx>
            <c:rich>
              <a:bodyPr rot="-5400000" vert="horz"/>
              <a:lstStyle/>
              <a:p>
                <a:pPr>
                  <a:defRPr/>
                </a:pPr>
                <a:r>
                  <a:rPr lang="en-US"/>
                  <a:t>Count</a:t>
                </a:r>
              </a:p>
            </c:rich>
          </c:tx>
          <c:layout>
            <c:manualLayout>
              <c:xMode val="edge"/>
              <c:yMode val="edge"/>
              <c:x val="2.7779383240357784E-3"/>
              <c:y val="0.32255958301613147"/>
            </c:manualLayout>
          </c:layout>
          <c:overlay val="0"/>
        </c:title>
        <c:numFmt formatCode="General" sourceLinked="1"/>
        <c:majorTickMark val="out"/>
        <c:minorTickMark val="none"/>
        <c:tickLblPos val="nextTo"/>
        <c:crossAx val="367479808"/>
        <c:crosses val="autoZero"/>
        <c:crossBetween val="between"/>
      </c:valAx>
    </c:plotArea>
    <c:plotVisOnly val="1"/>
    <c:dispBlanksAs val="gap"/>
    <c:showDLblsOverMax val="0"/>
  </c:chart>
  <c:spPr>
    <a:ln>
      <a:noFill/>
    </a:ln>
  </c:spPr>
  <c:txPr>
    <a:bodyPr/>
    <a:lstStyle/>
    <a:p>
      <a:pPr>
        <a:defRPr b="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64336898747871563"/>
          <c:y val="0.10715419193290496"/>
        </c:manualLayout>
      </c:layout>
      <c:overlay val="0"/>
      <c:spPr>
        <a:solidFill>
          <a:schemeClr val="bg1"/>
        </a:solidFill>
      </c:spPr>
      <c:txPr>
        <a:bodyPr/>
        <a:lstStyle/>
        <a:p>
          <a:pPr>
            <a:defRPr sz="1000"/>
          </a:pPr>
          <a:endParaRPr lang="en-US"/>
        </a:p>
      </c:txPr>
    </c:title>
    <c:autoTitleDeleted val="0"/>
    <c:plotArea>
      <c:layout>
        <c:manualLayout>
          <c:layoutTarget val="inner"/>
          <c:xMode val="edge"/>
          <c:yMode val="edge"/>
          <c:x val="0.23181591548368283"/>
          <c:y val="5.6830601092896185E-2"/>
          <c:w val="0.73839483231572423"/>
          <c:h val="0.68076474047301461"/>
        </c:manualLayout>
      </c:layout>
      <c:barChart>
        <c:barDir val="col"/>
        <c:grouping val="clustered"/>
        <c:varyColors val="0"/>
        <c:ser>
          <c:idx val="0"/>
          <c:order val="0"/>
          <c:tx>
            <c:v>PET2018G</c:v>
          </c:tx>
          <c:spPr>
            <a:solidFill>
              <a:schemeClr val="bg1">
                <a:lumMod val="75000"/>
              </a:schemeClr>
            </a:solidFill>
            <a:ln>
              <a:solidFill>
                <a:schemeClr val="tx1"/>
              </a:solidFill>
            </a:ln>
          </c:spPr>
          <c:invertIfNegative val="0"/>
          <c:cat>
            <c:numRef>
              <c:f>'FV PET1993G'!$K$25:$K$40</c:f>
              <c:numCache>
                <c:formatCode>General</c:formatCode>
                <c:ptCount val="16"/>
                <c:pt idx="0">
                  <c:v>36.0006561095</c:v>
                </c:pt>
                <c:pt idx="1">
                  <c:v>37.812609662</c:v>
                </c:pt>
                <c:pt idx="2">
                  <c:v>39.624563214599995</c:v>
                </c:pt>
                <c:pt idx="3">
                  <c:v>41.436516767100002</c:v>
                </c:pt>
                <c:pt idx="4">
                  <c:v>43.248470319600003</c:v>
                </c:pt>
                <c:pt idx="5">
                  <c:v>45.060423872199998</c:v>
                </c:pt>
                <c:pt idx="6">
                  <c:v>46.872377424699998</c:v>
                </c:pt>
                <c:pt idx="7">
                  <c:v>48.684330977199998</c:v>
                </c:pt>
                <c:pt idx="8">
                  <c:v>50.4962845298</c:v>
                </c:pt>
                <c:pt idx="9">
                  <c:v>52.308238082300001</c:v>
                </c:pt>
                <c:pt idx="10">
                  <c:v>54.120191634800001</c:v>
                </c:pt>
                <c:pt idx="11">
                  <c:v>55.932145187299994</c:v>
                </c:pt>
                <c:pt idx="12">
                  <c:v>57.744098739900004</c:v>
                </c:pt>
                <c:pt idx="13">
                  <c:v>59.556052292400004</c:v>
                </c:pt>
                <c:pt idx="14">
                  <c:v>61.368005844899997</c:v>
                </c:pt>
                <c:pt idx="15">
                  <c:v>63.179959397499999</c:v>
                </c:pt>
              </c:numCache>
            </c:numRef>
          </c:cat>
          <c:val>
            <c:numRef>
              <c:f>'FV PET1993G'!$L$25:$L$40</c:f>
              <c:numCache>
                <c:formatCode>General</c:formatCode>
                <c:ptCount val="16"/>
                <c:pt idx="0">
                  <c:v>1</c:v>
                </c:pt>
                <c:pt idx="1">
                  <c:v>0</c:v>
                </c:pt>
                <c:pt idx="2">
                  <c:v>1</c:v>
                </c:pt>
                <c:pt idx="3">
                  <c:v>2</c:v>
                </c:pt>
                <c:pt idx="4">
                  <c:v>9</c:v>
                </c:pt>
                <c:pt idx="5">
                  <c:v>40</c:v>
                </c:pt>
                <c:pt idx="6">
                  <c:v>39</c:v>
                </c:pt>
                <c:pt idx="7">
                  <c:v>67</c:v>
                </c:pt>
                <c:pt idx="8">
                  <c:v>44</c:v>
                </c:pt>
                <c:pt idx="9">
                  <c:v>22</c:v>
                </c:pt>
                <c:pt idx="10">
                  <c:v>17</c:v>
                </c:pt>
                <c:pt idx="11">
                  <c:v>3</c:v>
                </c:pt>
                <c:pt idx="12">
                  <c:v>4</c:v>
                </c:pt>
                <c:pt idx="13">
                  <c:v>5</c:v>
                </c:pt>
                <c:pt idx="14">
                  <c:v>1</c:v>
                </c:pt>
                <c:pt idx="15">
                  <c:v>1</c:v>
                </c:pt>
              </c:numCache>
            </c:numRef>
          </c:val>
          <c:extLst>
            <c:ext xmlns:c16="http://schemas.microsoft.com/office/drawing/2014/chart" uri="{C3380CC4-5D6E-409C-BE32-E72D297353CC}">
              <c16:uniqueId val="{00000000-DAEB-41E7-A643-8E2B67D1C162}"/>
            </c:ext>
          </c:extLst>
        </c:ser>
        <c:dLbls>
          <c:showLegendKey val="0"/>
          <c:showVal val="0"/>
          <c:showCatName val="0"/>
          <c:showSerName val="0"/>
          <c:showPercent val="0"/>
          <c:showBubbleSize val="0"/>
        </c:dLbls>
        <c:gapWidth val="0"/>
        <c:axId val="367523328"/>
        <c:axId val="367525248"/>
      </c:barChart>
      <c:catAx>
        <c:axId val="367523328"/>
        <c:scaling>
          <c:orientation val="minMax"/>
        </c:scaling>
        <c:delete val="0"/>
        <c:axPos val="b"/>
        <c:title>
          <c:tx>
            <c:rich>
              <a:bodyPr/>
              <a:lstStyle/>
              <a:p>
                <a:pPr>
                  <a:defRPr/>
                </a:pPr>
                <a:r>
                  <a:rPr lang="en-US"/>
                  <a:t>Young's modulus (MPa)</a:t>
                </a:r>
              </a:p>
            </c:rich>
          </c:tx>
          <c:layout>
            <c:manualLayout>
              <c:xMode val="edge"/>
              <c:yMode val="edge"/>
              <c:x val="0.29590972548601963"/>
              <c:y val="0.89435315821937222"/>
            </c:manualLayout>
          </c:layout>
          <c:overlay val="0"/>
        </c:title>
        <c:numFmt formatCode="#,##0;\-#,##0" sourceLinked="0"/>
        <c:majorTickMark val="out"/>
        <c:minorTickMark val="none"/>
        <c:tickLblPos val="nextTo"/>
        <c:crossAx val="367525248"/>
        <c:crosses val="autoZero"/>
        <c:auto val="1"/>
        <c:lblAlgn val="ctr"/>
        <c:lblOffset val="100"/>
        <c:tickLblSkip val="2"/>
        <c:noMultiLvlLbl val="0"/>
      </c:catAx>
      <c:valAx>
        <c:axId val="367525248"/>
        <c:scaling>
          <c:orientation val="minMax"/>
        </c:scaling>
        <c:delete val="0"/>
        <c:axPos val="l"/>
        <c:majorGridlines/>
        <c:title>
          <c:tx>
            <c:rich>
              <a:bodyPr rot="-5400000" vert="horz"/>
              <a:lstStyle/>
              <a:p>
                <a:pPr>
                  <a:defRPr/>
                </a:pPr>
                <a:r>
                  <a:rPr lang="en-US"/>
                  <a:t>Count</a:t>
                </a:r>
              </a:p>
            </c:rich>
          </c:tx>
          <c:layout>
            <c:manualLayout>
              <c:xMode val="edge"/>
              <c:yMode val="edge"/>
              <c:x val="0"/>
              <c:y val="0.28325278305729024"/>
            </c:manualLayout>
          </c:layout>
          <c:overlay val="0"/>
        </c:title>
        <c:numFmt formatCode="General" sourceLinked="1"/>
        <c:majorTickMark val="out"/>
        <c:minorTickMark val="none"/>
        <c:tickLblPos val="nextTo"/>
        <c:crossAx val="367523328"/>
        <c:crosses val="autoZero"/>
        <c:crossBetween val="between"/>
      </c:valAx>
    </c:plotArea>
    <c:plotVisOnly val="1"/>
    <c:dispBlanksAs val="gap"/>
    <c:showDLblsOverMax val="0"/>
  </c:chart>
  <c:spPr>
    <a:ln>
      <a:noFill/>
    </a:ln>
  </c:spPr>
  <c:txPr>
    <a:bodyPr/>
    <a:lstStyle/>
    <a:p>
      <a:pPr>
        <a:defRPr b="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4</Pages>
  <Words>1269</Words>
  <Characters>7238</Characters>
  <Application>Microsoft Office Word</Application>
  <DocSecurity>0</DocSecurity>
  <Lines>60</Lines>
  <Paragraphs>16</Paragraphs>
  <ScaleCrop>false</ScaleCrop>
  <Company>Springer Nature IT</Company>
  <LinksUpToDate>false</LinksUpToDate>
  <CharactersWithSpaces>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2020-09-04T12:15:00Z</dcterms:created>
  <dcterms:modified xsi:type="dcterms:W3CDTF">2020-09-04T12:15:00Z</dcterms:modified>
</cp:coreProperties>
</file>