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CE8" w:rsidRPr="002F7DD4" w:rsidRDefault="00DC7CE8" w:rsidP="00DC7CE8">
      <w:pPr>
        <w:pStyle w:val="EndNoteBibliography"/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Supplementary </w:t>
      </w:r>
      <w:r w:rsidRPr="002F7DD4">
        <w:rPr>
          <w:rFonts w:asciiTheme="majorBidi" w:hAnsiTheme="majorBidi" w:cstheme="majorBidi"/>
        </w:rPr>
        <w:t>Table 1: Distribution of cases by countries</w:t>
      </w:r>
      <w:r>
        <w:rPr>
          <w:rFonts w:asciiTheme="majorBidi" w:hAnsiTheme="majorBidi" w:cstheme="majorBidi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Country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Number of cases discussed (%)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Egypt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 xml:space="preserve">37 (37%) 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Saudi Arabia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13 (13%)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Tunisia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12 (12%)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 xml:space="preserve">Oman 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8 (8%)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Jordan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6 (6%)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Argentina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5 (5%)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Iran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5 (5%)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Brazil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3 (3%)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Singapore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3 (3%)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Poland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3 (3%)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Armenia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2 (2%)</w:t>
            </w:r>
          </w:p>
        </w:tc>
      </w:tr>
      <w:tr w:rsidR="00DC7CE8" w:rsidRPr="009A5450" w:rsidTr="000918AA"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Others</w:t>
            </w:r>
          </w:p>
        </w:tc>
        <w:tc>
          <w:tcPr>
            <w:tcW w:w="4675" w:type="dxa"/>
          </w:tcPr>
          <w:p w:rsidR="00DC7CE8" w:rsidRPr="002F7DD4" w:rsidRDefault="00DC7CE8" w:rsidP="000918AA">
            <w:pPr>
              <w:pStyle w:val="EndNoteBibliography"/>
              <w:spacing w:line="480" w:lineRule="auto"/>
              <w:jc w:val="both"/>
              <w:rPr>
                <w:rFonts w:asciiTheme="majorBidi" w:hAnsiTheme="majorBidi" w:cstheme="majorBidi"/>
              </w:rPr>
            </w:pPr>
            <w:r w:rsidRPr="002F7DD4">
              <w:rPr>
                <w:rFonts w:asciiTheme="majorBidi" w:hAnsiTheme="majorBidi" w:cstheme="majorBidi"/>
              </w:rPr>
              <w:t>4 (4%)</w:t>
            </w:r>
          </w:p>
        </w:tc>
      </w:tr>
    </w:tbl>
    <w:p w:rsidR="00DC7CE8" w:rsidRPr="002F7DD4" w:rsidRDefault="00DC7CE8" w:rsidP="00DC7CE8">
      <w:pPr>
        <w:pStyle w:val="EndNoteBibliography"/>
        <w:spacing w:line="480" w:lineRule="auto"/>
        <w:jc w:val="both"/>
        <w:rPr>
          <w:rFonts w:asciiTheme="majorBidi" w:hAnsiTheme="majorBidi" w:cstheme="majorBidi"/>
        </w:rPr>
      </w:pPr>
    </w:p>
    <w:p w:rsidR="00DC7CE8" w:rsidRDefault="00DC7CE8" w:rsidP="00DC7CE8"/>
    <w:p w:rsidR="00B17DE0" w:rsidRDefault="00B17DE0">
      <w:bookmarkStart w:id="0" w:name="_GoBack"/>
      <w:bookmarkEnd w:id="0"/>
    </w:p>
    <w:sectPr w:rsidR="00B17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CE8"/>
    <w:rsid w:val="00B17DE0"/>
    <w:rsid w:val="00DC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E63D11-7EA4-4E07-984D-8A8A632C1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C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DC7CE8"/>
    <w:rPr>
      <w:rFonts w:ascii="Aptos" w:eastAsiaTheme="minorHAnsi" w:hAnsi="Aptos" w:cstheme="minorBidi"/>
      <w:kern w:val="2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DC7CE8"/>
    <w:rPr>
      <w:rFonts w:ascii="Aptos" w:hAnsi="Aptos"/>
      <w:kern w:val="2"/>
      <w:sz w:val="24"/>
      <w:szCs w:val="24"/>
      <w14:ligatures w14:val="standardContextual"/>
    </w:rPr>
  </w:style>
  <w:style w:type="table" w:styleId="TableGrid">
    <w:name w:val="Table Grid"/>
    <w:basedOn w:val="TableNormal"/>
    <w:uiPriority w:val="39"/>
    <w:rsid w:val="00DC7CE8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Children's Hospitals &amp; Clinics of MN</Company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Shatara</dc:creator>
  <cp:keywords/>
  <dc:description/>
  <cp:lastModifiedBy>Margaret Shatara</cp:lastModifiedBy>
  <cp:revision>1</cp:revision>
  <dcterms:created xsi:type="dcterms:W3CDTF">2025-01-09T18:05:00Z</dcterms:created>
  <dcterms:modified xsi:type="dcterms:W3CDTF">2025-01-09T18:06:00Z</dcterms:modified>
</cp:coreProperties>
</file>