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F8ABED">
      <w:pPr>
        <w:spacing w:line="360" w:lineRule="auto"/>
        <w:jc w:val="left"/>
        <w:rPr>
          <w:rFonts w:hint="default" w:ascii="Times New Roman" w:hAnsi="Times New Roman" w:cs="Times New Roman"/>
          <w:b/>
          <w:sz w:val="28"/>
          <w:szCs w:val="28"/>
        </w:rPr>
      </w:pPr>
      <w:bookmarkStart w:id="0" w:name="OLE_LINK24"/>
      <w:r>
        <w:rPr>
          <w:rFonts w:hint="default" w:ascii="Times New Roman" w:hAnsi="Times New Roman" w:cs="Times New Roman"/>
          <w:b/>
          <w:sz w:val="28"/>
          <w:szCs w:val="28"/>
        </w:rPr>
        <w:t>Steroid hormone biosynthesis pathway indicates platinum</w:t>
      </w:r>
      <w:r>
        <w:rPr>
          <w:rFonts w:hint="eastAsia" w:ascii="Times New Roman" w:hAnsi="Times New Roman" w:cs="Times New Roman"/>
          <w:b/>
          <w:sz w:val="28"/>
          <w:szCs w:val="28"/>
          <w:lang w:val="en-US" w:eastAsia="zh-CN"/>
        </w:rPr>
        <w:t xml:space="preserve"> </w:t>
      </w:r>
      <w:r>
        <w:rPr>
          <w:rFonts w:hint="default" w:ascii="Times New Roman" w:hAnsi="Times New Roman" w:cs="Times New Roman"/>
          <w:b/>
          <w:sz w:val="28"/>
          <w:szCs w:val="28"/>
        </w:rPr>
        <w:t>chemoresistance</w:t>
      </w:r>
      <w:r>
        <w:rPr>
          <w:rFonts w:hint="default" w:ascii="Times New Roman" w:hAnsi="Times New Roman" w:cs="Times New Roman"/>
          <w:b/>
          <w:sz w:val="28"/>
          <w:szCs w:val="28"/>
          <w:lang w:val="en-US" w:eastAsia="zh-CN"/>
        </w:rPr>
        <w:t xml:space="preserve">: </w:t>
      </w:r>
      <w:r>
        <w:rPr>
          <w:rFonts w:hint="default" w:ascii="Times New Roman" w:hAnsi="Times New Roman" w:cs="Times New Roman"/>
          <w:b/>
          <w:sz w:val="28"/>
          <w:szCs w:val="28"/>
        </w:rPr>
        <w:t>Insights From Genomics and Metabolomics</w:t>
      </w:r>
    </w:p>
    <w:bookmarkEnd w:id="0"/>
    <w:p w14:paraId="70F6ECE0">
      <w:pPr>
        <w:spacing w:line="360" w:lineRule="auto"/>
        <w:jc w:val="left"/>
        <w:rPr>
          <w:rFonts w:ascii="Times New Roman" w:hAnsi="Times New Roman" w:cs="Times New Roman"/>
          <w:b/>
          <w:sz w:val="28"/>
          <w:szCs w:val="28"/>
        </w:rPr>
      </w:pPr>
      <w:r>
        <w:rPr>
          <w:rFonts w:ascii="Times New Roman" w:hAnsi="Times New Roman" w:cs="Times New Roman"/>
          <w:b/>
          <w:sz w:val="28"/>
          <w:szCs w:val="28"/>
        </w:rPr>
        <w:t>Supplemental File</w:t>
      </w:r>
      <w:bookmarkStart w:id="1" w:name="_GoBack"/>
      <w:bookmarkEnd w:id="1"/>
      <w:r>
        <w:rPr>
          <w:rFonts w:ascii="Times New Roman" w:hAnsi="Times New Roman" w:cs="Times New Roman"/>
          <w:b/>
          <w:sz w:val="28"/>
          <w:szCs w:val="28"/>
        </w:rPr>
        <w:t>: Clinical performance for platinum–sensitive or resistant prediction when using overall survival (OS) as outcome.</w:t>
      </w:r>
    </w:p>
    <w:p w14:paraId="05CD468C">
      <w:pPr>
        <w:spacing w:before="156" w:beforeLines="50" w:line="360" w:lineRule="auto"/>
        <w:rPr>
          <w:rFonts w:ascii="Times New Roman" w:hAnsi="Times New Roman" w:cs="Times New Roman"/>
          <w:sz w:val="24"/>
          <w:szCs w:val="24"/>
        </w:rPr>
      </w:pPr>
      <w:r>
        <w:rPr>
          <w:rFonts w:hint="eastAsia" w:ascii="Times New Roman" w:hAnsi="Times New Roman" w:cs="Times New Roman"/>
          <w:sz w:val="24"/>
          <w:szCs w:val="24"/>
        </w:rPr>
        <w:t>I</w:t>
      </w:r>
      <w:r>
        <w:rPr>
          <w:rFonts w:ascii="Times New Roman" w:hAnsi="Times New Roman" w:cs="Times New Roman"/>
          <w:sz w:val="24"/>
          <w:szCs w:val="24"/>
        </w:rPr>
        <w:t>n order to evaluate the clinical performance of metabolic biomarkers, prognosis indexes (PI) based on cox regression model of progression free survival (PFS) were calculated in plasma metabolome data in manuscript. PFS of patients treated with cisplatin can sometimes reflect the sensitivity of platinum</w:t>
      </w:r>
      <w:r>
        <w:rPr>
          <w:rFonts w:ascii="Times New Roman" w:hAnsi="Times New Roman" w:cs="Times New Roman"/>
          <w:kern w:val="0"/>
          <w:sz w:val="24"/>
          <w:szCs w:val="24"/>
        </w:rPr>
        <w:t>–based therapy</w:t>
      </w:r>
      <w:r>
        <w:rPr>
          <w:rFonts w:ascii="Times New Roman" w:hAnsi="Times New Roman" w:cs="Times New Roman"/>
          <w:sz w:val="24"/>
          <w:szCs w:val="24"/>
        </w:rPr>
        <w:t>. Besides, PIs based on OS were presented as well to assess the predictive performance of selected metabolites.</w:t>
      </w:r>
      <w:r>
        <w:rPr>
          <w:rFonts w:hint="eastAsia" w:ascii="Times New Roman" w:hAnsi="Times New Roman" w:cs="Times New Roman"/>
          <w:sz w:val="24"/>
          <w:szCs w:val="24"/>
        </w:rPr>
        <w:t xml:space="preserve"> </w:t>
      </w:r>
      <w:r>
        <w:rPr>
          <w:rFonts w:ascii="Times New Roman" w:hAnsi="Times New Roman" w:cs="Times New Roman"/>
          <w:sz w:val="24"/>
          <w:szCs w:val="24"/>
        </w:rPr>
        <w:t>For preoperative plasma samples:</w:t>
      </w:r>
    </w:p>
    <w:p w14:paraId="3F2DEEFD">
      <w:pPr>
        <w:spacing w:line="360" w:lineRule="auto"/>
        <w:rPr>
          <w:rFonts w:ascii="Times New Roman" w:hAnsi="Times New Roman" w:cs="Times New Roman"/>
          <w:sz w:val="24"/>
          <w:szCs w:val="24"/>
        </w:rPr>
      </w:pPr>
      <w:r>
        <w:rPr>
          <w:rFonts w:ascii="Times New Roman" w:hAnsi="Times New Roman" w:cs="Times New Roman"/>
          <w:sz w:val="24"/>
          <w:szCs w:val="24"/>
        </w:rPr>
        <w:t>PI (preoperative) = 1.428 × L</w:t>
      </w:r>
      <w:r>
        <w:rPr>
          <w:rFonts w:ascii="Times New Roman" w:hAnsi="Times New Roman" w:cs="Times New Roman"/>
          <w:sz w:val="24"/>
          <w:szCs w:val="24"/>
          <w:vertAlign w:val="subscript"/>
        </w:rPr>
        <w:t>Cortisone</w:t>
      </w:r>
      <w:r>
        <w:rPr>
          <w:rFonts w:ascii="Times New Roman" w:hAnsi="Times New Roman" w:cs="Times New Roman"/>
          <w:sz w:val="24"/>
          <w:szCs w:val="24"/>
        </w:rPr>
        <w:t xml:space="preserve"> </w:t>
      </w:r>
      <w:r>
        <w:rPr>
          <w:rFonts w:ascii="Cambria Math" w:hAnsi="Cambria Math" w:cs="Times New Roman"/>
          <w:sz w:val="24"/>
          <w:szCs w:val="24"/>
        </w:rPr>
        <w:t>−</w:t>
      </w:r>
      <w:r>
        <w:rPr>
          <w:rFonts w:ascii="Times New Roman" w:hAnsi="Times New Roman" w:cs="Times New Roman"/>
          <w:sz w:val="24"/>
          <w:szCs w:val="24"/>
        </w:rPr>
        <w:t xml:space="preserve"> 0.712 × L</w:t>
      </w:r>
      <w:r>
        <w:rPr>
          <w:rFonts w:ascii="Times New Roman" w:hAnsi="Times New Roman" w:cs="Times New Roman"/>
          <w:sz w:val="24"/>
          <w:szCs w:val="24"/>
          <w:vertAlign w:val="subscript"/>
        </w:rPr>
        <w:t>11beta-Hydroxyandrost-4-ene-3,17-dione</w:t>
      </w:r>
      <w:r>
        <w:rPr>
          <w:rFonts w:ascii="Times New Roman" w:hAnsi="Times New Roman" w:cs="Times New Roman"/>
          <w:sz w:val="24"/>
          <w:szCs w:val="24"/>
        </w:rPr>
        <w:t xml:space="preserve"> </w:t>
      </w:r>
    </w:p>
    <w:p w14:paraId="71E0499A">
      <w:pPr>
        <w:spacing w:line="360" w:lineRule="auto"/>
        <w:ind w:firstLine="1920" w:firstLineChars="800"/>
        <w:rPr>
          <w:rFonts w:ascii="Times New Roman" w:hAnsi="Times New Roman" w:cs="Times New Roman"/>
          <w:sz w:val="24"/>
          <w:szCs w:val="24"/>
        </w:rPr>
      </w:pPr>
      <w:r>
        <w:rPr>
          <w:rFonts w:ascii="Times New Roman" w:hAnsi="Times New Roman" w:cs="Times New Roman"/>
          <w:sz w:val="24"/>
          <w:szCs w:val="24"/>
        </w:rPr>
        <w:t xml:space="preserve">+ 1.734 × L </w:t>
      </w:r>
      <w:r>
        <w:rPr>
          <w:rFonts w:ascii="Times New Roman" w:hAnsi="Times New Roman" w:cs="Times New Roman"/>
          <w:sz w:val="24"/>
          <w:szCs w:val="24"/>
          <w:vertAlign w:val="subscript"/>
        </w:rPr>
        <w:t>Cortolone</w:t>
      </w:r>
    </w:p>
    <w:p w14:paraId="7FDD9416">
      <w:pPr>
        <w:spacing w:line="360" w:lineRule="auto"/>
        <w:rPr>
          <w:rFonts w:ascii="Times New Roman" w:hAnsi="Times New Roman" w:cs="Times New Roman"/>
          <w:sz w:val="24"/>
          <w:szCs w:val="24"/>
        </w:rPr>
      </w:pPr>
      <w:r>
        <w:rPr>
          <w:rFonts w:hint="eastAsia" w:ascii="Times New Roman" w:hAnsi="Times New Roman" w:cs="Times New Roman"/>
          <w:sz w:val="24"/>
          <w:szCs w:val="24"/>
        </w:rPr>
        <w:t>F</w:t>
      </w:r>
      <w:r>
        <w:rPr>
          <w:rFonts w:ascii="Times New Roman" w:hAnsi="Times New Roman" w:cs="Times New Roman"/>
          <w:sz w:val="24"/>
          <w:szCs w:val="24"/>
        </w:rPr>
        <w:t>or postoperative plasma samples:</w:t>
      </w:r>
    </w:p>
    <w:p w14:paraId="276BB066">
      <w:pPr>
        <w:spacing w:line="360" w:lineRule="auto"/>
        <w:rPr>
          <w:rFonts w:ascii="Times New Roman" w:hAnsi="Times New Roman" w:cs="Times New Roman"/>
          <w:sz w:val="24"/>
          <w:szCs w:val="24"/>
        </w:rPr>
      </w:pPr>
      <w:r>
        <w:rPr>
          <w:rFonts w:ascii="Times New Roman" w:hAnsi="Times New Roman" w:cs="Times New Roman"/>
          <w:sz w:val="24"/>
          <w:szCs w:val="24"/>
        </w:rPr>
        <w:t xml:space="preserve">PI (postoperative) = 1.974 </w:t>
      </w:r>
      <w:r>
        <w:rPr>
          <w:rFonts w:ascii="Cambria Math" w:hAnsi="Cambria Math" w:cs="Times New Roman"/>
          <w:sz w:val="24"/>
          <w:szCs w:val="24"/>
        </w:rPr>
        <w:t>×</w:t>
      </w:r>
      <w:r>
        <w:rPr>
          <w:rFonts w:ascii="Times New Roman" w:hAnsi="Times New Roman" w:cs="Times New Roman"/>
          <w:sz w:val="24"/>
          <w:szCs w:val="24"/>
        </w:rPr>
        <w:t xml:space="preserve"> L</w:t>
      </w:r>
      <w:r>
        <w:rPr>
          <w:rFonts w:ascii="Times New Roman" w:hAnsi="Times New Roman" w:cs="Times New Roman"/>
          <w:sz w:val="24"/>
          <w:szCs w:val="24"/>
          <w:vertAlign w:val="subscript"/>
        </w:rPr>
        <w:t>11beta-Hydroxyandrost-4-ene-3,17-dione</w:t>
      </w:r>
      <w:r>
        <w:rPr>
          <w:rFonts w:ascii="Times New Roman" w:hAnsi="Times New Roman" w:cs="Times New Roman"/>
          <w:sz w:val="24"/>
          <w:szCs w:val="24"/>
        </w:rPr>
        <w:t xml:space="preserve"> </w:t>
      </w:r>
      <w:r>
        <w:rPr>
          <w:rFonts w:ascii="Cambria Math" w:hAnsi="Cambria Math" w:cs="Times New Roman"/>
          <w:sz w:val="24"/>
          <w:szCs w:val="24"/>
        </w:rPr>
        <w:t>+</w:t>
      </w:r>
      <w:r>
        <w:rPr>
          <w:rFonts w:ascii="Times New Roman" w:hAnsi="Times New Roman" w:cs="Times New Roman"/>
          <w:sz w:val="24"/>
          <w:szCs w:val="24"/>
        </w:rPr>
        <w:t xml:space="preserve"> 1.780 </w:t>
      </w:r>
      <w:r>
        <w:rPr>
          <w:rFonts w:ascii="Cambria Math" w:hAnsi="Cambria Math" w:cs="Times New Roman"/>
          <w:sz w:val="24"/>
          <w:szCs w:val="24"/>
        </w:rPr>
        <w:t>×</w:t>
      </w:r>
      <w:r>
        <w:rPr>
          <w:rFonts w:ascii="Times New Roman" w:hAnsi="Times New Roman" w:cs="Times New Roman"/>
          <w:sz w:val="24"/>
          <w:szCs w:val="24"/>
        </w:rPr>
        <w:t xml:space="preserve"> </w:t>
      </w:r>
    </w:p>
    <w:p w14:paraId="429496CD">
      <w:pPr>
        <w:spacing w:line="360" w:lineRule="auto"/>
        <w:ind w:firstLine="2040" w:firstLineChars="850"/>
        <w:rPr>
          <w:rFonts w:ascii="Times New Roman" w:hAnsi="Times New Roman" w:cs="Times New Roman"/>
          <w:sz w:val="24"/>
          <w:szCs w:val="24"/>
        </w:rPr>
      </w:pPr>
      <w:r>
        <w:rPr>
          <w:rFonts w:ascii="Times New Roman" w:hAnsi="Times New Roman" w:cs="Times New Roman"/>
          <w:sz w:val="24"/>
          <w:szCs w:val="24"/>
        </w:rPr>
        <w:t>L</w:t>
      </w:r>
      <w:r>
        <w:rPr>
          <w:rFonts w:ascii="Times New Roman" w:hAnsi="Times New Roman" w:cs="Times New Roman"/>
          <w:sz w:val="24"/>
          <w:szCs w:val="24"/>
          <w:vertAlign w:val="subscript"/>
        </w:rPr>
        <w:t>17alpha,21-Dihydroxypregnenolone</w:t>
      </w:r>
      <w:r>
        <w:rPr>
          <w:rFonts w:ascii="Times New Roman" w:hAnsi="Times New Roman" w:cs="Times New Roman"/>
          <w:sz w:val="24"/>
          <w:szCs w:val="24"/>
        </w:rPr>
        <w:t xml:space="preserve"> </w:t>
      </w:r>
      <w:r>
        <w:rPr>
          <w:rFonts w:ascii="Cambria Math" w:hAnsi="Cambria Math" w:cs="Times New Roman"/>
          <w:sz w:val="24"/>
          <w:szCs w:val="24"/>
        </w:rPr>
        <w:t>+</w:t>
      </w:r>
      <w:r>
        <w:rPr>
          <w:rFonts w:ascii="Times New Roman" w:hAnsi="Times New Roman" w:cs="Times New Roman"/>
          <w:sz w:val="24"/>
          <w:szCs w:val="24"/>
        </w:rPr>
        <w:t xml:space="preserve"> 1.974 </w:t>
      </w:r>
      <w:r>
        <w:rPr>
          <w:rFonts w:ascii="Cambria Math" w:hAnsi="Cambria Math" w:cs="Times New Roman"/>
          <w:sz w:val="24"/>
          <w:szCs w:val="24"/>
        </w:rPr>
        <w:t>×</w:t>
      </w:r>
      <w:r>
        <w:rPr>
          <w:rFonts w:ascii="Times New Roman" w:hAnsi="Times New Roman" w:cs="Times New Roman"/>
          <w:sz w:val="24"/>
          <w:szCs w:val="24"/>
        </w:rPr>
        <w:t xml:space="preserve"> L</w:t>
      </w:r>
      <w:r>
        <w:rPr>
          <w:rFonts w:ascii="Times New Roman" w:hAnsi="Times New Roman" w:cs="Times New Roman"/>
          <w:sz w:val="24"/>
          <w:szCs w:val="24"/>
          <w:vertAlign w:val="subscript"/>
        </w:rPr>
        <w:t>21-Deoxycortisol</w:t>
      </w:r>
    </w:p>
    <w:p w14:paraId="1E0571D2">
      <w:pPr>
        <w:spacing w:before="156" w:beforeLines="50" w:line="360" w:lineRule="auto"/>
        <w:rPr>
          <w:rFonts w:ascii="Times New Roman" w:hAnsi="Times New Roman" w:cs="Times New Roman"/>
          <w:sz w:val="24"/>
          <w:szCs w:val="24"/>
        </w:rPr>
      </w:pPr>
      <w:r>
        <w:rPr>
          <w:rFonts w:hint="eastAsia" w:ascii="Times New Roman" w:hAnsi="Times New Roman" w:cs="Times New Roman"/>
          <w:sz w:val="24"/>
          <w:szCs w:val="24"/>
        </w:rPr>
        <w:t>S</w:t>
      </w:r>
      <w:r>
        <w:rPr>
          <w:rFonts w:ascii="Times New Roman" w:hAnsi="Times New Roman" w:cs="Times New Roman"/>
          <w:sz w:val="24"/>
          <w:szCs w:val="24"/>
        </w:rPr>
        <w:t>upplemental Figures S1A and S1B show time</w:t>
      </w:r>
      <w:r>
        <w:rPr>
          <w:rFonts w:ascii="Times New Roman" w:hAnsi="Times New Roman" w:cs="Times New Roman"/>
          <w:kern w:val="0"/>
          <w:sz w:val="24"/>
          <w:szCs w:val="24"/>
        </w:rPr>
        <w:t>–dependent</w:t>
      </w:r>
      <w:r>
        <w:rPr>
          <w:rFonts w:ascii="Times New Roman" w:hAnsi="Times New Roman" w:cs="Times New Roman"/>
          <w:sz w:val="24"/>
          <w:szCs w:val="24"/>
        </w:rPr>
        <w:t xml:space="preserve"> </w:t>
      </w:r>
      <w:r>
        <w:rPr>
          <w:rFonts w:hint="eastAsia" w:ascii="Times New Roman" w:hAnsi="Times New Roman" w:cs="Times New Roman"/>
          <w:sz w:val="24"/>
          <w:szCs w:val="24"/>
        </w:rPr>
        <w:t>R</w:t>
      </w:r>
      <w:r>
        <w:rPr>
          <w:rFonts w:ascii="Times New Roman" w:hAnsi="Times New Roman" w:cs="Times New Roman"/>
          <w:sz w:val="24"/>
          <w:szCs w:val="24"/>
        </w:rPr>
        <w:t>OC curves in preoperative and postoperative samples when using metabolic biomarkers to predict OS.</w:t>
      </w:r>
    </w:p>
    <w:p w14:paraId="3D76F09A">
      <w:pPr>
        <w:spacing w:before="156" w:beforeLines="50" w:line="360" w:lineRule="auto"/>
        <w:rPr>
          <w:rFonts w:ascii="Times New Roman" w:hAnsi="Times New Roman" w:cs="Times New Roman"/>
          <w:sz w:val="24"/>
          <w:szCs w:val="24"/>
        </w:rPr>
      </w:pPr>
      <w:r>
        <w:rPr>
          <w:rFonts w:ascii="Times New Roman" w:hAnsi="Times New Roman" w:cs="Times New Roman"/>
          <w:sz w:val="24"/>
          <w:szCs w:val="24"/>
        </w:rPr>
        <w:drawing>
          <wp:inline distT="0" distB="0" distL="0" distR="0">
            <wp:extent cx="5274310" cy="2131695"/>
            <wp:effectExtent l="0" t="0" r="254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2131695"/>
                    </a:xfrm>
                    <a:prstGeom prst="rect">
                      <a:avLst/>
                    </a:prstGeom>
                  </pic:spPr>
                </pic:pic>
              </a:graphicData>
            </a:graphic>
          </wp:inline>
        </w:drawing>
      </w:r>
    </w:p>
    <w:p w14:paraId="4341A85A">
      <w:pPr>
        <w:spacing w:before="156" w:beforeLines="50"/>
        <w:rPr>
          <w:rFonts w:ascii="Times New Roman" w:hAnsi="Times New Roman" w:cs="Times New Roman"/>
          <w:sz w:val="24"/>
          <w:szCs w:val="24"/>
        </w:rPr>
      </w:pPr>
      <w:r>
        <w:rPr>
          <w:rFonts w:hint="eastAsia" w:ascii="Times New Roman" w:hAnsi="Times New Roman" w:cs="Times New Roman"/>
          <w:b/>
          <w:sz w:val="24"/>
          <w:szCs w:val="24"/>
        </w:rPr>
        <w:t>S</w:t>
      </w:r>
      <w:r>
        <w:rPr>
          <w:rFonts w:ascii="Times New Roman" w:hAnsi="Times New Roman" w:cs="Times New Roman"/>
          <w:b/>
          <w:sz w:val="24"/>
          <w:szCs w:val="24"/>
        </w:rPr>
        <w:t>upplemental Fig. S1.</w:t>
      </w:r>
      <w:r>
        <w:rPr>
          <w:rFonts w:ascii="Times New Roman" w:hAnsi="Times New Roman" w:cs="Times New Roman"/>
          <w:sz w:val="24"/>
          <w:szCs w:val="24"/>
        </w:rPr>
        <w:t xml:space="preserve"> Time</w:t>
      </w:r>
      <w:r>
        <w:rPr>
          <w:rFonts w:ascii="Times New Roman" w:hAnsi="Times New Roman" w:cs="Times New Roman"/>
          <w:kern w:val="0"/>
          <w:sz w:val="24"/>
          <w:szCs w:val="24"/>
        </w:rPr>
        <w:t>–dependent</w:t>
      </w:r>
      <w:r>
        <w:rPr>
          <w:rFonts w:ascii="Times New Roman" w:hAnsi="Times New Roman" w:cs="Times New Roman"/>
          <w:sz w:val="24"/>
          <w:szCs w:val="24"/>
        </w:rPr>
        <w:t xml:space="preserve"> </w:t>
      </w:r>
      <w:r>
        <w:rPr>
          <w:rFonts w:hint="eastAsia" w:ascii="Times New Roman" w:hAnsi="Times New Roman" w:cs="Times New Roman"/>
          <w:sz w:val="24"/>
          <w:szCs w:val="24"/>
        </w:rPr>
        <w:t>R</w:t>
      </w:r>
      <w:r>
        <w:rPr>
          <w:rFonts w:ascii="Times New Roman" w:hAnsi="Times New Roman" w:cs="Times New Roman"/>
          <w:sz w:val="24"/>
          <w:szCs w:val="24"/>
        </w:rPr>
        <w:t>OC curves in preoperative and postoperative samples when using metabolic biomarkers to predict OS. (A) Time</w:t>
      </w:r>
      <w:r>
        <w:rPr>
          <w:rFonts w:ascii="Times New Roman" w:hAnsi="Times New Roman" w:cs="Times New Roman"/>
          <w:kern w:val="0"/>
          <w:sz w:val="24"/>
          <w:szCs w:val="24"/>
        </w:rPr>
        <w:t>–dependent</w:t>
      </w:r>
      <w:r>
        <w:rPr>
          <w:rFonts w:ascii="Times New Roman" w:hAnsi="Times New Roman" w:cs="Times New Roman"/>
          <w:sz w:val="24"/>
          <w:szCs w:val="24"/>
        </w:rPr>
        <w:t xml:space="preserve"> </w:t>
      </w:r>
      <w:r>
        <w:rPr>
          <w:rFonts w:hint="eastAsia" w:ascii="Times New Roman" w:hAnsi="Times New Roman" w:cs="Times New Roman"/>
          <w:sz w:val="24"/>
          <w:szCs w:val="24"/>
        </w:rPr>
        <w:t>R</w:t>
      </w:r>
      <w:r>
        <w:rPr>
          <w:rFonts w:ascii="Times New Roman" w:hAnsi="Times New Roman" w:cs="Times New Roman"/>
          <w:sz w:val="24"/>
          <w:szCs w:val="24"/>
        </w:rPr>
        <w:t>OC curve in preoperative samples. (B) Time</w:t>
      </w:r>
      <w:r>
        <w:rPr>
          <w:rFonts w:ascii="Times New Roman" w:hAnsi="Times New Roman" w:cs="Times New Roman"/>
          <w:kern w:val="0"/>
          <w:sz w:val="24"/>
          <w:szCs w:val="24"/>
        </w:rPr>
        <w:t>–dependent</w:t>
      </w:r>
      <w:r>
        <w:rPr>
          <w:rFonts w:ascii="Times New Roman" w:hAnsi="Times New Roman" w:cs="Times New Roman"/>
          <w:sz w:val="24"/>
          <w:szCs w:val="24"/>
        </w:rPr>
        <w:t xml:space="preserve"> </w:t>
      </w:r>
      <w:r>
        <w:rPr>
          <w:rFonts w:hint="eastAsia" w:ascii="Times New Roman" w:hAnsi="Times New Roman" w:cs="Times New Roman"/>
          <w:sz w:val="24"/>
          <w:szCs w:val="24"/>
        </w:rPr>
        <w:t>R</w:t>
      </w:r>
      <w:r>
        <w:rPr>
          <w:rFonts w:ascii="Times New Roman" w:hAnsi="Times New Roman" w:cs="Times New Roman"/>
          <w:sz w:val="24"/>
          <w:szCs w:val="24"/>
        </w:rPr>
        <w:t>OC curve in postoperative samples.</w:t>
      </w:r>
    </w:p>
    <w:p w14:paraId="09A9A55B">
      <w:pPr>
        <w:spacing w:before="156" w:beforeLines="50" w:line="360" w:lineRule="auto"/>
        <w:rPr>
          <w:rFonts w:ascii="Times New Roman" w:hAnsi="Times New Roman" w:cs="Times New Roman"/>
          <w:sz w:val="24"/>
          <w:szCs w:val="24"/>
        </w:rPr>
      </w:pPr>
      <w:r>
        <w:rPr>
          <w:rFonts w:hint="eastAsia" w:ascii="Times New Roman" w:hAnsi="Times New Roman" w:cs="Times New Roman"/>
          <w:sz w:val="24"/>
          <w:szCs w:val="24"/>
        </w:rPr>
        <w:t>S</w:t>
      </w:r>
      <w:r>
        <w:rPr>
          <w:rFonts w:ascii="Times New Roman" w:hAnsi="Times New Roman" w:cs="Times New Roman"/>
          <w:sz w:val="24"/>
          <w:szCs w:val="24"/>
        </w:rPr>
        <w:t>upplemental Figures S2A and S2B present survival curves of high</w:t>
      </w:r>
      <w:r>
        <w:rPr>
          <w:rFonts w:ascii="Times New Roman" w:hAnsi="Times New Roman" w:cs="Times New Roman"/>
          <w:kern w:val="0"/>
          <w:sz w:val="24"/>
          <w:szCs w:val="24"/>
        </w:rPr>
        <w:t xml:space="preserve">– and low–level PI in </w:t>
      </w:r>
      <w:r>
        <w:rPr>
          <w:rFonts w:ascii="Times New Roman" w:hAnsi="Times New Roman" w:cs="Times New Roman"/>
          <w:sz w:val="24"/>
          <w:szCs w:val="24"/>
        </w:rPr>
        <w:t>preoperative and postoperative samples.</w:t>
      </w:r>
    </w:p>
    <w:p w14:paraId="5DA633DE">
      <w:pPr>
        <w:spacing w:before="156" w:beforeLines="50" w:line="360" w:lineRule="auto"/>
        <w:rPr>
          <w:rFonts w:ascii="Times New Roman" w:hAnsi="Times New Roman" w:cs="Times New Roman"/>
          <w:sz w:val="24"/>
          <w:szCs w:val="24"/>
        </w:rPr>
      </w:pPr>
      <w:r>
        <w:rPr>
          <w:rFonts w:ascii="Times New Roman" w:hAnsi="Times New Roman" w:cs="Times New Roman"/>
          <w:sz w:val="24"/>
          <w:szCs w:val="24"/>
        </w:rPr>
        <w:drawing>
          <wp:inline distT="0" distB="0" distL="0" distR="0">
            <wp:extent cx="5274310" cy="2774950"/>
            <wp:effectExtent l="0" t="0" r="254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2774950"/>
                    </a:xfrm>
                    <a:prstGeom prst="rect">
                      <a:avLst/>
                    </a:prstGeom>
                  </pic:spPr>
                </pic:pic>
              </a:graphicData>
            </a:graphic>
          </wp:inline>
        </w:drawing>
      </w:r>
    </w:p>
    <w:p w14:paraId="1C18E5E7">
      <w:pPr>
        <w:spacing w:before="156" w:beforeLines="50"/>
        <w:rPr>
          <w:rFonts w:ascii="Times New Roman" w:hAnsi="Times New Roman" w:cs="Times New Roman"/>
          <w:sz w:val="24"/>
          <w:szCs w:val="24"/>
        </w:rPr>
      </w:pPr>
      <w:r>
        <w:rPr>
          <w:rFonts w:hint="eastAsia" w:ascii="Times New Roman" w:hAnsi="Times New Roman" w:cs="Times New Roman"/>
          <w:b/>
          <w:sz w:val="24"/>
          <w:szCs w:val="24"/>
        </w:rPr>
        <w:t>S</w:t>
      </w:r>
      <w:r>
        <w:rPr>
          <w:rFonts w:ascii="Times New Roman" w:hAnsi="Times New Roman" w:cs="Times New Roman"/>
          <w:b/>
          <w:sz w:val="24"/>
          <w:szCs w:val="24"/>
        </w:rPr>
        <w:t>upplemental Fig. S2.</w:t>
      </w:r>
      <w:r>
        <w:rPr>
          <w:rFonts w:ascii="Times New Roman" w:hAnsi="Times New Roman" w:cs="Times New Roman"/>
          <w:sz w:val="24"/>
          <w:szCs w:val="24"/>
        </w:rPr>
        <w:t xml:space="preserve"> Kaplan</w:t>
      </w:r>
      <w:r>
        <w:rPr>
          <w:rFonts w:ascii="Times New Roman" w:hAnsi="Times New Roman" w:cs="Times New Roman"/>
          <w:kern w:val="0"/>
          <w:sz w:val="24"/>
          <w:szCs w:val="24"/>
        </w:rPr>
        <w:t>–Meier</w:t>
      </w:r>
      <w:r>
        <w:rPr>
          <w:rFonts w:ascii="Times New Roman" w:hAnsi="Times New Roman" w:cs="Times New Roman"/>
          <w:sz w:val="24"/>
          <w:szCs w:val="24"/>
        </w:rPr>
        <w:t xml:space="preserve"> survival curves of high</w:t>
      </w:r>
      <w:r>
        <w:rPr>
          <w:rFonts w:ascii="Times New Roman" w:hAnsi="Times New Roman" w:cs="Times New Roman"/>
          <w:kern w:val="0"/>
          <w:sz w:val="24"/>
          <w:szCs w:val="24"/>
        </w:rPr>
        <w:t xml:space="preserve">– and low–level PI in </w:t>
      </w:r>
      <w:r>
        <w:rPr>
          <w:rFonts w:ascii="Times New Roman" w:hAnsi="Times New Roman" w:cs="Times New Roman"/>
          <w:sz w:val="24"/>
          <w:szCs w:val="24"/>
        </w:rPr>
        <w:t xml:space="preserve">preoperative and postoperative samples. Steel blue lines represent </w:t>
      </w:r>
      <w:r>
        <w:rPr>
          <w:rFonts w:ascii="Times New Roman" w:hAnsi="Times New Roman" w:cs="Times New Roman"/>
          <w:kern w:val="0"/>
          <w:sz w:val="24"/>
          <w:szCs w:val="24"/>
        </w:rPr>
        <w:t>low–level</w:t>
      </w:r>
      <w:r>
        <w:rPr>
          <w:rFonts w:ascii="Times New Roman" w:hAnsi="Times New Roman" w:cs="Times New Roman"/>
          <w:sz w:val="24"/>
          <w:szCs w:val="24"/>
        </w:rPr>
        <w:t xml:space="preserve"> PI, and orange lines represent high</w:t>
      </w:r>
      <w:r>
        <w:rPr>
          <w:rFonts w:ascii="Times New Roman" w:hAnsi="Times New Roman" w:cs="Times New Roman"/>
          <w:kern w:val="0"/>
          <w:sz w:val="24"/>
          <w:szCs w:val="24"/>
        </w:rPr>
        <w:t>–level</w:t>
      </w:r>
      <w:r>
        <w:rPr>
          <w:rFonts w:ascii="Times New Roman" w:hAnsi="Times New Roman" w:cs="Times New Roman"/>
          <w:sz w:val="24"/>
          <w:szCs w:val="24"/>
        </w:rPr>
        <w:t xml:space="preserve"> PI. (A) Survival curves in preoperative samples. (B) Survival curves in postoperative samples.</w:t>
      </w:r>
    </w:p>
    <w:p w14:paraId="00E46268">
      <w:pPr>
        <w:spacing w:before="156" w:beforeLines="50" w:line="360" w:lineRule="auto"/>
        <w:rPr>
          <w:rFonts w:ascii="Times New Roman" w:hAnsi="Times New Roman"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QzY2ZmYjVlYzYzNDhlNTUyYTZkNGVlZGIzZjJhZmMifQ=="/>
  </w:docVars>
  <w:rsids>
    <w:rsidRoot w:val="0004243D"/>
    <w:rsid w:val="00005DBD"/>
    <w:rsid w:val="0004243D"/>
    <w:rsid w:val="002366DA"/>
    <w:rsid w:val="00342793"/>
    <w:rsid w:val="00592330"/>
    <w:rsid w:val="0060562B"/>
    <w:rsid w:val="0068231C"/>
    <w:rsid w:val="007E6444"/>
    <w:rsid w:val="009A4E06"/>
    <w:rsid w:val="009B746F"/>
    <w:rsid w:val="00A6169D"/>
    <w:rsid w:val="00AA5596"/>
    <w:rsid w:val="00B50A8A"/>
    <w:rsid w:val="00CB1C8A"/>
    <w:rsid w:val="00CF5F66"/>
    <w:rsid w:val="00D606C0"/>
    <w:rsid w:val="00DA2482"/>
    <w:rsid w:val="00DB20EB"/>
    <w:rsid w:val="00DD6949"/>
    <w:rsid w:val="00E41D64"/>
    <w:rsid w:val="00FE4958"/>
    <w:rsid w:val="20D84FDF"/>
    <w:rsid w:val="50E30C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239</Words>
  <Characters>1576</Characters>
  <Lines>13</Lines>
  <Paragraphs>3</Paragraphs>
  <TotalTime>5</TotalTime>
  <ScaleCrop>false</ScaleCrop>
  <LinksUpToDate>false</LinksUpToDate>
  <CharactersWithSpaces>1805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2019-05-27T06:21:00Z</dcterms:created>
  <dc:creator>zhaoww</dc:creator>
  <cp:lastModifiedBy>syz</cp:lastModifiedBy>
  <dcterms:modified xsi:type="dcterms:W3CDTF">2025-01-09T15:55:35Z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E6C2E7F397074476AC73F37CCBF674DB_12</vt:lpwstr>
  </property>
  <property fmtid="{D5CDD505-2E9C-101B-9397-08002B2CF9AE}" pid="4" name="KSOTemplateDocerSaveRecord">
    <vt:lpwstr>eyJoZGlkIjoiNDQzY2ZmYjVlYzYzNDhlNTUyYTZkNGVlZGIzZjJhZmMiLCJ1c2VySWQiOiIxMDA1NDUyMyJ9</vt:lpwstr>
  </property>
</Properties>
</file>