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12EA" w:rsidRDefault="009612EA" w:rsidP="007D1213">
      <w:pPr>
        <w:wordWrap/>
        <w:spacing w:after="0" w:line="360" w:lineRule="auto"/>
        <w:jc w:val="left"/>
        <w:rPr>
          <w:rFonts w:ascii="Times New Roman" w:eastAsia="연세본문체" w:hAnsi="Times New Roman" w:cs="Times New Roman"/>
          <w:b/>
          <w:sz w:val="28"/>
          <w:szCs w:val="24"/>
          <w:lang w:val="en-US"/>
        </w:rPr>
      </w:pPr>
      <w:r w:rsidRPr="000E43F9">
        <w:rPr>
          <w:rFonts w:ascii="Times New Roman" w:eastAsia="연세본문체" w:hAnsi="Times New Roman" w:cs="Times New Roman"/>
          <w:b/>
          <w:sz w:val="28"/>
          <w:szCs w:val="24"/>
          <w:lang w:val="en-US"/>
        </w:rPr>
        <w:t>Supplementary Figure Legends</w:t>
      </w:r>
    </w:p>
    <w:p w:rsidR="007D1213" w:rsidRPr="000E43F9" w:rsidRDefault="007D1213" w:rsidP="007D1213">
      <w:pPr>
        <w:wordWrap/>
        <w:spacing w:after="0" w:line="360" w:lineRule="auto"/>
        <w:jc w:val="left"/>
        <w:rPr>
          <w:rFonts w:ascii="Times New Roman" w:eastAsia="연세본문체" w:hAnsi="Times New Roman" w:cs="Times New Roman"/>
          <w:b/>
          <w:sz w:val="28"/>
          <w:szCs w:val="24"/>
          <w:lang w:val="en-US"/>
        </w:rPr>
      </w:pPr>
    </w:p>
    <w:p w:rsidR="009612EA" w:rsidRDefault="00574F56" w:rsidP="00574F56">
      <w:pPr>
        <w:pStyle w:val="MS"/>
        <w:spacing w:after="0" w:line="360" w:lineRule="auto"/>
        <w:ind w:right="0" w:firstLineChars="0" w:firstLine="0"/>
        <w:rPr>
          <w:rFonts w:ascii="Times New Roman" w:hAnsi="Times New Roman" w:cs="Times New Roman"/>
          <w:sz w:val="24"/>
          <w:szCs w:val="24"/>
        </w:rPr>
      </w:pPr>
      <w:r w:rsidRPr="00574F56">
        <w:rPr>
          <w:rFonts w:ascii="Times New Roman" w:eastAsia="연세본문체" w:hAnsi="Times New Roman" w:cs="Times New Roman"/>
          <w:b/>
          <w:sz w:val="24"/>
          <w:szCs w:val="24"/>
        </w:rPr>
        <w:t xml:space="preserve">Supplementary </w:t>
      </w:r>
      <w:r w:rsidR="009612EA" w:rsidRPr="000F7C80">
        <w:rPr>
          <w:rFonts w:ascii="Times New Roman" w:eastAsia="연세본문체" w:hAnsi="Times New Roman" w:cs="Times New Roman"/>
          <w:b/>
          <w:sz w:val="24"/>
          <w:szCs w:val="24"/>
        </w:rPr>
        <w:t xml:space="preserve">Figure S1. </w:t>
      </w:r>
      <w:r>
        <w:rPr>
          <w:rFonts w:ascii="Times New Roman" w:eastAsia="연세본문체" w:hAnsi="Times New Roman" w:cs="Times New Roman"/>
          <w:b/>
          <w:sz w:val="24"/>
          <w:szCs w:val="24"/>
        </w:rPr>
        <w:t xml:space="preserve">Rg3 activates cell signaling and </w:t>
      </w:r>
      <w:r w:rsidR="009612EA" w:rsidRPr="000F7C80">
        <w:rPr>
          <w:rFonts w:ascii="Times New Roman" w:eastAsia="연세본문체" w:hAnsi="Times New Roman" w:cs="Times New Roman"/>
          <w:b/>
          <w:sz w:val="24"/>
          <w:szCs w:val="24"/>
        </w:rPr>
        <w:t xml:space="preserve">mitochondrial biogenesis. </w:t>
      </w:r>
      <w:r w:rsidRPr="00574F56">
        <w:rPr>
          <w:rFonts w:ascii="Times New Roman" w:eastAsia="연세본문체" w:hAnsi="Times New Roman" w:cs="Times New Roman"/>
          <w:sz w:val="24"/>
          <w:szCs w:val="24"/>
        </w:rPr>
        <w:t>(A</w:t>
      </w:r>
      <w:r w:rsidRPr="00574F56">
        <w:rPr>
          <w:rFonts w:ascii="Times New Roman" w:eastAsia="연세본문체" w:hAnsi="Times New Roman" w:cs="Times New Roman" w:hint="eastAsia"/>
          <w:sz w:val="24"/>
          <w:szCs w:val="24"/>
        </w:rPr>
        <w:t>)</w:t>
      </w:r>
      <w:r w:rsidRPr="00574F56">
        <w:rPr>
          <w:rFonts w:ascii="Times New Roman" w:eastAsia="연세본문체" w:hAnsi="Times New Roman" w:cs="Times New Roman"/>
          <w:sz w:val="24"/>
          <w:szCs w:val="24"/>
        </w:rPr>
        <w:t xml:space="preserve"> </w:t>
      </w:r>
      <w:r w:rsidR="009612EA" w:rsidRPr="00574F56">
        <w:rPr>
          <w:rFonts w:ascii="Times New Roman" w:eastAsia="연세본문체" w:hAnsi="Times New Roman" w:cs="Times New Roman"/>
          <w:sz w:val="24"/>
          <w:szCs w:val="24"/>
        </w:rPr>
        <w:t>Transcriptional</w:t>
      </w:r>
      <w:r w:rsidR="009612EA" w:rsidRPr="000F7C80">
        <w:rPr>
          <w:rFonts w:ascii="Times New Roman" w:eastAsia="연세본문체" w:hAnsi="Times New Roman" w:cs="Times New Roman"/>
          <w:sz w:val="24"/>
          <w:szCs w:val="24"/>
        </w:rPr>
        <w:t xml:space="preserve"> regulations of main regulator of mitochondrial biogenesis (PGC1α) and antioxidant enzymes (SOD2 and catalase) by Rg3 were measured by quantitative PCR. </w:t>
      </w:r>
      <w:r>
        <w:rPr>
          <w:rFonts w:ascii="Times New Roman" w:eastAsia="연세본문체" w:hAnsi="Times New Roman" w:cs="Times New Roman"/>
          <w:sz w:val="24"/>
          <w:szCs w:val="24"/>
        </w:rPr>
        <w:t xml:space="preserve">(B, C) </w:t>
      </w:r>
      <w:r w:rsidRPr="000F7C80">
        <w:rPr>
          <w:rFonts w:ascii="Times New Roman" w:eastAsia="연세본문체" w:hAnsi="Times New Roman" w:cs="Times New Roman"/>
          <w:sz w:val="24"/>
          <w:szCs w:val="24"/>
        </w:rPr>
        <w:t xml:space="preserve">Effects of acute (1 h; </w:t>
      </w:r>
      <w:r>
        <w:rPr>
          <w:rFonts w:ascii="Times New Roman" w:eastAsia="연세본문체" w:hAnsi="Times New Roman" w:cs="Times New Roman"/>
          <w:sz w:val="24"/>
          <w:szCs w:val="24"/>
        </w:rPr>
        <w:t>B</w:t>
      </w:r>
      <w:r w:rsidRPr="000F7C80">
        <w:rPr>
          <w:rFonts w:ascii="Times New Roman" w:eastAsia="연세본문체" w:hAnsi="Times New Roman" w:cs="Times New Roman"/>
          <w:sz w:val="24"/>
          <w:szCs w:val="24"/>
        </w:rPr>
        <w:t xml:space="preserve">) and chronic (5 days; </w:t>
      </w:r>
      <w:r>
        <w:rPr>
          <w:rFonts w:ascii="Times New Roman" w:eastAsia="연세본문체" w:hAnsi="Times New Roman" w:cs="Times New Roman"/>
          <w:sz w:val="24"/>
          <w:szCs w:val="24"/>
        </w:rPr>
        <w:t>C</w:t>
      </w:r>
      <w:r w:rsidRPr="000F7C80">
        <w:rPr>
          <w:rFonts w:ascii="Times New Roman" w:eastAsia="연세본문체" w:hAnsi="Times New Roman" w:cs="Times New Roman"/>
          <w:sz w:val="24"/>
          <w:szCs w:val="24"/>
        </w:rPr>
        <w:t xml:space="preserve">) exposure of Rg3 on AMP-activated protein kinase (AMPK) and </w:t>
      </w:r>
      <w:proofErr w:type="spellStart"/>
      <w:r w:rsidRPr="006F626B">
        <w:rPr>
          <w:rFonts w:ascii="Times New Roman" w:eastAsia="연세본문체" w:hAnsi="Times New Roman" w:cs="Times New Roman"/>
          <w:sz w:val="24"/>
          <w:szCs w:val="24"/>
        </w:rPr>
        <w:t>cAMP</w:t>
      </w:r>
      <w:proofErr w:type="spellEnd"/>
      <w:r w:rsidRPr="006F626B">
        <w:rPr>
          <w:rFonts w:ascii="Times New Roman" w:eastAsia="연세본문체" w:hAnsi="Times New Roman" w:cs="Times New Roman"/>
          <w:sz w:val="24"/>
          <w:szCs w:val="24"/>
        </w:rPr>
        <w:t xml:space="preserve"> response element-binding protein (CREB)</w:t>
      </w:r>
      <w:r w:rsidRPr="000F7C80">
        <w:rPr>
          <w:rFonts w:ascii="Times New Roman" w:eastAsia="연세본문체" w:hAnsi="Times New Roman" w:cs="Times New Roman"/>
          <w:sz w:val="24"/>
          <w:szCs w:val="24"/>
        </w:rPr>
        <w:t xml:space="preserve"> activation. </w:t>
      </w:r>
      <w:r w:rsidRPr="000F7C80">
        <w:rPr>
          <w:rFonts w:ascii="Times New Roman" w:hAnsi="Times New Roman" w:cs="Times New Roman"/>
          <w:sz w:val="24"/>
          <w:szCs w:val="24"/>
        </w:rPr>
        <w:t>Data are presented as mean ± SD</w:t>
      </w:r>
      <w:r w:rsidRPr="000F7C80">
        <w:rPr>
          <w:rFonts w:ascii="Times New Roman" w:eastAsia="연세본문체" w:hAnsi="Times New Roman" w:cs="Times New Roman"/>
          <w:sz w:val="24"/>
          <w:szCs w:val="24"/>
        </w:rPr>
        <w:t xml:space="preserve">, * </w:t>
      </w:r>
      <w:r w:rsidRPr="000F7C80">
        <w:rPr>
          <w:rFonts w:ascii="Times New Roman" w:eastAsia="연세본문체" w:hAnsi="Times New Roman" w:cs="Times New Roman"/>
          <w:i/>
          <w:sz w:val="24"/>
          <w:szCs w:val="24"/>
        </w:rPr>
        <w:t>P</w:t>
      </w:r>
      <w:r w:rsidRPr="000F7C80">
        <w:rPr>
          <w:rFonts w:ascii="Times New Roman" w:eastAsia="연세본문체" w:hAnsi="Times New Roman" w:cs="Times New Roman"/>
          <w:sz w:val="24"/>
          <w:szCs w:val="24"/>
        </w:rPr>
        <w:t xml:space="preserve">&lt;0.05 and ** </w:t>
      </w:r>
      <w:r w:rsidRPr="000F7C80">
        <w:rPr>
          <w:rFonts w:ascii="Times New Roman" w:eastAsia="연세본문체" w:hAnsi="Times New Roman" w:cs="Times New Roman"/>
          <w:i/>
          <w:sz w:val="24"/>
          <w:szCs w:val="24"/>
        </w:rPr>
        <w:t>P</w:t>
      </w:r>
      <w:r w:rsidRPr="000F7C80">
        <w:rPr>
          <w:rFonts w:ascii="Times New Roman" w:eastAsia="연세본문체" w:hAnsi="Times New Roman" w:cs="Times New Roman"/>
          <w:sz w:val="24"/>
          <w:szCs w:val="24"/>
        </w:rPr>
        <w:t>&lt;0.01.</w:t>
      </w:r>
    </w:p>
    <w:p w:rsidR="00574F56" w:rsidRPr="000F7C80" w:rsidRDefault="00574F56" w:rsidP="007D1213">
      <w:pPr>
        <w:wordWrap/>
        <w:spacing w:after="0" w:line="360" w:lineRule="auto"/>
        <w:rPr>
          <w:rFonts w:ascii="Times New Roman" w:eastAsia="연세본문체" w:hAnsi="Times New Roman" w:cs="Times New Roman"/>
          <w:b/>
          <w:sz w:val="24"/>
          <w:szCs w:val="24"/>
          <w:lang w:val="en-US"/>
        </w:rPr>
      </w:pPr>
    </w:p>
    <w:p w:rsidR="00121820" w:rsidRDefault="00574F56" w:rsidP="007D1213">
      <w:pPr>
        <w:wordWrap/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74F56">
        <w:rPr>
          <w:rFonts w:ascii="Times New Roman" w:eastAsia="연세본문체" w:hAnsi="Times New Roman" w:cs="Times New Roman"/>
          <w:b/>
          <w:sz w:val="24"/>
          <w:szCs w:val="24"/>
        </w:rPr>
        <w:t xml:space="preserve">Supplementary </w:t>
      </w:r>
      <w:r w:rsidR="009612EA" w:rsidRPr="000F7C80">
        <w:rPr>
          <w:rFonts w:ascii="Times New Roman" w:eastAsia="연세본문체" w:hAnsi="Times New Roman" w:cs="Times New Roman"/>
          <w:b/>
          <w:sz w:val="24"/>
          <w:szCs w:val="24"/>
          <w:lang w:val="en-US"/>
        </w:rPr>
        <w:t>Figure S2. Ca</w:t>
      </w:r>
      <w:r w:rsidR="009612EA" w:rsidRPr="000F7C80">
        <w:rPr>
          <w:rFonts w:ascii="Times New Roman" w:eastAsia="연세본문체" w:hAnsi="Times New Roman" w:cs="Times New Roman"/>
          <w:b/>
          <w:sz w:val="24"/>
          <w:szCs w:val="24"/>
          <w:vertAlign w:val="superscript"/>
          <w:lang w:val="en-US"/>
        </w:rPr>
        <w:t>2+</w:t>
      </w:r>
      <w:r w:rsidR="009612EA" w:rsidRPr="000F7C80">
        <w:rPr>
          <w:rFonts w:ascii="Times New Roman" w:eastAsia="연세본문체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eastAsia="연세본문체" w:hAnsi="Times New Roman" w:cs="Times New Roman"/>
          <w:b/>
          <w:sz w:val="24"/>
          <w:szCs w:val="24"/>
          <w:lang w:val="en-US"/>
        </w:rPr>
        <w:t>increase by Rg3 activates mitochondrial respiration</w:t>
      </w:r>
      <w:r w:rsidR="009612EA" w:rsidRPr="000F7C80">
        <w:rPr>
          <w:rFonts w:ascii="Times New Roman" w:eastAsia="연세본문체" w:hAnsi="Times New Roman" w:cs="Times New Roman"/>
          <w:b/>
          <w:sz w:val="24"/>
          <w:szCs w:val="24"/>
          <w:lang w:val="en-US"/>
        </w:rPr>
        <w:t xml:space="preserve">. </w:t>
      </w:r>
      <w:r w:rsidRPr="00574F56">
        <w:rPr>
          <w:rFonts w:ascii="Times New Roman" w:eastAsia="연세본문체" w:hAnsi="Times New Roman" w:cs="Times New Roman"/>
          <w:sz w:val="24"/>
          <w:szCs w:val="24"/>
          <w:lang w:val="en-US"/>
        </w:rPr>
        <w:t xml:space="preserve">(A) </w:t>
      </w:r>
      <w:r>
        <w:rPr>
          <w:rFonts w:ascii="Times New Roman" w:eastAsia="연세본문체" w:hAnsi="Times New Roman" w:cs="Times New Roman"/>
          <w:sz w:val="24"/>
          <w:szCs w:val="24"/>
          <w:lang w:val="en-US"/>
        </w:rPr>
        <w:t>I</w:t>
      </w:r>
      <w:r w:rsidRPr="00574F56">
        <w:rPr>
          <w:rFonts w:ascii="Times New Roman" w:eastAsia="연세본문체" w:hAnsi="Times New Roman" w:cs="Times New Roman"/>
          <w:sz w:val="24"/>
          <w:szCs w:val="24"/>
          <w:lang w:val="en-US"/>
        </w:rPr>
        <w:t>ncrease</w:t>
      </w:r>
      <w:r>
        <w:rPr>
          <w:rFonts w:ascii="Times New Roman" w:eastAsia="연세본문체" w:hAnsi="Times New Roman" w:cs="Times New Roman"/>
          <w:sz w:val="24"/>
          <w:szCs w:val="24"/>
          <w:lang w:val="en-US"/>
        </w:rPr>
        <w:t>d</w:t>
      </w:r>
      <w:r w:rsidRPr="00574F56">
        <w:rPr>
          <w:rFonts w:ascii="Times New Roman" w:eastAsia="연세본문체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연세본문체" w:hAnsi="Times New Roman" w:cs="Times New Roman"/>
          <w:sz w:val="24"/>
          <w:szCs w:val="24"/>
          <w:lang w:val="en-US"/>
        </w:rPr>
        <w:t>c</w:t>
      </w:r>
      <w:r w:rsidRPr="00574F56">
        <w:rPr>
          <w:rFonts w:ascii="Times New Roman" w:eastAsia="연세본문체" w:hAnsi="Times New Roman" w:cs="Times New Roman"/>
          <w:sz w:val="24"/>
          <w:szCs w:val="24"/>
          <w:lang w:val="en-US"/>
        </w:rPr>
        <w:t>ytosolic Ca</w:t>
      </w:r>
      <w:r w:rsidRPr="00574F56">
        <w:rPr>
          <w:rFonts w:ascii="Times New Roman" w:eastAsia="연세본문체" w:hAnsi="Times New Roman" w:cs="Times New Roman"/>
          <w:kern w:val="0"/>
          <w:sz w:val="24"/>
          <w:szCs w:val="24"/>
          <w:vertAlign w:val="superscript"/>
          <w:lang w:val="en-US"/>
        </w:rPr>
        <w:t>2</w:t>
      </w:r>
      <w:r>
        <w:rPr>
          <w:rFonts w:ascii="Times New Roman" w:eastAsia="연세본문체" w:hAnsi="Times New Roman" w:cs="Times New Roman"/>
          <w:kern w:val="0"/>
          <w:sz w:val="24"/>
          <w:szCs w:val="24"/>
          <w:vertAlign w:val="superscript"/>
          <w:lang w:val="en-US"/>
        </w:rPr>
        <w:t>+</w:t>
      </w:r>
      <w:r>
        <w:rPr>
          <w:rFonts w:ascii="Times New Roman" w:eastAsia="연세본문체" w:hAnsi="Times New Roman" w:cs="Times New Roman"/>
          <w:sz w:val="24"/>
          <w:szCs w:val="24"/>
          <w:lang w:val="en-US"/>
        </w:rPr>
        <w:t xml:space="preserve"> concentration (</w:t>
      </w:r>
      <w:r w:rsidRPr="00574F56">
        <w:rPr>
          <w:rFonts w:ascii="Times New Roman" w:eastAsia="연세본문체" w:hAnsi="Times New Roman" w:cs="Times New Roman"/>
          <w:sz w:val="24"/>
          <w:szCs w:val="24"/>
          <w:lang w:val="en-US"/>
        </w:rPr>
        <w:t>[</w:t>
      </w:r>
      <w:r w:rsidRPr="00574F56">
        <w:rPr>
          <w:rFonts w:ascii="Times New Roman" w:eastAsia="연세본문체" w:hAnsi="Times New Roman" w:cs="Times New Roman"/>
          <w:kern w:val="0"/>
          <w:sz w:val="24"/>
          <w:szCs w:val="24"/>
          <w:lang w:val="en-US"/>
        </w:rPr>
        <w:t>Ca</w:t>
      </w:r>
      <w:r w:rsidRPr="00574F56">
        <w:rPr>
          <w:rFonts w:ascii="Times New Roman" w:eastAsia="연세본문체" w:hAnsi="Times New Roman" w:cs="Times New Roman"/>
          <w:kern w:val="0"/>
          <w:sz w:val="24"/>
          <w:szCs w:val="24"/>
          <w:vertAlign w:val="superscript"/>
          <w:lang w:val="en-US"/>
        </w:rPr>
        <w:t>2</w:t>
      </w:r>
      <w:proofErr w:type="gramStart"/>
      <w:r w:rsidRPr="000F7C80">
        <w:rPr>
          <w:rFonts w:ascii="Times New Roman" w:eastAsia="연세본문체" w:hAnsi="Times New Roman" w:cs="Times New Roman"/>
          <w:kern w:val="0"/>
          <w:sz w:val="24"/>
          <w:szCs w:val="24"/>
          <w:vertAlign w:val="superscript"/>
          <w:lang w:val="en-US"/>
        </w:rPr>
        <w:t>+</w:t>
      </w:r>
      <w:r w:rsidRPr="000F7C80">
        <w:rPr>
          <w:rFonts w:ascii="Times New Roman" w:eastAsia="연세본문체" w:hAnsi="Times New Roman" w:cs="Times New Roman"/>
          <w:kern w:val="0"/>
          <w:sz w:val="24"/>
          <w:szCs w:val="24"/>
          <w:lang w:val="en-US"/>
        </w:rPr>
        <w:t>]</w:t>
      </w:r>
      <w:proofErr w:type="spellStart"/>
      <w:r w:rsidRPr="000F7C80">
        <w:rPr>
          <w:rFonts w:ascii="Times New Roman" w:eastAsia="연세본문체" w:hAnsi="Times New Roman" w:cs="Times New Roman"/>
          <w:i/>
          <w:kern w:val="0"/>
          <w:sz w:val="24"/>
          <w:szCs w:val="24"/>
          <w:vertAlign w:val="subscript"/>
          <w:lang w:val="en-US"/>
        </w:rPr>
        <w:t>i</w:t>
      </w:r>
      <w:proofErr w:type="spellEnd"/>
      <w:proofErr w:type="gramEnd"/>
      <w:r>
        <w:rPr>
          <w:rFonts w:ascii="Times New Roman" w:eastAsia="연세본문체" w:hAnsi="Times New Roman" w:cs="Times New Roman"/>
          <w:sz w:val="24"/>
          <w:szCs w:val="24"/>
          <w:lang w:val="en-US"/>
        </w:rPr>
        <w:t>)</w:t>
      </w:r>
      <w:r w:rsidRPr="00574F56">
        <w:rPr>
          <w:rFonts w:ascii="Times New Roman" w:eastAsia="연세본문체" w:hAnsi="Times New Roman" w:cs="Times New Roman"/>
          <w:sz w:val="24"/>
          <w:szCs w:val="24"/>
          <w:lang w:val="en-US"/>
        </w:rPr>
        <w:t xml:space="preserve"> under </w:t>
      </w:r>
      <w:r>
        <w:rPr>
          <w:rFonts w:ascii="Times New Roman" w:eastAsia="연세본문체" w:hAnsi="Times New Roman" w:cs="Times New Roman"/>
          <w:sz w:val="24"/>
          <w:szCs w:val="24"/>
          <w:lang w:val="en-US"/>
        </w:rPr>
        <w:t>extracellular Ca</w:t>
      </w:r>
      <w:r w:rsidRPr="00574F56">
        <w:rPr>
          <w:rFonts w:ascii="Times New Roman" w:eastAsia="연세본문체" w:hAnsi="Times New Roman" w:cs="Times New Roman"/>
          <w:kern w:val="0"/>
          <w:sz w:val="24"/>
          <w:szCs w:val="24"/>
          <w:vertAlign w:val="superscript"/>
          <w:lang w:val="en-US"/>
        </w:rPr>
        <w:t>2</w:t>
      </w:r>
      <w:r>
        <w:rPr>
          <w:rFonts w:ascii="Times New Roman" w:eastAsia="연세본문체" w:hAnsi="Times New Roman" w:cs="Times New Roman"/>
          <w:kern w:val="0"/>
          <w:sz w:val="24"/>
          <w:szCs w:val="24"/>
          <w:vertAlign w:val="superscript"/>
          <w:lang w:val="en-US"/>
        </w:rPr>
        <w:t>+</w:t>
      </w:r>
      <w:r w:rsidRPr="00574F56">
        <w:rPr>
          <w:rFonts w:ascii="Times New Roman" w:eastAsia="연세본문체" w:hAnsi="Times New Roman" w:cs="Times New Roman"/>
          <w:sz w:val="24"/>
          <w:szCs w:val="24"/>
          <w:lang w:val="en-US"/>
        </w:rPr>
        <w:t xml:space="preserve"> free condition. </w:t>
      </w:r>
      <w:r w:rsidR="009612EA" w:rsidRPr="00574F56">
        <w:rPr>
          <w:rFonts w:ascii="Times New Roman" w:eastAsia="연세본문체" w:hAnsi="Times New Roman" w:cs="Times New Roman"/>
          <w:sz w:val="24"/>
          <w:szCs w:val="24"/>
          <w:lang w:val="en-US"/>
        </w:rPr>
        <w:t>[</w:t>
      </w:r>
      <w:r w:rsidR="009612EA" w:rsidRPr="00574F56">
        <w:rPr>
          <w:rFonts w:ascii="Times New Roman" w:eastAsia="연세본문체" w:hAnsi="Times New Roman" w:cs="Times New Roman"/>
          <w:kern w:val="0"/>
          <w:sz w:val="24"/>
          <w:szCs w:val="24"/>
          <w:lang w:val="en-US"/>
        </w:rPr>
        <w:t>Ca</w:t>
      </w:r>
      <w:r w:rsidR="009612EA" w:rsidRPr="00574F56">
        <w:rPr>
          <w:rFonts w:ascii="Times New Roman" w:eastAsia="연세본문체" w:hAnsi="Times New Roman" w:cs="Times New Roman"/>
          <w:kern w:val="0"/>
          <w:sz w:val="24"/>
          <w:szCs w:val="24"/>
          <w:vertAlign w:val="superscript"/>
          <w:lang w:val="en-US"/>
        </w:rPr>
        <w:t>2</w:t>
      </w:r>
      <w:proofErr w:type="gramStart"/>
      <w:r w:rsidR="009612EA" w:rsidRPr="000F7C80">
        <w:rPr>
          <w:rFonts w:ascii="Times New Roman" w:eastAsia="연세본문체" w:hAnsi="Times New Roman" w:cs="Times New Roman"/>
          <w:kern w:val="0"/>
          <w:sz w:val="24"/>
          <w:szCs w:val="24"/>
          <w:vertAlign w:val="superscript"/>
          <w:lang w:val="en-US"/>
        </w:rPr>
        <w:t>+</w:t>
      </w:r>
      <w:r w:rsidR="009612EA" w:rsidRPr="000F7C80">
        <w:rPr>
          <w:rFonts w:ascii="Times New Roman" w:eastAsia="연세본문체" w:hAnsi="Times New Roman" w:cs="Times New Roman"/>
          <w:kern w:val="0"/>
          <w:sz w:val="24"/>
          <w:szCs w:val="24"/>
          <w:lang w:val="en-US"/>
        </w:rPr>
        <w:t>]</w:t>
      </w:r>
      <w:proofErr w:type="spellStart"/>
      <w:r w:rsidR="009612EA" w:rsidRPr="000F7C80">
        <w:rPr>
          <w:rFonts w:ascii="Times New Roman" w:eastAsia="연세본문체" w:hAnsi="Times New Roman" w:cs="Times New Roman"/>
          <w:i/>
          <w:kern w:val="0"/>
          <w:sz w:val="24"/>
          <w:szCs w:val="24"/>
          <w:vertAlign w:val="subscript"/>
          <w:lang w:val="en-US"/>
        </w:rPr>
        <w:t>i</w:t>
      </w:r>
      <w:proofErr w:type="spellEnd"/>
      <w:proofErr w:type="gramEnd"/>
      <w:r w:rsidR="009612EA" w:rsidRPr="000F7C80">
        <w:rPr>
          <w:rFonts w:ascii="Times New Roman" w:eastAsia="연세본문체" w:hAnsi="Times New Roman" w:cs="Times New Roman"/>
          <w:i/>
          <w:kern w:val="0"/>
          <w:sz w:val="24"/>
          <w:szCs w:val="24"/>
          <w:vertAlign w:val="subscript"/>
          <w:lang w:val="en-US"/>
        </w:rPr>
        <w:t xml:space="preserve"> </w:t>
      </w:r>
      <w:r w:rsidR="009612EA" w:rsidRPr="00574F56">
        <w:rPr>
          <w:rFonts w:ascii="Times New Roman" w:eastAsia="연세본문체" w:hAnsi="Times New Roman" w:cs="Times New Roman"/>
          <w:kern w:val="0"/>
          <w:sz w:val="24"/>
          <w:szCs w:val="24"/>
          <w:lang w:val="en-US"/>
        </w:rPr>
        <w:t xml:space="preserve">measurement using fluorescence imaging system after Fura-2-AM dye loading. Rg3-induced </w:t>
      </w:r>
      <w:r w:rsidR="009612EA" w:rsidRPr="00574F56">
        <w:rPr>
          <w:rFonts w:ascii="Times New Roman" w:eastAsia="연세본문체" w:hAnsi="Times New Roman" w:cs="Times New Roman"/>
          <w:sz w:val="24"/>
          <w:szCs w:val="24"/>
          <w:lang w:val="en-US"/>
        </w:rPr>
        <w:t>[</w:t>
      </w:r>
      <w:r w:rsidR="009612EA" w:rsidRPr="00574F56">
        <w:rPr>
          <w:rFonts w:ascii="Times New Roman" w:eastAsia="연세본문체" w:hAnsi="Times New Roman" w:cs="Times New Roman"/>
          <w:kern w:val="0"/>
          <w:sz w:val="24"/>
          <w:szCs w:val="24"/>
          <w:lang w:val="en-US"/>
        </w:rPr>
        <w:t>Ca</w:t>
      </w:r>
      <w:r w:rsidR="009612EA" w:rsidRPr="00574F56">
        <w:rPr>
          <w:rFonts w:ascii="Times New Roman" w:eastAsia="연세본문체" w:hAnsi="Times New Roman" w:cs="Times New Roman"/>
          <w:kern w:val="0"/>
          <w:sz w:val="24"/>
          <w:szCs w:val="24"/>
          <w:vertAlign w:val="superscript"/>
          <w:lang w:val="en-US"/>
        </w:rPr>
        <w:t>2</w:t>
      </w:r>
      <w:proofErr w:type="gramStart"/>
      <w:r w:rsidR="009612EA" w:rsidRPr="00574F56">
        <w:rPr>
          <w:rFonts w:ascii="Times New Roman" w:eastAsia="연세본문체" w:hAnsi="Times New Roman" w:cs="Times New Roman"/>
          <w:kern w:val="0"/>
          <w:sz w:val="24"/>
          <w:szCs w:val="24"/>
          <w:vertAlign w:val="superscript"/>
          <w:lang w:val="en-US"/>
        </w:rPr>
        <w:t>+</w:t>
      </w:r>
      <w:r w:rsidR="009612EA" w:rsidRPr="00574F56">
        <w:rPr>
          <w:rFonts w:ascii="Times New Roman" w:eastAsia="연세본문체" w:hAnsi="Times New Roman" w:cs="Times New Roman"/>
          <w:kern w:val="0"/>
          <w:sz w:val="24"/>
          <w:szCs w:val="24"/>
          <w:lang w:val="en-US"/>
        </w:rPr>
        <w:t>]</w:t>
      </w:r>
      <w:proofErr w:type="spellStart"/>
      <w:r w:rsidR="009612EA" w:rsidRPr="00574F56">
        <w:rPr>
          <w:rFonts w:ascii="Times New Roman" w:eastAsia="연세본문체" w:hAnsi="Times New Roman" w:cs="Times New Roman"/>
          <w:i/>
          <w:kern w:val="0"/>
          <w:sz w:val="24"/>
          <w:szCs w:val="24"/>
          <w:vertAlign w:val="subscript"/>
          <w:lang w:val="en-US"/>
        </w:rPr>
        <w:t>i</w:t>
      </w:r>
      <w:proofErr w:type="spellEnd"/>
      <w:proofErr w:type="gramEnd"/>
      <w:r w:rsidR="009612EA" w:rsidRPr="00574F56">
        <w:rPr>
          <w:rFonts w:ascii="Times New Roman" w:eastAsia="연세본문체" w:hAnsi="Times New Roman" w:cs="Times New Roman"/>
          <w:i/>
          <w:kern w:val="0"/>
          <w:sz w:val="24"/>
          <w:szCs w:val="24"/>
          <w:vertAlign w:val="subscript"/>
          <w:lang w:val="en-US"/>
        </w:rPr>
        <w:t xml:space="preserve"> </w:t>
      </w:r>
      <w:r w:rsidR="009612EA" w:rsidRPr="00574F56">
        <w:rPr>
          <w:rFonts w:ascii="Times New Roman" w:eastAsia="연세본문체" w:hAnsi="Times New Roman" w:cs="Times New Roman"/>
          <w:kern w:val="0"/>
          <w:sz w:val="24"/>
          <w:szCs w:val="24"/>
          <w:lang w:val="en-US"/>
        </w:rPr>
        <w:t>elevations under Ca</w:t>
      </w:r>
      <w:r w:rsidR="009612EA" w:rsidRPr="00574F56">
        <w:rPr>
          <w:rFonts w:ascii="Times New Roman" w:eastAsia="연세본문체" w:hAnsi="Times New Roman" w:cs="Times New Roman"/>
          <w:kern w:val="0"/>
          <w:sz w:val="24"/>
          <w:szCs w:val="24"/>
          <w:vertAlign w:val="superscript"/>
          <w:lang w:val="en-US"/>
        </w:rPr>
        <w:t>2+</w:t>
      </w:r>
      <w:r w:rsidR="009612EA" w:rsidRPr="00574F56">
        <w:rPr>
          <w:rFonts w:ascii="Times New Roman" w:eastAsia="연세본문체" w:hAnsi="Times New Roman" w:cs="Times New Roman"/>
          <w:kern w:val="0"/>
          <w:sz w:val="24"/>
          <w:szCs w:val="24"/>
          <w:lang w:val="en-US"/>
        </w:rPr>
        <w:t xml:space="preserve"> free and normal Ca</w:t>
      </w:r>
      <w:r w:rsidR="009612EA" w:rsidRPr="00574F56">
        <w:rPr>
          <w:rFonts w:ascii="Times New Roman" w:eastAsia="연세본문체" w:hAnsi="Times New Roman" w:cs="Times New Roman"/>
          <w:kern w:val="0"/>
          <w:sz w:val="24"/>
          <w:szCs w:val="24"/>
          <w:vertAlign w:val="superscript"/>
          <w:lang w:val="en-US"/>
        </w:rPr>
        <w:t>2+</w:t>
      </w:r>
      <w:r w:rsidR="009612EA" w:rsidRPr="00574F56">
        <w:rPr>
          <w:rFonts w:ascii="Times New Roman" w:eastAsia="연세본문체" w:hAnsi="Times New Roman" w:cs="Times New Roman"/>
          <w:kern w:val="0"/>
          <w:sz w:val="24"/>
          <w:szCs w:val="24"/>
          <w:lang w:val="en-US"/>
        </w:rPr>
        <w:t xml:space="preserve"> conditions were compared by the area under the curve (AUC) above the baseline. </w:t>
      </w:r>
      <w:r w:rsidRPr="00574F56">
        <w:rPr>
          <w:rFonts w:ascii="Times New Roman" w:eastAsia="연세본문체" w:hAnsi="Times New Roman" w:cs="Times New Roman"/>
          <w:kern w:val="0"/>
          <w:sz w:val="24"/>
          <w:szCs w:val="24"/>
          <w:lang w:val="en-US"/>
        </w:rPr>
        <w:t>(B) Role of intracellular Ca</w:t>
      </w:r>
      <w:r w:rsidRPr="00574F56">
        <w:rPr>
          <w:rFonts w:ascii="Times New Roman" w:eastAsia="연세본문체" w:hAnsi="Times New Roman" w:cs="Times New Roman"/>
          <w:sz w:val="24"/>
          <w:szCs w:val="24"/>
          <w:vertAlign w:val="superscript"/>
          <w:lang w:val="en-US"/>
        </w:rPr>
        <w:t>2+</w:t>
      </w:r>
      <w:r w:rsidRPr="00574F56">
        <w:rPr>
          <w:rFonts w:ascii="Times New Roman" w:eastAsia="연세본문체" w:hAnsi="Times New Roman" w:cs="Times New Roman"/>
          <w:kern w:val="0"/>
          <w:sz w:val="24"/>
          <w:szCs w:val="24"/>
          <w:lang w:val="en-US"/>
        </w:rPr>
        <w:t xml:space="preserve"> increase on acute Rg3-induced mitochondrial activation. BAPTA-AM (10 or 20 </w:t>
      </w:r>
      <w:proofErr w:type="spellStart"/>
      <w:r w:rsidRPr="00574F56">
        <w:rPr>
          <w:rFonts w:ascii="Times New Roman" w:eastAsia="바탕" w:hAnsi="Times New Roman" w:cs="Times New Roman"/>
          <w:kern w:val="0"/>
          <w:sz w:val="24"/>
          <w:szCs w:val="24"/>
          <w:lang w:val="en-US"/>
        </w:rPr>
        <w:t>μ</w:t>
      </w:r>
      <w:r w:rsidRPr="00574F56">
        <w:rPr>
          <w:rFonts w:ascii="Times New Roman" w:eastAsia="연세본문체" w:hAnsi="Times New Roman" w:cs="Times New Roman"/>
          <w:kern w:val="0"/>
          <w:sz w:val="24"/>
          <w:szCs w:val="24"/>
          <w:lang w:val="en-US"/>
        </w:rPr>
        <w:t>M</w:t>
      </w:r>
      <w:proofErr w:type="spellEnd"/>
      <w:r w:rsidRPr="00574F56">
        <w:rPr>
          <w:rFonts w:ascii="Times New Roman" w:eastAsia="연세본문체" w:hAnsi="Times New Roman" w:cs="Times New Roman"/>
          <w:kern w:val="0"/>
          <w:sz w:val="24"/>
          <w:szCs w:val="24"/>
          <w:lang w:val="en-US"/>
        </w:rPr>
        <w:t>) were pretreated for chelating intracellular Ca</w:t>
      </w:r>
      <w:r w:rsidRPr="00574F56">
        <w:rPr>
          <w:rFonts w:ascii="Times New Roman" w:eastAsia="연세본문체" w:hAnsi="Times New Roman" w:cs="Times New Roman"/>
          <w:kern w:val="0"/>
          <w:sz w:val="24"/>
          <w:szCs w:val="24"/>
          <w:vertAlign w:val="superscript"/>
          <w:lang w:val="en-US"/>
        </w:rPr>
        <w:t>2+</w:t>
      </w:r>
      <w:r w:rsidRPr="00574F56">
        <w:rPr>
          <w:rFonts w:ascii="Times New Roman" w:eastAsia="연세본문체" w:hAnsi="Times New Roman" w:cs="Times New Roman"/>
          <w:kern w:val="0"/>
          <w:sz w:val="24"/>
          <w:szCs w:val="24"/>
          <w:lang w:val="en-US"/>
        </w:rPr>
        <w:t>. Effects of intracellular Ca</w:t>
      </w:r>
      <w:r w:rsidRPr="00574F56">
        <w:rPr>
          <w:rFonts w:ascii="Times New Roman" w:eastAsia="연세본문체" w:hAnsi="Times New Roman" w:cs="Times New Roman"/>
          <w:kern w:val="0"/>
          <w:sz w:val="24"/>
          <w:szCs w:val="24"/>
          <w:vertAlign w:val="superscript"/>
          <w:lang w:val="en-US"/>
        </w:rPr>
        <w:t>2+</w:t>
      </w:r>
      <w:r w:rsidRPr="00574F56">
        <w:rPr>
          <w:rFonts w:ascii="Times New Roman" w:eastAsia="연세본문체" w:hAnsi="Times New Roman" w:cs="Times New Roman"/>
          <w:kern w:val="0"/>
          <w:sz w:val="24"/>
          <w:szCs w:val="24"/>
          <w:lang w:val="en-US"/>
        </w:rPr>
        <w:t xml:space="preserve"> reduction on mitochondrial oxygen consumption rate (OCR) changes by 1h exposure of Rg3 were evaluated. </w:t>
      </w:r>
      <w:r w:rsidRPr="00574F56">
        <w:rPr>
          <w:rFonts w:ascii="Times New Roman" w:hAnsi="Times New Roman" w:cs="Times New Roman"/>
          <w:sz w:val="24"/>
          <w:szCs w:val="24"/>
          <w:lang w:val="en-US"/>
        </w:rPr>
        <w:t>(C)</w:t>
      </w:r>
      <w:r w:rsidRPr="00574F56">
        <w:rPr>
          <w:rFonts w:ascii="Times New Roman" w:eastAsia="연세본문체" w:hAnsi="Times New Roman" w:cs="Times New Roman"/>
          <w:kern w:val="0"/>
          <w:sz w:val="24"/>
          <w:szCs w:val="24"/>
          <w:lang w:val="en-US"/>
        </w:rPr>
        <w:t xml:space="preserve"> Rg3-induced augmentation of biological health index. Based on oxygen consumption rate (OCR) data in Fig. 2D, enhanced biological health index by Rg3 was calculated by the equation as follow; BHI = log</w:t>
      </w:r>
      <w:r w:rsidRPr="00574F56">
        <w:rPr>
          <w:rFonts w:ascii="Times New Roman" w:eastAsia="연세본문체" w:hAnsi="Times New Roman" w:cs="Times New Roman"/>
          <w:kern w:val="0"/>
          <w:sz w:val="24"/>
          <w:szCs w:val="24"/>
          <w:vertAlign w:val="subscript"/>
          <w:lang w:val="en-US"/>
        </w:rPr>
        <w:t>10</w:t>
      </w:r>
      <w:r w:rsidRPr="00574F56">
        <w:rPr>
          <w:rFonts w:ascii="Times New Roman" w:eastAsia="연세본문체" w:hAnsi="Times New Roman" w:cs="Times New Roman"/>
          <w:kern w:val="0"/>
          <w:sz w:val="24"/>
          <w:szCs w:val="24"/>
          <w:lang w:val="en-US"/>
        </w:rPr>
        <w:t>[(ATP synthesis-linked</w:t>
      </w:r>
      <w:r w:rsidRPr="000F7C80">
        <w:rPr>
          <w:rFonts w:ascii="Times New Roman" w:eastAsia="연세본문체" w:hAnsi="Times New Roman" w:cs="Times New Roman"/>
          <w:kern w:val="0"/>
          <w:sz w:val="24"/>
          <w:szCs w:val="24"/>
          <w:lang w:val="en-US"/>
        </w:rPr>
        <w:t xml:space="preserve">) x (Spare Respiratory capacity) / (Proton leak) x (Non-mitochondrial respiration)]. </w:t>
      </w:r>
      <w:r w:rsidR="009612EA" w:rsidRPr="000F7C80">
        <w:rPr>
          <w:rFonts w:ascii="Times New Roman" w:hAnsi="Times New Roman" w:cs="Times New Roman"/>
          <w:sz w:val="24"/>
          <w:szCs w:val="24"/>
          <w:lang w:val="en-US"/>
        </w:rPr>
        <w:t xml:space="preserve">Data are presented as mean ± SD, </w:t>
      </w:r>
      <w:r w:rsidRPr="000F7C80">
        <w:rPr>
          <w:rFonts w:ascii="Times New Roman" w:hAnsi="Times New Roman" w:cs="Times New Roman"/>
          <w:sz w:val="24"/>
          <w:szCs w:val="24"/>
          <w:lang w:val="en-US"/>
        </w:rPr>
        <w:t xml:space="preserve">* </w:t>
      </w:r>
      <w:r w:rsidRPr="000F7C80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Pr="000F7C80">
        <w:rPr>
          <w:rFonts w:ascii="Times New Roman" w:hAnsi="Times New Roman" w:cs="Times New Roman"/>
          <w:sz w:val="24"/>
          <w:szCs w:val="24"/>
          <w:lang w:val="en-US"/>
        </w:rPr>
        <w:t xml:space="preserve">&lt;0.05, ** </w:t>
      </w:r>
      <w:r w:rsidRPr="000F7C80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Pr="000F7C80">
        <w:rPr>
          <w:rFonts w:ascii="Times New Roman" w:hAnsi="Times New Roman" w:cs="Times New Roman"/>
          <w:sz w:val="24"/>
          <w:szCs w:val="24"/>
          <w:lang w:val="en-US"/>
        </w:rPr>
        <w:t>&lt;0.01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0F7C8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612EA" w:rsidRPr="000F7C80">
        <w:rPr>
          <w:rFonts w:ascii="Times New Roman" w:hAnsi="Times New Roman" w:cs="Times New Roman"/>
          <w:sz w:val="24"/>
          <w:szCs w:val="24"/>
          <w:lang w:val="en-US"/>
        </w:rPr>
        <w:t xml:space="preserve">*** </w:t>
      </w:r>
      <w:r w:rsidR="009612EA" w:rsidRPr="000F7C80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="009612EA" w:rsidRPr="000F7C80">
        <w:rPr>
          <w:rFonts w:ascii="Times New Roman" w:hAnsi="Times New Roman" w:cs="Times New Roman"/>
          <w:sz w:val="24"/>
          <w:szCs w:val="24"/>
          <w:lang w:val="en-US"/>
        </w:rPr>
        <w:t xml:space="preserve">&lt;0.001 and **** </w:t>
      </w:r>
      <w:r w:rsidR="009612EA" w:rsidRPr="000F7C80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="009612EA" w:rsidRPr="000F7C80">
        <w:rPr>
          <w:rFonts w:ascii="Times New Roman" w:hAnsi="Times New Roman" w:cs="Times New Roman"/>
          <w:sz w:val="24"/>
          <w:szCs w:val="24"/>
          <w:lang w:val="en-US"/>
        </w:rPr>
        <w:t>&lt;0.0001.</w:t>
      </w:r>
    </w:p>
    <w:p w:rsidR="00BC4C7A" w:rsidRDefault="00BC4C7A" w:rsidP="007D1213">
      <w:pPr>
        <w:wordWrap/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BC4C7A" w:rsidRDefault="00BC4C7A" w:rsidP="007D1213">
      <w:pPr>
        <w:wordWrap/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74F56">
        <w:rPr>
          <w:rFonts w:ascii="Times New Roman" w:eastAsia="연세본문체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eastAsia="연세본문체" w:hAnsi="Times New Roman" w:cs="Times New Roman"/>
          <w:b/>
          <w:sz w:val="24"/>
          <w:szCs w:val="24"/>
          <w:lang w:val="en-US"/>
        </w:rPr>
        <w:t xml:space="preserve">Figure S3. Role of </w:t>
      </w:r>
      <w:r w:rsidR="003B739E">
        <w:rPr>
          <w:rFonts w:ascii="Times New Roman" w:eastAsia="연세본문체" w:hAnsi="Times New Roman" w:cs="Times New Roman"/>
          <w:b/>
          <w:sz w:val="24"/>
          <w:szCs w:val="24"/>
          <w:lang w:val="en-US"/>
        </w:rPr>
        <w:t xml:space="preserve">sustained </w:t>
      </w:r>
      <w:bookmarkStart w:id="0" w:name="_GoBack"/>
      <w:bookmarkEnd w:id="0"/>
      <w:r>
        <w:rPr>
          <w:rFonts w:ascii="Times New Roman" w:eastAsia="연세본문체" w:hAnsi="Times New Roman" w:cs="Times New Roman"/>
          <w:b/>
          <w:sz w:val="24"/>
          <w:szCs w:val="24"/>
          <w:lang w:val="en-US"/>
        </w:rPr>
        <w:t>Ca</w:t>
      </w:r>
      <w:r w:rsidRPr="00BC4C7A">
        <w:rPr>
          <w:rFonts w:ascii="Times New Roman" w:eastAsia="연세본문체" w:hAnsi="Times New Roman" w:cs="Times New Roman"/>
          <w:b/>
          <w:sz w:val="24"/>
          <w:szCs w:val="24"/>
          <w:vertAlign w:val="superscript"/>
          <w:lang w:val="en-US"/>
        </w:rPr>
        <w:t>2+</w:t>
      </w:r>
      <w:r>
        <w:rPr>
          <w:rFonts w:ascii="Times New Roman" w:eastAsia="연세본문체" w:hAnsi="Times New Roman" w:cs="Times New Roman"/>
          <w:b/>
          <w:sz w:val="24"/>
          <w:szCs w:val="24"/>
          <w:lang w:val="en-US"/>
        </w:rPr>
        <w:t xml:space="preserve"> elevation by Rg3 on stem cell fates.</w:t>
      </w:r>
    </w:p>
    <w:p w:rsidR="00121820" w:rsidRDefault="0012182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9612EA" w:rsidRPr="000F7C80" w:rsidRDefault="00121820" w:rsidP="00121820">
      <w:pPr>
        <w:wordWrap/>
        <w:spacing w:after="0" w:line="360" w:lineRule="auto"/>
        <w:jc w:val="center"/>
        <w:rPr>
          <w:rFonts w:ascii="Times New Roman" w:eastAsia="연세본문체" w:hAnsi="Times New Roman" w:cs="Times New Roman"/>
          <w:kern w:val="0"/>
          <w:sz w:val="24"/>
          <w:szCs w:val="24"/>
          <w:lang w:val="en-US"/>
        </w:rPr>
      </w:pPr>
      <w:r>
        <w:rPr>
          <w:rFonts w:ascii="Times New Roman" w:eastAsia="연세본문체" w:hAnsi="Times New Roman" w:cs="Times New Roman"/>
          <w:noProof/>
          <w:kern w:val="0"/>
          <w:sz w:val="24"/>
          <w:szCs w:val="24"/>
          <w:lang w:val="en-US"/>
        </w:rPr>
        <w:lastRenderedPageBreak/>
        <w:drawing>
          <wp:inline distT="0" distB="0" distL="0" distR="0">
            <wp:extent cx="3868615" cy="6676523"/>
            <wp:effectExtent l="0" t="0" r="635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 Figure 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8615" cy="6676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1820" w:rsidRDefault="00121820" w:rsidP="00121820">
      <w:pPr>
        <w:widowControl/>
        <w:wordWrap/>
        <w:autoSpaceDE/>
        <w:autoSpaceDN/>
        <w:rPr>
          <w:rFonts w:ascii="Times New Roman" w:eastAsia="연세본문체" w:hAnsi="Times New Roman" w:cs="Times New Roman"/>
          <w:b/>
          <w:sz w:val="24"/>
          <w:szCs w:val="24"/>
          <w:lang w:val="en-US"/>
        </w:rPr>
      </w:pPr>
    </w:p>
    <w:p w:rsidR="00121820" w:rsidRDefault="00121820">
      <w:pPr>
        <w:widowControl/>
        <w:wordWrap/>
        <w:autoSpaceDE/>
        <w:autoSpaceDN/>
        <w:rPr>
          <w:rFonts w:ascii="Times New Roman" w:eastAsia="연세본문체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연세본문체" w:hAnsi="Times New Roman" w:cs="Times New Roman"/>
          <w:b/>
          <w:sz w:val="24"/>
          <w:szCs w:val="24"/>
          <w:lang w:val="en-US"/>
        </w:rPr>
        <w:br w:type="page"/>
      </w:r>
    </w:p>
    <w:p w:rsidR="00121820" w:rsidRDefault="00121820" w:rsidP="00121820">
      <w:pPr>
        <w:widowControl/>
        <w:wordWrap/>
        <w:autoSpaceDE/>
        <w:autoSpaceDN/>
        <w:rPr>
          <w:rFonts w:ascii="Times New Roman" w:eastAsia="연세본문체" w:hAnsi="Times New Roman" w:cs="Times New Roman"/>
          <w:b/>
          <w:sz w:val="24"/>
          <w:szCs w:val="24"/>
          <w:lang w:val="en-US"/>
        </w:rPr>
      </w:pPr>
    </w:p>
    <w:p w:rsidR="003B739E" w:rsidRDefault="00121820" w:rsidP="00121820">
      <w:pPr>
        <w:widowControl/>
        <w:wordWrap/>
        <w:autoSpaceDE/>
        <w:autoSpaceDN/>
        <w:jc w:val="center"/>
        <w:rPr>
          <w:rFonts w:ascii="Times New Roman" w:eastAsia="연세본문체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연세본문체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 wp14:anchorId="2F59C36C" wp14:editId="21AADE5A">
            <wp:extent cx="7874452" cy="5093181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 Figure 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890136" cy="5103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739E" w:rsidRDefault="003B739E">
      <w:pPr>
        <w:widowControl/>
        <w:wordWrap/>
        <w:autoSpaceDE/>
        <w:autoSpaceDN/>
        <w:rPr>
          <w:rFonts w:ascii="Times New Roman" w:eastAsia="연세본문체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연세본문체" w:hAnsi="Times New Roman" w:cs="Times New Roman"/>
          <w:b/>
          <w:sz w:val="24"/>
          <w:szCs w:val="24"/>
          <w:lang w:val="en-US"/>
        </w:rPr>
        <w:br w:type="page"/>
      </w:r>
    </w:p>
    <w:p w:rsidR="009612EA" w:rsidRDefault="003B739E" w:rsidP="00121820">
      <w:pPr>
        <w:widowControl/>
        <w:wordWrap/>
        <w:autoSpaceDE/>
        <w:autoSpaceDN/>
        <w:jc w:val="center"/>
        <w:rPr>
          <w:rFonts w:ascii="Times New Roman" w:eastAsia="연세본문체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연세본문체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8504876" cy="4676457"/>
            <wp:effectExtent l="9208" t="0" r="952" b="953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phic abstract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542534" cy="4697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1213" w:rsidRDefault="00121820" w:rsidP="009612EA">
      <w:pPr>
        <w:widowControl/>
        <w:wordWrap/>
        <w:autoSpaceDE/>
        <w:autoSpaceDN/>
        <w:rPr>
          <w:rFonts w:ascii="Times New Roman" w:eastAsia="연세본문체" w:hAnsi="Times New Roman" w:cs="Times New Roman"/>
          <w:b/>
          <w:sz w:val="28"/>
          <w:szCs w:val="24"/>
          <w:lang w:val="en-US"/>
        </w:rPr>
      </w:pPr>
      <w:r>
        <w:rPr>
          <w:rFonts w:ascii="Times New Roman" w:eastAsia="연세본문체" w:hAnsi="Times New Roman" w:cs="Times New Roman"/>
          <w:b/>
          <w:sz w:val="28"/>
          <w:szCs w:val="24"/>
          <w:lang w:val="en-US"/>
        </w:rPr>
        <w:br w:type="page"/>
      </w:r>
      <w:r w:rsidR="009612EA" w:rsidRPr="009612EA">
        <w:rPr>
          <w:rFonts w:ascii="Times New Roman" w:eastAsia="연세본문체" w:hAnsi="Times New Roman" w:cs="Times New Roman" w:hint="eastAsia"/>
          <w:b/>
          <w:sz w:val="28"/>
          <w:szCs w:val="24"/>
          <w:lang w:val="en-US"/>
        </w:rPr>
        <w:lastRenderedPageBreak/>
        <w:t>Sup</w:t>
      </w:r>
      <w:r w:rsidR="009612EA" w:rsidRPr="009612EA">
        <w:rPr>
          <w:rFonts w:ascii="Times New Roman" w:eastAsia="연세본문체" w:hAnsi="Times New Roman" w:cs="Times New Roman"/>
          <w:b/>
          <w:sz w:val="28"/>
          <w:szCs w:val="24"/>
          <w:lang w:val="en-US"/>
        </w:rPr>
        <w:t>p</w:t>
      </w:r>
      <w:r w:rsidR="009612EA" w:rsidRPr="009612EA">
        <w:rPr>
          <w:rFonts w:ascii="Times New Roman" w:eastAsia="연세본문체" w:hAnsi="Times New Roman" w:cs="Times New Roman" w:hint="eastAsia"/>
          <w:b/>
          <w:sz w:val="28"/>
          <w:szCs w:val="24"/>
          <w:lang w:val="en-US"/>
        </w:rPr>
        <w:t xml:space="preserve">lementary </w:t>
      </w:r>
      <w:r w:rsidR="009612EA" w:rsidRPr="009612EA">
        <w:rPr>
          <w:rFonts w:ascii="Times New Roman" w:eastAsia="연세본문체" w:hAnsi="Times New Roman" w:cs="Times New Roman"/>
          <w:b/>
          <w:sz w:val="28"/>
          <w:szCs w:val="24"/>
          <w:lang w:val="en-US"/>
        </w:rPr>
        <w:t>table 1. List of primer sequence in quantitative PCR</w:t>
      </w:r>
    </w:p>
    <w:tbl>
      <w:tblPr>
        <w:tblW w:w="8978" w:type="dxa"/>
        <w:jc w:val="center"/>
        <w:tblCellMar>
          <w:left w:w="0" w:type="dxa"/>
          <w:right w:w="0" w:type="dxa"/>
        </w:tblCellMar>
        <w:tblLook w:val="06A0" w:firstRow="1" w:lastRow="0" w:firstColumn="1" w:lastColumn="0" w:noHBand="1" w:noVBand="1"/>
      </w:tblPr>
      <w:tblGrid>
        <w:gridCol w:w="1190"/>
        <w:gridCol w:w="1361"/>
        <w:gridCol w:w="6427"/>
      </w:tblGrid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Gene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6427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Primer sequence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OCT4</w:t>
            </w:r>
          </w:p>
        </w:tc>
        <w:tc>
          <w:tcPr>
            <w:tcW w:w="136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Forward</w:t>
            </w:r>
          </w:p>
        </w:tc>
        <w:tc>
          <w:tcPr>
            <w:tcW w:w="642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ACATCAAAGCTCTGCAGAAAGAACT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Reverse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CTGAATACCTTCCCAAATAGAACCC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SOX2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Forward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GGGAAATGGGAGGGGTGCAAAAGAGG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Reverse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TTGCGTGAGTGTGGATGGGATTGGTG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NANOG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Forward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ACCTATGCCTGTGATTTGTGG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Reverse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AGTGGGTTGTTTGCCTTTGG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p21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Forward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AGCAGCGGAACAAGGAGT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Reverse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TTACAGTCTAGGTGGAGAAACG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p53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Forward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GAGGTTGGCTCTGACTGTACC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Reverse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TCCGTCCCAGTAGATTACCAC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p16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Forward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TTCCCCCACTACCGTAAATGT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Reverse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GCTCACTCCAGAAAACTCCAAC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ALP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Forward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CACCCACGTCGATTGCATCT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Reverse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TAGCCACGTTGGTGTTGAGC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RUNX2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Forward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GTGGACGAGGCAAGAGTTTCA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Reverse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CATCAAGCTTCTGTCTGTGCC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PPARG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Forward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AGCCTCATGAAGAGCCTTCCAAC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Reverse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TCTCCGGAAGAAACCCTTGCATC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CEBPA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Forward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TGTATACCCCTGGTGGGAGA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Reverse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TCATAACTCCGGTCCCTCTG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PGC1A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Forward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TCCTTTCTCTCGCCCAACACGATCT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Reverse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GCATCCGACAGGACAAACAGTGGA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SOD2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Forward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TGGTGGTCATATCAATCATAGC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Reverse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ATTTGTAAGTGTCCCCGTTC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CAT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Forward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5’- TGGGATCTCGTTGGAAATAACAC -3’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Reverse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5’- TCAGGACGTAGGCTCCAGAAG -3’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PPIA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Forward</w:t>
            </w:r>
          </w:p>
        </w:tc>
        <w:tc>
          <w:tcPr>
            <w:tcW w:w="6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TCCTGGCATCTTGTCCAT -3'</w:t>
            </w:r>
          </w:p>
        </w:tc>
      </w:tr>
      <w:tr w:rsidR="007D1213" w:rsidRPr="00070F49" w:rsidTr="00D81D3D">
        <w:trPr>
          <w:trHeight w:val="331"/>
          <w:jc w:val="center"/>
        </w:trPr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Reverse</w:t>
            </w:r>
          </w:p>
        </w:tc>
        <w:tc>
          <w:tcPr>
            <w:tcW w:w="64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7D1213" w:rsidRPr="00070F49" w:rsidRDefault="007D1213" w:rsidP="00D81D3D">
            <w:pPr>
              <w:widowControl/>
              <w:wordWrap/>
              <w:autoSpaceDE/>
              <w:autoSpaceDN/>
              <w:spacing w:line="240" w:lineRule="auto"/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</w:pPr>
            <w:r w:rsidRPr="00070F49">
              <w:rPr>
                <w:rFonts w:ascii="Times New Roman" w:eastAsia="연세본문체" w:hAnsi="Times New Roman" w:cs="Times New Roman"/>
                <w:sz w:val="24"/>
                <w:szCs w:val="24"/>
                <w:lang w:val="en-US"/>
              </w:rPr>
              <w:t>5'- TGCTGGTCTTGCCATTCCT -3'</w:t>
            </w:r>
          </w:p>
        </w:tc>
      </w:tr>
    </w:tbl>
    <w:p w:rsidR="007D1213" w:rsidRPr="00070F49" w:rsidRDefault="007D1213" w:rsidP="007D1213">
      <w:pPr>
        <w:widowControl/>
        <w:wordWrap/>
        <w:autoSpaceDE/>
        <w:autoSpaceDN/>
        <w:spacing w:line="240" w:lineRule="auto"/>
        <w:rPr>
          <w:rFonts w:ascii="Times New Roman" w:eastAsia="연세본문체" w:hAnsi="Times New Roman" w:cs="Times New Roman"/>
          <w:sz w:val="24"/>
          <w:szCs w:val="24"/>
          <w:lang w:val="en-US"/>
        </w:rPr>
      </w:pPr>
      <w:r w:rsidRPr="00070F49">
        <w:rPr>
          <w:rFonts w:ascii="Times New Roman" w:eastAsia="연세본문체" w:hAnsi="Times New Roman" w:cs="Times New Roman"/>
          <w:sz w:val="24"/>
          <w:szCs w:val="24"/>
          <w:lang w:val="en-US"/>
        </w:rPr>
        <w:br w:type="page"/>
      </w:r>
    </w:p>
    <w:p w:rsidR="009612EA" w:rsidRDefault="00121820" w:rsidP="00121820">
      <w:pPr>
        <w:widowControl/>
        <w:wordWrap/>
        <w:autoSpaceDE/>
        <w:autoSpaceDN/>
        <w:rPr>
          <w:rFonts w:ascii="Times New Roman" w:eastAsia="연세본문체" w:hAnsi="Times New Roman" w:cs="Times New Roman"/>
          <w:b/>
          <w:sz w:val="24"/>
        </w:rPr>
      </w:pPr>
      <w:r>
        <w:rPr>
          <w:rFonts w:ascii="Times New Roman" w:eastAsia="연세본문체" w:hAnsi="Times New Roman" w:cs="Times New Roman"/>
          <w:b/>
          <w:sz w:val="28"/>
          <w:szCs w:val="28"/>
          <w:lang w:val="en-US"/>
        </w:rPr>
        <w:lastRenderedPageBreak/>
        <w:t xml:space="preserve">Supplemental </w:t>
      </w:r>
      <w:r w:rsidR="00EF5AB1">
        <w:rPr>
          <w:rFonts w:ascii="Times New Roman" w:eastAsia="연세본문체" w:hAnsi="Times New Roman" w:cs="Times New Roman"/>
          <w:b/>
          <w:sz w:val="28"/>
          <w:szCs w:val="28"/>
          <w:lang w:val="en-US"/>
        </w:rPr>
        <w:t>Methods</w:t>
      </w:r>
    </w:p>
    <w:p w:rsidR="009612EA" w:rsidRPr="008946E7" w:rsidRDefault="009612EA" w:rsidP="009612EA">
      <w:pPr>
        <w:pStyle w:val="a4"/>
        <w:spacing w:after="0"/>
        <w:ind w:leftChars="0" w:left="-87" w:right="0" w:firstLineChars="0" w:firstLine="0"/>
        <w:rPr>
          <w:rFonts w:ascii="Times New Roman" w:eastAsia="연세본문체" w:hAnsi="Times New Roman" w:cs="Times New Roman"/>
          <w:b/>
          <w:sz w:val="24"/>
        </w:rPr>
      </w:pPr>
    </w:p>
    <w:p w:rsidR="009612EA" w:rsidRPr="0015651A" w:rsidRDefault="009612EA" w:rsidP="009612EA">
      <w:pPr>
        <w:pStyle w:val="a4"/>
        <w:spacing w:after="0"/>
        <w:ind w:leftChars="0" w:left="-77" w:right="0" w:firstLineChars="0" w:firstLine="0"/>
        <w:rPr>
          <w:rFonts w:ascii="Times New Roman" w:eastAsia="연세본문체" w:hAnsi="Times New Roman" w:cs="Times New Roman"/>
          <w:b/>
          <w:sz w:val="24"/>
          <w:szCs w:val="24"/>
        </w:rPr>
      </w:pPr>
      <w:r w:rsidRPr="0015651A">
        <w:rPr>
          <w:rFonts w:ascii="Times New Roman" w:eastAsia="연세본문체" w:hAnsi="Times New Roman" w:cs="Times New Roman"/>
          <w:b/>
          <w:sz w:val="24"/>
          <w:szCs w:val="24"/>
        </w:rPr>
        <w:t>1. Cell culture and reagents</w:t>
      </w:r>
    </w:p>
    <w:p w:rsidR="009612EA" w:rsidRPr="00880723" w:rsidRDefault="009612EA" w:rsidP="009612EA">
      <w:pPr>
        <w:pStyle w:val="a5"/>
        <w:ind w:left="-77" w:right="0" w:firstLineChars="50" w:firstLine="120"/>
        <w:rPr>
          <w:rFonts w:ascii="Times New Roman" w:eastAsia="연세본문체" w:hAnsi="Times New Roman" w:cs="Times New Roman"/>
          <w:sz w:val="24"/>
          <w:szCs w:val="24"/>
        </w:rPr>
      </w:pP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Human bone marrow-derived mesenchymal stem cells (BMSCs) were purchased from American Type Culture Collection (ATCC, </w:t>
      </w:r>
      <w:r w:rsidRPr="009723CF">
        <w:rPr>
          <w:rFonts w:ascii="Times New Roman" w:eastAsia="연세본문체" w:hAnsi="Times New Roman" w:cs="Times New Roman"/>
          <w:sz w:val="24"/>
          <w:szCs w:val="24"/>
        </w:rPr>
        <w:t>Manassas, VA)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>. Mononuclear cells (2-3x10</w:t>
      </w:r>
      <w:r w:rsidRPr="00880723">
        <w:rPr>
          <w:rFonts w:ascii="Times New Roman" w:eastAsia="연세본문체" w:hAnsi="Times New Roman" w:cs="Times New Roman"/>
          <w:sz w:val="24"/>
          <w:szCs w:val="24"/>
          <w:vertAlign w:val="superscript"/>
        </w:rPr>
        <w:t>5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cells/cm</w:t>
      </w:r>
      <w:r w:rsidRPr="00880723">
        <w:rPr>
          <w:rFonts w:ascii="Times New Roman" w:eastAsia="연세본문체" w:hAnsi="Times New Roman" w:cs="Times New Roman"/>
          <w:sz w:val="24"/>
          <w:szCs w:val="24"/>
          <w:vertAlign w:val="superscript"/>
        </w:rPr>
        <w:t>2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) were plated in a 100 mm culture dishes (Falcon Plastics, Los Angeles, CA, USA) with low glucose-Dulbecco’s modified Eagle’s medium (LG-DMEM;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Gibco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, Grand Island, NY, USA) containing 10% fetal bovine serum (FBS;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Gibco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>, Auckland, New Zealand) and 1% penicillin/streptomycin (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Gibco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) and cultured at </w:t>
      </w:r>
      <w:r w:rsidRPr="00880723">
        <w:rPr>
          <w:rFonts w:ascii="Times New Roman" w:eastAsia="연세본문체" w:hAnsi="Times New Roman" w:cs="Times New Roman" w:hint="eastAsia"/>
          <w:sz w:val="24"/>
          <w:szCs w:val="24"/>
        </w:rPr>
        <w:t>37</w:t>
      </w:r>
      <w:r w:rsidRPr="00880723">
        <w:rPr>
          <w:rFonts w:ascii="Times New Roman" w:eastAsia="연세본문체" w:hAnsi="Times New Roman" w:cs="Times New Roman" w:hint="eastAsia"/>
          <w:sz w:val="24"/>
          <w:szCs w:val="24"/>
        </w:rPr>
        <w:t>℃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in a 5% CO</w:t>
      </w:r>
      <w:r w:rsidRPr="00880723">
        <w:rPr>
          <w:rFonts w:ascii="Times New Roman" w:eastAsia="연세본문체" w:hAnsi="Times New Roman" w:cs="Times New Roman"/>
          <w:sz w:val="24"/>
          <w:szCs w:val="24"/>
          <w:vertAlign w:val="subscript"/>
        </w:rPr>
        <w:t>2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atmosphere. When the cultures approached 80% confluence, the cells were harvested by treatment with a trypsin/EDTA solution (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Gibco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) and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replated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at a density of 5x10</w:t>
      </w:r>
      <w:r w:rsidRPr="00880723">
        <w:rPr>
          <w:rFonts w:ascii="Times New Roman" w:eastAsia="연세본문체" w:hAnsi="Times New Roman" w:cs="Times New Roman"/>
          <w:sz w:val="24"/>
          <w:szCs w:val="24"/>
          <w:vertAlign w:val="superscript"/>
        </w:rPr>
        <w:t>3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cell/cm</w:t>
      </w:r>
      <w:r w:rsidRPr="00880723">
        <w:rPr>
          <w:rFonts w:ascii="Times New Roman" w:eastAsia="연세본문체" w:hAnsi="Times New Roman" w:cs="Times New Roman"/>
          <w:sz w:val="24"/>
          <w:szCs w:val="24"/>
          <w:vertAlign w:val="superscript"/>
        </w:rPr>
        <w:t>2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in culture plates. During culture, the medium was replaced with fresh medium every 3-4 days</w:t>
      </w:r>
      <w:r>
        <w:rPr>
          <w:rFonts w:ascii="Times New Roman" w:eastAsia="연세본문체" w:hAnsi="Times New Roman" w:cs="Times New Roman"/>
          <w:sz w:val="24"/>
          <w:szCs w:val="24"/>
        </w:rPr>
        <w:t>. C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>ells with passages 3 or 4 were used for th</w:t>
      </w:r>
      <w:r>
        <w:rPr>
          <w:rFonts w:ascii="Times New Roman" w:eastAsia="연세본문체" w:hAnsi="Times New Roman" w:cs="Times New Roman"/>
          <w:sz w:val="24"/>
          <w:szCs w:val="24"/>
        </w:rPr>
        <w:t xml:space="preserve">e experiments treated with 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ginsenoside Rg3 (50 or 100 </w:t>
      </w:r>
      <w:r w:rsidRPr="00880723">
        <w:rPr>
          <w:rFonts w:ascii="Times New Roman" w:eastAsia="맑은 고딕" w:hAnsi="Times New Roman" w:cs="Times New Roman"/>
          <w:sz w:val="24"/>
          <w:szCs w:val="24"/>
        </w:rPr>
        <w:t>µ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>g/mL</w:t>
      </w:r>
      <w:r>
        <w:rPr>
          <w:rFonts w:ascii="Times New Roman" w:eastAsia="연세본문체" w:hAnsi="Times New Roman" w:cs="Times New Roman"/>
          <w:sz w:val="24"/>
          <w:szCs w:val="24"/>
        </w:rPr>
        <w:t>,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Cayman Chemical</w:t>
      </w:r>
      <w:r>
        <w:rPr>
          <w:rFonts w:ascii="Times New Roman" w:eastAsia="연세본문체" w:hAnsi="Times New Roman" w:cs="Times New Roman"/>
          <w:sz w:val="24"/>
          <w:szCs w:val="24"/>
        </w:rPr>
        <w:t>, Ann Arbor, MI, USA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) or </w:t>
      </w:r>
      <w:r w:rsidRPr="00423E87">
        <w:rPr>
          <w:rStyle w:val="a6"/>
          <w:rFonts w:ascii="Times New Roman" w:hAnsi="Times New Roman" w:cs="Times New Roman"/>
          <w:b w:val="0"/>
          <w:color w:val="auto"/>
          <w:sz w:val="24"/>
          <w:szCs w:val="24"/>
        </w:rPr>
        <w:t>ethanol 0.25% (Millipore, Billerica, MA, USA)</w:t>
      </w:r>
      <w:r w:rsidRPr="00880723">
        <w:rPr>
          <w:rFonts w:ascii="Times New Roman" w:eastAsia="연세본문체" w:hAnsi="Times New Roman" w:cs="Times New Roman"/>
          <w:b/>
          <w:color w:val="auto"/>
          <w:sz w:val="24"/>
          <w:szCs w:val="24"/>
        </w:rPr>
        <w:t xml:space="preserve"> 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>as a vehicle of Rg3.</w:t>
      </w:r>
      <w:r>
        <w:rPr>
          <w:rFonts w:ascii="Times New Roman" w:eastAsia="연세본문체" w:hAnsi="Times New Roman" w:cs="Times New Roman"/>
          <w:sz w:val="24"/>
          <w:szCs w:val="24"/>
        </w:rPr>
        <w:t xml:space="preserve"> 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>BAPTA-AM and EGTA was purchased from Sigma Aldrich (St. Louis, MO, USA) and Cayman Chemical</w:t>
      </w:r>
      <w:r>
        <w:rPr>
          <w:rFonts w:ascii="Times New Roman" w:eastAsia="연세본문체" w:hAnsi="Times New Roman" w:cs="Times New Roman"/>
          <w:sz w:val="24"/>
          <w:szCs w:val="24"/>
        </w:rPr>
        <w:t>,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respectively.</w:t>
      </w:r>
    </w:p>
    <w:p w:rsidR="009612EA" w:rsidRPr="00880723" w:rsidRDefault="009612EA" w:rsidP="009612EA">
      <w:pPr>
        <w:pStyle w:val="a5"/>
        <w:ind w:left="-77" w:right="0" w:firstLineChars="0" w:firstLine="0"/>
        <w:rPr>
          <w:rFonts w:ascii="Times New Roman" w:eastAsia="연세본문체" w:hAnsi="Times New Roman" w:cs="Times New Roman"/>
          <w:sz w:val="24"/>
          <w:szCs w:val="24"/>
        </w:rPr>
      </w:pPr>
    </w:p>
    <w:p w:rsidR="009612EA" w:rsidRPr="00423E87" w:rsidRDefault="009612EA" w:rsidP="009612EA">
      <w:pPr>
        <w:pStyle w:val="a5"/>
        <w:ind w:left="-77" w:right="0" w:firstLineChars="0" w:firstLine="0"/>
        <w:rPr>
          <w:rFonts w:ascii="Times New Roman" w:eastAsia="연세본문체" w:hAnsi="Times New Roman" w:cs="Times New Roman"/>
          <w:sz w:val="24"/>
          <w:szCs w:val="24"/>
        </w:rPr>
      </w:pPr>
    </w:p>
    <w:p w:rsidR="009612EA" w:rsidRPr="0015651A" w:rsidRDefault="009612EA" w:rsidP="009612EA">
      <w:pPr>
        <w:pStyle w:val="a5"/>
        <w:ind w:left="-77" w:right="0" w:firstLineChars="0" w:firstLine="0"/>
        <w:rPr>
          <w:rFonts w:ascii="Times New Roman" w:eastAsia="연세본문체" w:hAnsi="Times New Roman" w:cs="Times New Roman"/>
          <w:b/>
          <w:sz w:val="24"/>
          <w:szCs w:val="24"/>
        </w:rPr>
      </w:pPr>
      <w:r w:rsidRPr="0015651A">
        <w:rPr>
          <w:rFonts w:ascii="Times New Roman" w:eastAsia="연세본문체" w:hAnsi="Times New Roman" w:cs="Times New Roman"/>
          <w:b/>
          <w:sz w:val="24"/>
          <w:szCs w:val="24"/>
        </w:rPr>
        <w:t>2. MTT assay</w:t>
      </w:r>
    </w:p>
    <w:p w:rsidR="009612EA" w:rsidRPr="00880723" w:rsidRDefault="009612EA" w:rsidP="009612EA">
      <w:pPr>
        <w:pStyle w:val="a5"/>
        <w:ind w:left="-77" w:right="0" w:firstLineChars="50" w:firstLine="120"/>
        <w:rPr>
          <w:rFonts w:ascii="Times New Roman" w:eastAsia="연세본문체" w:hAnsi="Times New Roman" w:cs="Times New Roman"/>
          <w:sz w:val="24"/>
          <w:szCs w:val="24"/>
        </w:rPr>
      </w:pPr>
      <w:r>
        <w:rPr>
          <w:rFonts w:ascii="Times New Roman" w:eastAsia="연세본문체" w:hAnsi="Times New Roman" w:cs="Times New Roman"/>
          <w:sz w:val="24"/>
          <w:szCs w:val="24"/>
        </w:rPr>
        <w:t xml:space="preserve">Human 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>BMSCs (2x10</w:t>
      </w:r>
      <w:r w:rsidRPr="00880723">
        <w:rPr>
          <w:rFonts w:ascii="Times New Roman" w:eastAsia="연세본문체" w:hAnsi="Times New Roman" w:cs="Times New Roman"/>
          <w:sz w:val="24"/>
          <w:szCs w:val="24"/>
          <w:vertAlign w:val="superscript"/>
        </w:rPr>
        <w:t>3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cells/well) were seeded onto 96-well plates (Falcon, Corning Inc., Durham, NC, USA) and cultured for 5 days with Rg3</w:t>
      </w:r>
      <w:r>
        <w:rPr>
          <w:rFonts w:ascii="Times New Roman" w:eastAsia="연세본문체" w:hAnsi="Times New Roman" w:cs="Times New Roman"/>
          <w:sz w:val="24"/>
          <w:szCs w:val="24"/>
        </w:rPr>
        <w:t xml:space="preserve">-containing 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medium in a dose-dependent manner. After 5 days culture, 0.5 mg of </w:t>
      </w:r>
      <w:r w:rsidRPr="00880723">
        <w:rPr>
          <w:rFonts w:ascii="Times New Roman" w:hAnsi="Times New Roman" w:cs="Times New Roman"/>
          <w:color w:val="auto"/>
          <w:sz w:val="24"/>
          <w:szCs w:val="24"/>
          <w:lang w:val="en"/>
        </w:rPr>
        <w:t>3-(4,5-dimethylthiazol 2-yl)-2,5-diphenyltetrazolium formazan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(MTT; </w:t>
      </w:r>
      <w:r w:rsidRPr="00880723">
        <w:rPr>
          <w:rFonts w:ascii="Times New Roman" w:hAnsi="Times New Roman" w:cs="Times New Roman"/>
          <w:bCs/>
          <w:sz w:val="24"/>
          <w:szCs w:val="24"/>
        </w:rPr>
        <w:t>Sigma, Saint Louis, MO, USA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) dissolved in </w:t>
      </w:r>
      <w:r w:rsidRPr="00880723">
        <w:rPr>
          <w:rFonts w:ascii="Times New Roman" w:hAnsi="Times New Roman" w:cs="Times New Roman"/>
          <w:bCs/>
          <w:sz w:val="24"/>
          <w:szCs w:val="24"/>
        </w:rPr>
        <w:t>phosphate</w:t>
      </w:r>
      <w:r>
        <w:rPr>
          <w:rFonts w:ascii="Times New Roman" w:hAnsi="Times New Roman" w:cs="Times New Roman"/>
          <w:bCs/>
          <w:sz w:val="24"/>
          <w:szCs w:val="24"/>
        </w:rPr>
        <w:t>-</w:t>
      </w:r>
      <w:r w:rsidRPr="00880723">
        <w:rPr>
          <w:rFonts w:ascii="Times New Roman" w:hAnsi="Times New Roman" w:cs="Times New Roman"/>
          <w:bCs/>
          <w:sz w:val="24"/>
          <w:szCs w:val="24"/>
        </w:rPr>
        <w:t>buffered saline (</w:t>
      </w:r>
      <w:r w:rsidRPr="00880723">
        <w:rPr>
          <w:rFonts w:ascii="Times New Roman" w:eastAsia="연세본문체" w:hAnsi="Times New Roman" w:cs="Times New Roman" w:hint="eastAsia"/>
          <w:sz w:val="24"/>
          <w:szCs w:val="24"/>
        </w:rPr>
        <w:t xml:space="preserve">PBS; </w:t>
      </w:r>
      <w:proofErr w:type="spellStart"/>
      <w:r w:rsidRPr="00880723">
        <w:rPr>
          <w:rFonts w:ascii="Times New Roman" w:eastAsia="연세본문체" w:hAnsi="Times New Roman" w:cs="Times New Roman" w:hint="eastAsia"/>
          <w:sz w:val="24"/>
          <w:szCs w:val="24"/>
        </w:rPr>
        <w:t>Gibco</w:t>
      </w:r>
      <w:proofErr w:type="spellEnd"/>
      <w:r w:rsidRPr="00880723">
        <w:rPr>
          <w:rFonts w:ascii="Times New Roman" w:eastAsia="연세본문체" w:hAnsi="Times New Roman" w:cs="Times New Roman" w:hint="eastAsia"/>
          <w:sz w:val="24"/>
          <w:szCs w:val="24"/>
        </w:rPr>
        <w:t>) was added to each well and incubated at 37</w:t>
      </w:r>
      <w:r w:rsidRPr="00880723">
        <w:rPr>
          <w:rFonts w:ascii="Times New Roman" w:eastAsia="연세본문체" w:hAnsi="Times New Roman" w:cs="Times New Roman" w:hint="eastAsia"/>
          <w:sz w:val="24"/>
          <w:szCs w:val="24"/>
        </w:rPr>
        <w:t>℃</w:t>
      </w:r>
      <w:r w:rsidRPr="00880723">
        <w:rPr>
          <w:rFonts w:ascii="Times New Roman" w:eastAsia="연세본문체" w:hAnsi="Times New Roman" w:cs="Times New Roman" w:hint="eastAsia"/>
          <w:sz w:val="24"/>
          <w:szCs w:val="24"/>
        </w:rPr>
        <w:t xml:space="preserve"> for 4 h. MTT formazan was dissolved in 100 </w:t>
      </w:r>
      <w:proofErr w:type="spellStart"/>
      <w:r w:rsidRPr="00880723">
        <w:rPr>
          <w:rFonts w:ascii="Times New Roman" w:eastAsia="맑은 고딕" w:hAnsi="Times New Roman" w:cs="Times New Roman"/>
          <w:sz w:val="24"/>
          <w:szCs w:val="24"/>
        </w:rPr>
        <w:t>μ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>L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DMSO (Millipore) and each well was read at 570 nm on a microplate reader (</w:t>
      </w:r>
      <w:proofErr w:type="spellStart"/>
      <w:r w:rsidRPr="00880723">
        <w:rPr>
          <w:rFonts w:ascii="Times New Roman" w:hAnsi="Times New Roman" w:cs="Times New Roman"/>
          <w:bCs/>
          <w:color w:val="auto"/>
          <w:sz w:val="24"/>
          <w:szCs w:val="24"/>
        </w:rPr>
        <w:t>Biotek</w:t>
      </w:r>
      <w:proofErr w:type="spellEnd"/>
      <w:r w:rsidRPr="00880723">
        <w:rPr>
          <w:rFonts w:ascii="Times New Roman" w:hAnsi="Times New Roman" w:cs="Times New Roman"/>
          <w:bCs/>
          <w:color w:val="auto"/>
          <w:sz w:val="24"/>
          <w:szCs w:val="24"/>
        </w:rPr>
        <w:t>, Winooski, VT,</w:t>
      </w:r>
      <w:r w:rsidRPr="00880723">
        <w:rPr>
          <w:rFonts w:ascii="Times New Roman" w:hAnsi="Times New Roman" w:cs="Times New Roman"/>
          <w:color w:val="auto"/>
          <w:sz w:val="24"/>
          <w:szCs w:val="24"/>
        </w:rPr>
        <w:t xml:space="preserve"> USA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>).</w:t>
      </w:r>
    </w:p>
    <w:p w:rsidR="009612EA" w:rsidRPr="00880723" w:rsidRDefault="009612EA" w:rsidP="009612EA">
      <w:pPr>
        <w:pStyle w:val="a5"/>
        <w:ind w:left="-77" w:right="0" w:firstLineChars="0" w:firstLine="0"/>
        <w:rPr>
          <w:rFonts w:ascii="Times New Roman" w:eastAsia="연세본문체" w:hAnsi="Times New Roman" w:cs="Times New Roman"/>
          <w:sz w:val="24"/>
          <w:szCs w:val="24"/>
        </w:rPr>
      </w:pPr>
    </w:p>
    <w:p w:rsidR="009612EA" w:rsidRPr="0015651A" w:rsidRDefault="009612EA" w:rsidP="009612EA">
      <w:pPr>
        <w:pStyle w:val="MS"/>
        <w:spacing w:after="0" w:line="360" w:lineRule="auto"/>
        <w:ind w:left="-77" w:right="0" w:firstLineChars="0" w:firstLine="0"/>
        <w:rPr>
          <w:rFonts w:ascii="Times New Roman" w:eastAsia="연세본문체" w:hAnsi="Times New Roman" w:cs="Times New Roman"/>
          <w:b/>
          <w:sz w:val="24"/>
          <w:szCs w:val="24"/>
          <w:lang w:val="fr-FR"/>
        </w:rPr>
      </w:pPr>
      <w:r w:rsidRPr="0015651A">
        <w:rPr>
          <w:rFonts w:ascii="Times New Roman" w:eastAsia="연세본문체" w:hAnsi="Times New Roman" w:cs="Times New Roman"/>
          <w:b/>
          <w:sz w:val="24"/>
          <w:szCs w:val="24"/>
          <w:lang w:val="fr-FR"/>
        </w:rPr>
        <w:t>3. RNA isolation and quantitative polymerase chain reaction (qPCR)</w:t>
      </w:r>
    </w:p>
    <w:p w:rsidR="009612EA" w:rsidRPr="00880723" w:rsidRDefault="009612EA" w:rsidP="009612EA">
      <w:pPr>
        <w:pStyle w:val="MS"/>
        <w:spacing w:after="0" w:line="360" w:lineRule="auto"/>
        <w:ind w:left="-77" w:right="0" w:firstLineChars="50" w:firstLine="120"/>
        <w:rPr>
          <w:rFonts w:ascii="Times New Roman" w:eastAsia="연세본문체" w:hAnsi="Times New Roman" w:cs="Times New Roman"/>
          <w:sz w:val="24"/>
          <w:szCs w:val="24"/>
        </w:rPr>
      </w:pPr>
      <w:r w:rsidRPr="00880723">
        <w:rPr>
          <w:rFonts w:ascii="Times New Roman" w:eastAsia="연세본문체" w:hAnsi="Times New Roman" w:cs="Times New Roman"/>
          <w:sz w:val="24"/>
          <w:szCs w:val="24"/>
        </w:rPr>
        <w:t>Total RNA was isolated from h</w:t>
      </w:r>
      <w:r>
        <w:rPr>
          <w:rFonts w:ascii="Times New Roman" w:eastAsia="연세본문체" w:hAnsi="Times New Roman" w:cs="Times New Roman"/>
          <w:sz w:val="24"/>
          <w:szCs w:val="24"/>
        </w:rPr>
        <w:t xml:space="preserve">uman 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BMSCs using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TRIzol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reagent (Invitrogen, Carlsbad, CA, USA) according to the manufacturer’s protocol. RNA purity and concentration were determined using a microplate reader. cDNA was synthesized from total RNA (1 µg) by using the RT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PreMix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Kit (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iNtRON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Biotechnology,</w:t>
      </w:r>
      <w:r>
        <w:rPr>
          <w:rFonts w:ascii="Times New Roman" w:eastAsia="연세본문체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연세본문체" w:hAnsi="Times New Roman" w:cs="Times New Roman"/>
          <w:sz w:val="24"/>
          <w:szCs w:val="24"/>
        </w:rPr>
        <w:t>Seongnam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,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Gyeonggi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-do, Korea). Transcript levels were measured by real-time PCR using sequence-specific primers. Amplification reactions contained 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lastRenderedPageBreak/>
        <w:t xml:space="preserve">SYBR green PCR Master Mix (Applied Biosystems, Warrington, UK) and were performed in the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QuantStudio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™ 6 Flex Real‐Time PCR System (Applied Biosystems) according to the manufacturer’s instructions. </w:t>
      </w:r>
      <w:r>
        <w:rPr>
          <w:rFonts w:ascii="Times New Roman" w:eastAsia="연세본문체" w:hAnsi="Times New Roman" w:cs="Times New Roman"/>
          <w:sz w:val="24"/>
          <w:szCs w:val="24"/>
        </w:rPr>
        <w:t xml:space="preserve">Sequence-specific primers are listed in supplementary figure 1. 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Data were analyzed by using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QuantStudio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6 and 7 Flex Software (Applied Biosystems). The cycle threshold (Ct) values of the target genes were normalized to those of endogenous control gene (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Peptidylprolyl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isomerase A; PPIA). Relative changes were calculated by using the equation 2</w:t>
      </w:r>
      <w:r w:rsidRPr="00880723">
        <w:rPr>
          <w:rFonts w:ascii="Times New Roman" w:eastAsia="연세본문체" w:hAnsi="Times New Roman" w:cs="Times New Roman"/>
          <w:sz w:val="24"/>
          <w:szCs w:val="24"/>
          <w:vertAlign w:val="superscript"/>
        </w:rPr>
        <w:t>-</w:t>
      </w:r>
      <w:r w:rsidRPr="00880723">
        <w:rPr>
          <w:rFonts w:ascii="Times New Roman" w:eastAsia="-윤고딕310" w:hAnsi="Times New Roman" w:cs="Times New Roman"/>
          <w:sz w:val="24"/>
          <w:szCs w:val="24"/>
          <w:vertAlign w:val="superscript"/>
        </w:rPr>
        <w:t>Δ</w:t>
      </w:r>
      <w:r w:rsidRPr="00880723">
        <w:rPr>
          <w:rFonts w:ascii="Times New Roman" w:eastAsia="연세본문체" w:hAnsi="Times New Roman" w:cs="Times New Roman"/>
          <w:sz w:val="24"/>
          <w:szCs w:val="24"/>
          <w:vertAlign w:val="superscript"/>
        </w:rPr>
        <w:t>ΔCt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>.</w:t>
      </w:r>
    </w:p>
    <w:p w:rsidR="009612EA" w:rsidRPr="00880723" w:rsidRDefault="009612EA" w:rsidP="009612EA">
      <w:pPr>
        <w:pStyle w:val="MS"/>
        <w:spacing w:after="0" w:line="360" w:lineRule="auto"/>
        <w:ind w:left="-77" w:right="0" w:firstLineChars="0" w:firstLine="0"/>
        <w:rPr>
          <w:rFonts w:ascii="Times New Roman" w:eastAsia="연세본문체" w:hAnsi="Times New Roman" w:cs="Times New Roman"/>
          <w:sz w:val="24"/>
          <w:szCs w:val="24"/>
        </w:rPr>
      </w:pPr>
    </w:p>
    <w:p w:rsidR="009612EA" w:rsidRPr="0015651A" w:rsidRDefault="009612EA" w:rsidP="009612EA">
      <w:pPr>
        <w:pStyle w:val="MS"/>
        <w:spacing w:after="0" w:line="360" w:lineRule="auto"/>
        <w:ind w:left="-77" w:right="0" w:firstLineChars="0" w:firstLine="0"/>
        <w:rPr>
          <w:rFonts w:ascii="Times New Roman" w:eastAsia="연세본문체" w:hAnsi="Times New Roman" w:cs="Times New Roman"/>
          <w:b/>
          <w:sz w:val="24"/>
          <w:szCs w:val="24"/>
        </w:rPr>
      </w:pPr>
      <w:r w:rsidRPr="0015651A">
        <w:rPr>
          <w:rFonts w:ascii="Times New Roman" w:eastAsia="연세본문체" w:hAnsi="Times New Roman" w:cs="Times New Roman"/>
          <w:b/>
          <w:sz w:val="24"/>
          <w:szCs w:val="24"/>
        </w:rPr>
        <w:t>4. Immunoblot analysis</w:t>
      </w:r>
    </w:p>
    <w:p w:rsidR="00EF5AB1" w:rsidRDefault="009612EA" w:rsidP="00EF5AB1">
      <w:pPr>
        <w:pStyle w:val="a5"/>
        <w:ind w:left="-77" w:firstLineChars="50" w:firstLine="120"/>
        <w:rPr>
          <w:rFonts w:ascii="Times New Roman" w:eastAsia="연세본문체" w:hAnsi="Times New Roman" w:cs="Times New Roman"/>
          <w:sz w:val="24"/>
          <w:szCs w:val="24"/>
        </w:rPr>
      </w:pP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The cells were lysed using RIPA lysis buffer (Elpis-Biotech, </w:t>
      </w:r>
      <w:r>
        <w:rPr>
          <w:rFonts w:ascii="Times New Roman" w:eastAsia="연세본문체" w:hAnsi="Times New Roman" w:cs="Times New Roman"/>
          <w:sz w:val="24"/>
          <w:szCs w:val="24"/>
        </w:rPr>
        <w:t>D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>aejeon, Korea) with a protease inhibitor cocktail (Roche Diagnostics GmbH, Mannheim, Germany) and phosphatase inhibitor (Roche). The lysate protein concentrations were determined by using the BCA protein assay (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iNtRON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biotechnology). Equal amounts of protein (10 - 20 </w:t>
      </w:r>
      <w:proofErr w:type="spellStart"/>
      <w:r w:rsidRPr="00880723">
        <w:rPr>
          <w:rFonts w:ascii="Times New Roman" w:eastAsia="맑은 고딕" w:hAnsi="Times New Roman" w:cs="Times New Roman"/>
          <w:sz w:val="24"/>
          <w:szCs w:val="24"/>
        </w:rPr>
        <w:t>μ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>g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) in each sample were separated by 10-15% </w:t>
      </w:r>
      <w:r w:rsidRPr="00880723">
        <w:rPr>
          <w:rStyle w:val="e24kjd"/>
          <w:rFonts w:ascii="Times New Roman" w:hAnsi="Times New Roman" w:cs="Times New Roman"/>
          <w:bCs/>
          <w:color w:val="auto"/>
          <w:sz w:val="24"/>
          <w:szCs w:val="24"/>
        </w:rPr>
        <w:t>sodium dodecyl sulfate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-polyacrylamide gel electrophoresis (SDS-PAGE) and transferred to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polyvinylidene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fluoride (PVDF; Millipore,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Carrigtwohill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, Ireland) membranes. The membranes were blocked with 5% skim milk in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Tris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>-buffered saline containing 0.1% Tween 20 (TBST) for 1 h at room temperature and then incubated overnight with primary antibodies (1:1000)</w:t>
      </w:r>
      <w:r w:rsidRPr="00880723">
        <w:rPr>
          <w:rFonts w:ascii="Times New Roman" w:eastAsia="연세본문체" w:hAnsi="Times New Roman" w:cs="Times New Roman" w:hint="eastAsia"/>
          <w:sz w:val="24"/>
          <w:szCs w:val="24"/>
        </w:rPr>
        <w:t xml:space="preserve"> at 4</w:t>
      </w:r>
      <w:r w:rsidRPr="00880723">
        <w:rPr>
          <w:rFonts w:ascii="Times New Roman" w:eastAsia="연세본문체" w:hAnsi="Times New Roman" w:cs="Times New Roman" w:hint="eastAsia"/>
          <w:sz w:val="24"/>
          <w:szCs w:val="24"/>
        </w:rPr>
        <w:t>℃</w:t>
      </w:r>
      <w:r w:rsidRPr="00880723">
        <w:rPr>
          <w:rFonts w:ascii="Times New Roman" w:eastAsia="연세본문체" w:hAnsi="Times New Roman" w:cs="Times New Roman" w:hint="eastAsia"/>
          <w:sz w:val="24"/>
          <w:szCs w:val="24"/>
        </w:rPr>
        <w:t xml:space="preserve">. </w:t>
      </w:r>
      <w:r w:rsidR="00EF5AB1">
        <w:rPr>
          <w:rFonts w:ascii="Times New Roman" w:eastAsia="연세본문체" w:hAnsi="Times New Roman" w:cs="Times New Roman"/>
          <w:sz w:val="24"/>
          <w:szCs w:val="24"/>
        </w:rPr>
        <w:t xml:space="preserve">The primary antibodies were </w:t>
      </w:r>
      <w:r w:rsidR="00EF5AB1" w:rsidRPr="00880723">
        <w:rPr>
          <w:rFonts w:ascii="Times New Roman" w:eastAsia="연세본문체" w:hAnsi="Times New Roman" w:cs="Times New Roman"/>
          <w:sz w:val="24"/>
          <w:szCs w:val="24"/>
        </w:rPr>
        <w:t xml:space="preserve">SOD2 (#13194), phospho-p70S6K (#9205), total-p70S6K (#9202), </w:t>
      </w:r>
      <w:r w:rsidR="00EF5AB1" w:rsidRPr="006A3B5D">
        <w:rPr>
          <w:rFonts w:ascii="Times New Roman" w:eastAsia="연세본문체" w:hAnsi="Times New Roman" w:cs="Times New Roman"/>
          <w:sz w:val="24"/>
          <w:szCs w:val="24"/>
        </w:rPr>
        <w:t>phospho-AMPK (#2535), total-AMPK</w:t>
      </w:r>
      <w:r w:rsidR="00EF5AB1">
        <w:rPr>
          <w:rFonts w:ascii="Times New Roman" w:eastAsia="연세본문체" w:hAnsi="Times New Roman" w:cs="Times New Roman"/>
          <w:sz w:val="24"/>
          <w:szCs w:val="24"/>
        </w:rPr>
        <w:t xml:space="preserve"> </w:t>
      </w:r>
      <w:r w:rsidR="00EF5AB1" w:rsidRPr="006A3B5D">
        <w:rPr>
          <w:rFonts w:ascii="Times New Roman" w:eastAsia="연세본문체" w:hAnsi="Times New Roman" w:cs="Times New Roman"/>
          <w:sz w:val="24"/>
          <w:szCs w:val="24"/>
        </w:rPr>
        <w:t>(#2532),</w:t>
      </w:r>
      <w:r w:rsidR="00EF5AB1" w:rsidRPr="00880723">
        <w:rPr>
          <w:rFonts w:ascii="Times New Roman" w:eastAsia="연세본문체" w:hAnsi="Times New Roman" w:cs="Times New Roman"/>
          <w:sz w:val="24"/>
          <w:szCs w:val="24"/>
        </w:rPr>
        <w:t xml:space="preserve"> </w:t>
      </w:r>
      <w:r w:rsidR="00EF5AB1" w:rsidRPr="006A3B5D">
        <w:rPr>
          <w:rFonts w:ascii="Times New Roman" w:eastAsia="연세본문체" w:hAnsi="Times New Roman" w:cs="Times New Roman"/>
          <w:sz w:val="24"/>
          <w:szCs w:val="24"/>
        </w:rPr>
        <w:t>phospho-CREB</w:t>
      </w:r>
      <w:r w:rsidR="00EF5AB1">
        <w:rPr>
          <w:rFonts w:ascii="Times New Roman" w:eastAsia="연세본문체" w:hAnsi="Times New Roman" w:cs="Times New Roman"/>
          <w:sz w:val="24"/>
          <w:szCs w:val="24"/>
        </w:rPr>
        <w:t xml:space="preserve"> </w:t>
      </w:r>
      <w:r w:rsidR="00EF5AB1" w:rsidRPr="006A3B5D">
        <w:rPr>
          <w:rFonts w:ascii="Times New Roman" w:eastAsia="연세본문체" w:hAnsi="Times New Roman" w:cs="Times New Roman"/>
          <w:sz w:val="24"/>
          <w:szCs w:val="24"/>
        </w:rPr>
        <w:t>(</w:t>
      </w:r>
      <w:r w:rsidR="00EF5AB1">
        <w:rPr>
          <w:rFonts w:ascii="Times New Roman" w:eastAsia="연세본문체" w:hAnsi="Times New Roman" w:cs="Times New Roman"/>
          <w:sz w:val="24"/>
          <w:szCs w:val="24"/>
        </w:rPr>
        <w:t>#</w:t>
      </w:r>
      <w:r w:rsidR="00EF5AB1" w:rsidRPr="006A3B5D">
        <w:rPr>
          <w:rFonts w:ascii="Times New Roman" w:eastAsia="연세본문체" w:hAnsi="Times New Roman" w:cs="Times New Roman"/>
          <w:sz w:val="24"/>
          <w:szCs w:val="24"/>
        </w:rPr>
        <w:t>sc-81486), total-CREB (</w:t>
      </w:r>
      <w:r w:rsidR="00EF5AB1">
        <w:rPr>
          <w:rFonts w:ascii="Times New Roman" w:eastAsia="연세본문체" w:hAnsi="Times New Roman" w:cs="Times New Roman"/>
          <w:sz w:val="24"/>
          <w:szCs w:val="24"/>
        </w:rPr>
        <w:t>#</w:t>
      </w:r>
      <w:r w:rsidR="00EF5AB1" w:rsidRPr="006A3B5D">
        <w:rPr>
          <w:rFonts w:ascii="Times New Roman" w:eastAsia="연세본문체" w:hAnsi="Times New Roman" w:cs="Times New Roman"/>
          <w:sz w:val="24"/>
          <w:szCs w:val="24"/>
        </w:rPr>
        <w:t>sc-240),</w:t>
      </w:r>
      <w:r w:rsidR="00EF5AB1">
        <w:rPr>
          <w:rFonts w:ascii="Times New Roman" w:eastAsia="연세본문체" w:hAnsi="Times New Roman" w:cs="Times New Roman"/>
          <w:sz w:val="24"/>
          <w:szCs w:val="24"/>
        </w:rPr>
        <w:t xml:space="preserve"> </w:t>
      </w:r>
      <w:r w:rsidR="00EF5AB1" w:rsidRPr="00880723">
        <w:rPr>
          <w:rFonts w:ascii="Times New Roman" w:eastAsia="연세본문체" w:hAnsi="Times New Roman" w:cs="Times New Roman"/>
          <w:sz w:val="24"/>
          <w:szCs w:val="24"/>
        </w:rPr>
        <w:t>MCU (#14997), VDAC (#4866) from Cell Sig</w:t>
      </w:r>
      <w:r w:rsidR="00EF5AB1">
        <w:rPr>
          <w:rFonts w:ascii="Times New Roman" w:eastAsia="연세본문체" w:hAnsi="Times New Roman" w:cs="Times New Roman"/>
          <w:sz w:val="24"/>
          <w:szCs w:val="24"/>
        </w:rPr>
        <w:t>naling Technology (Danvers, MA);</w:t>
      </w:r>
      <w:r w:rsidR="00EF5AB1" w:rsidRPr="00880723">
        <w:rPr>
          <w:rFonts w:ascii="Times New Roman" w:eastAsia="연세본문체" w:hAnsi="Times New Roman" w:cs="Times New Roman"/>
          <w:sz w:val="24"/>
          <w:szCs w:val="24"/>
        </w:rPr>
        <w:t xml:space="preserve"> </w:t>
      </w:r>
      <w:r w:rsidR="00EF5AB1">
        <w:rPr>
          <w:rFonts w:ascii="Times New Roman" w:eastAsia="연세본문체" w:hAnsi="Times New Roman" w:cs="Times New Roman"/>
          <w:sz w:val="24"/>
          <w:szCs w:val="24"/>
        </w:rPr>
        <w:t xml:space="preserve">total OXPHOS antibody cocktail (#ab110413) from </w:t>
      </w:r>
      <w:proofErr w:type="spellStart"/>
      <w:r w:rsidR="00EF5AB1">
        <w:rPr>
          <w:rFonts w:ascii="Times New Roman" w:eastAsia="연세본문체" w:hAnsi="Times New Roman" w:cs="Times New Roman"/>
          <w:sz w:val="24"/>
          <w:szCs w:val="24"/>
        </w:rPr>
        <w:t>Abcam</w:t>
      </w:r>
      <w:proofErr w:type="spellEnd"/>
      <w:r w:rsidR="00EF5AB1">
        <w:rPr>
          <w:rFonts w:ascii="Times New Roman" w:eastAsia="연세본문체" w:hAnsi="Times New Roman" w:cs="Times New Roman"/>
          <w:sz w:val="24"/>
          <w:szCs w:val="24"/>
        </w:rPr>
        <w:t xml:space="preserve">; GAPDH (#sc-47724) from Santa Cruz Biotechnology </w:t>
      </w:r>
      <w:r w:rsidR="00EF5AB1" w:rsidRPr="00880723">
        <w:rPr>
          <w:rFonts w:ascii="Times New Roman" w:eastAsia="연세본문체" w:hAnsi="Times New Roman" w:cs="Times New Roman"/>
          <w:sz w:val="24"/>
          <w:szCs w:val="24"/>
        </w:rPr>
        <w:t>(Dallas, TX)</w:t>
      </w:r>
      <w:r w:rsidR="00EF5AB1">
        <w:rPr>
          <w:rFonts w:ascii="Times New Roman" w:eastAsia="연세본문체" w:hAnsi="Times New Roman" w:cs="Times New Roman"/>
          <w:sz w:val="24"/>
          <w:szCs w:val="24"/>
        </w:rPr>
        <w:t xml:space="preserve">; </w:t>
      </w:r>
      <w:proofErr w:type="spellStart"/>
      <w:r w:rsidR="00EF5AB1">
        <w:rPr>
          <w:rFonts w:ascii="Times New Roman" w:eastAsia="연세본문체" w:hAnsi="Times New Roman" w:cs="Times New Roman"/>
          <w:sz w:val="24"/>
          <w:szCs w:val="24"/>
        </w:rPr>
        <w:t>Tfam</w:t>
      </w:r>
      <w:proofErr w:type="spellEnd"/>
      <w:r w:rsidR="00EF5AB1">
        <w:rPr>
          <w:rFonts w:ascii="Times New Roman" w:eastAsia="연세본문체" w:hAnsi="Times New Roman" w:cs="Times New Roman"/>
          <w:sz w:val="24"/>
          <w:szCs w:val="24"/>
        </w:rPr>
        <w:t xml:space="preserve"> kindly received from prof. </w:t>
      </w:r>
      <w:proofErr w:type="spellStart"/>
      <w:r w:rsidR="00EF5AB1">
        <w:rPr>
          <w:rFonts w:ascii="Times New Roman" w:eastAsia="연세본문체" w:hAnsi="Times New Roman" w:cs="Times New Roman"/>
          <w:sz w:val="24"/>
          <w:szCs w:val="24"/>
        </w:rPr>
        <w:t>Chanbae</w:t>
      </w:r>
      <w:proofErr w:type="spellEnd"/>
      <w:r w:rsidR="00EF5AB1">
        <w:rPr>
          <w:rFonts w:ascii="Times New Roman" w:eastAsia="연세본문체" w:hAnsi="Times New Roman" w:cs="Times New Roman"/>
          <w:sz w:val="24"/>
          <w:szCs w:val="24"/>
        </w:rPr>
        <w:t xml:space="preserve"> Park in </w:t>
      </w:r>
      <w:proofErr w:type="spellStart"/>
      <w:r w:rsidR="00EF5AB1">
        <w:rPr>
          <w:rFonts w:ascii="Times New Roman" w:eastAsia="연세본문체" w:hAnsi="Times New Roman" w:cs="Times New Roman"/>
          <w:sz w:val="24"/>
          <w:szCs w:val="24"/>
        </w:rPr>
        <w:t>Ajou</w:t>
      </w:r>
      <w:proofErr w:type="spellEnd"/>
      <w:r w:rsidR="00EF5AB1">
        <w:rPr>
          <w:rFonts w:ascii="Times New Roman" w:eastAsia="연세본문체" w:hAnsi="Times New Roman" w:cs="Times New Roman"/>
          <w:sz w:val="24"/>
          <w:szCs w:val="24"/>
        </w:rPr>
        <w:t xml:space="preserve"> University (Suwon, Korea); α-tubulin (#12G10) from Developmental Studies </w:t>
      </w:r>
      <w:proofErr w:type="spellStart"/>
      <w:r w:rsidR="00EF5AB1">
        <w:rPr>
          <w:rFonts w:ascii="Times New Roman" w:eastAsia="연세본문체" w:hAnsi="Times New Roman" w:cs="Times New Roman"/>
          <w:sz w:val="24"/>
          <w:szCs w:val="24"/>
        </w:rPr>
        <w:t>Hybridoma</w:t>
      </w:r>
      <w:proofErr w:type="spellEnd"/>
      <w:r w:rsidR="00EF5AB1">
        <w:rPr>
          <w:rFonts w:ascii="Times New Roman" w:eastAsia="연세본문체" w:hAnsi="Times New Roman" w:cs="Times New Roman"/>
          <w:sz w:val="24"/>
          <w:szCs w:val="24"/>
        </w:rPr>
        <w:t xml:space="preserve"> Bank.</w:t>
      </w:r>
    </w:p>
    <w:p w:rsidR="009612EA" w:rsidRDefault="009612EA" w:rsidP="009612EA">
      <w:pPr>
        <w:pStyle w:val="a5"/>
        <w:ind w:left="-77" w:firstLineChars="50" w:firstLine="120"/>
        <w:rPr>
          <w:rFonts w:ascii="Times New Roman" w:eastAsia="연세본문체" w:hAnsi="Times New Roman" w:cs="Times New Roman"/>
          <w:sz w:val="24"/>
          <w:szCs w:val="24"/>
        </w:rPr>
      </w:pPr>
      <w:r w:rsidRPr="00880723">
        <w:rPr>
          <w:rFonts w:ascii="Times New Roman" w:eastAsia="연세본문체" w:hAnsi="Times New Roman" w:cs="Times New Roman"/>
          <w:sz w:val="24"/>
          <w:szCs w:val="24"/>
        </w:rPr>
        <w:t>All primary antibodies were diluted in TBST with 5% BSA. After washing three times in TBST, the membranes were incubated for 1 h in goat anti-mouse and goat anti-rabbit horseradish peroxidase-conjugated IgG secondary antibody (1:1000-3000 dilution; Invitrogen, Rockford, IL, USA). The membranes after washing several times were incubated in a developing solution (Enhanced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880723">
        <w:rPr>
          <w:rFonts w:ascii="Times New Roman" w:hAnsi="Times New Roman" w:cs="Times New Roman"/>
          <w:bCs/>
          <w:color w:val="auto"/>
          <w:sz w:val="24"/>
          <w:szCs w:val="24"/>
        </w:rPr>
        <w:t>chemiluminescence</w:t>
      </w:r>
      <w:proofErr w:type="spellEnd"/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 xml:space="preserve"> 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western blotting detection reagent; </w:t>
      </w:r>
      <w:r w:rsidRPr="00880723">
        <w:rPr>
          <w:rFonts w:ascii="Times New Roman" w:hAnsi="Times New Roman" w:cs="Times New Roman"/>
          <w:bCs/>
          <w:sz w:val="24"/>
          <w:szCs w:val="24"/>
        </w:rPr>
        <w:t>GE</w:t>
      </w:r>
      <w:r w:rsidRPr="00880723">
        <w:rPr>
          <w:rFonts w:ascii="Times New Roman" w:hAnsi="Times New Roman" w:cs="Times New Roman"/>
          <w:color w:val="222222"/>
          <w:sz w:val="24"/>
          <w:szCs w:val="24"/>
        </w:rPr>
        <w:t xml:space="preserve"> Healthcare, Buckinghamshire, UK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) and signal was detected using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Chemi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>-Doc System (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Bio-rad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, Hercules, CA, USA).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Densitometric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analyses of the Western blots were performed using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Chemi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>-Doc software (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Bio-rad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>).</w:t>
      </w:r>
    </w:p>
    <w:p w:rsidR="0015651A" w:rsidRPr="00880723" w:rsidRDefault="0015651A" w:rsidP="009612EA">
      <w:pPr>
        <w:pStyle w:val="a5"/>
        <w:ind w:left="-77" w:firstLineChars="50" w:firstLine="120"/>
        <w:rPr>
          <w:rFonts w:ascii="Times New Roman" w:eastAsia="연세본문체" w:hAnsi="Times New Roman" w:cs="Times New Roman"/>
          <w:sz w:val="24"/>
          <w:szCs w:val="24"/>
        </w:rPr>
      </w:pPr>
    </w:p>
    <w:p w:rsidR="009612EA" w:rsidRPr="0015651A" w:rsidRDefault="009612EA" w:rsidP="009612EA">
      <w:pPr>
        <w:pStyle w:val="MS"/>
        <w:spacing w:after="0" w:line="360" w:lineRule="auto"/>
        <w:ind w:left="-77" w:right="0" w:firstLineChars="0" w:firstLine="0"/>
        <w:rPr>
          <w:rFonts w:ascii="Times New Roman" w:eastAsia="연세본문체" w:hAnsi="Times New Roman" w:cs="Times New Roman"/>
          <w:b/>
          <w:sz w:val="24"/>
          <w:szCs w:val="24"/>
        </w:rPr>
      </w:pPr>
      <w:r w:rsidRPr="0015651A">
        <w:rPr>
          <w:rFonts w:ascii="Times New Roman" w:eastAsia="연세본문체" w:hAnsi="Times New Roman" w:cs="Times New Roman"/>
          <w:b/>
          <w:sz w:val="24"/>
          <w:szCs w:val="24"/>
        </w:rPr>
        <w:lastRenderedPageBreak/>
        <w:t>5. Senescence-associated β-galactosidase (SA-β-gal) staining</w:t>
      </w:r>
    </w:p>
    <w:p w:rsidR="009612EA" w:rsidRDefault="009612EA" w:rsidP="009612EA">
      <w:pPr>
        <w:pStyle w:val="MS"/>
        <w:spacing w:after="0" w:line="360" w:lineRule="auto"/>
        <w:ind w:right="0" w:firstLineChars="0"/>
        <w:rPr>
          <w:rFonts w:ascii="Times New Roman" w:eastAsia="연세본문체" w:hAnsi="Times New Roman" w:cs="Times New Roman"/>
          <w:sz w:val="24"/>
          <w:szCs w:val="24"/>
        </w:rPr>
      </w:pPr>
      <w:r>
        <w:rPr>
          <w:rFonts w:ascii="Times New Roman" w:eastAsia="연세본문체" w:hAnsi="Times New Roman" w:cs="Times New Roman"/>
          <w:sz w:val="24"/>
          <w:szCs w:val="24"/>
        </w:rPr>
        <w:t xml:space="preserve">Human 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>BMSCs (5 x 10</w:t>
      </w:r>
      <w:r w:rsidRPr="00880723">
        <w:rPr>
          <w:rFonts w:ascii="Times New Roman" w:eastAsia="연세본문체" w:hAnsi="Times New Roman" w:cs="Times New Roman"/>
          <w:sz w:val="24"/>
          <w:szCs w:val="24"/>
          <w:vertAlign w:val="superscript"/>
        </w:rPr>
        <w:t xml:space="preserve">3 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cells/well) were seeded in 24-well plates (Falcon) and cultured for 5 days with Rg3. </w:t>
      </w:r>
      <w:r>
        <w:rPr>
          <w:rFonts w:ascii="Times New Roman" w:eastAsia="연세본문체" w:hAnsi="Times New Roman" w:cs="Times New Roman"/>
          <w:sz w:val="24"/>
          <w:szCs w:val="24"/>
        </w:rPr>
        <w:t>SA-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β-gal activity was assessed with a senescence </w:t>
      </w:r>
      <w:bookmarkStart w:id="1" w:name="OLE_LINK2"/>
      <w:r w:rsidRPr="00880723">
        <w:rPr>
          <w:rFonts w:ascii="Times New Roman" w:eastAsia="연세본문체" w:hAnsi="Times New Roman" w:cs="Times New Roman"/>
          <w:sz w:val="24"/>
          <w:szCs w:val="24"/>
        </w:rPr>
        <w:t>β</w:t>
      </w:r>
      <w:bookmarkEnd w:id="1"/>
      <w:r w:rsidRPr="00880723">
        <w:rPr>
          <w:rFonts w:ascii="Times New Roman" w:eastAsia="연세본문체" w:hAnsi="Times New Roman" w:cs="Times New Roman"/>
          <w:sz w:val="24"/>
          <w:szCs w:val="24"/>
        </w:rPr>
        <w:t>-gal staining kit (Cell Signaling Technologies, Danvers, MA, USA) according to the manufacturer’s instructions. The percentage of SA-β-gal positive cells was calculated by counting the number of blue stained cells under bright field illumination and then calculating the ratio of SA-β-gal staining positive cells (%) in each group.</w:t>
      </w:r>
    </w:p>
    <w:p w:rsidR="009612EA" w:rsidRDefault="009612EA" w:rsidP="009612EA">
      <w:pPr>
        <w:pStyle w:val="MS"/>
        <w:spacing w:after="0" w:line="360" w:lineRule="auto"/>
        <w:ind w:right="0" w:firstLineChars="0"/>
        <w:rPr>
          <w:rFonts w:ascii="Times New Roman" w:eastAsia="연세본문체" w:hAnsi="Times New Roman" w:cs="Times New Roman"/>
          <w:sz w:val="24"/>
          <w:szCs w:val="24"/>
        </w:rPr>
      </w:pPr>
    </w:p>
    <w:p w:rsidR="009612EA" w:rsidRPr="0015651A" w:rsidRDefault="0015651A" w:rsidP="009612EA">
      <w:pPr>
        <w:pStyle w:val="MS"/>
        <w:spacing w:after="0" w:line="360" w:lineRule="auto"/>
        <w:ind w:right="0" w:firstLineChars="0" w:firstLine="0"/>
        <w:rPr>
          <w:rFonts w:ascii="Times New Roman" w:eastAsia="연세본문체" w:hAnsi="Times New Roman" w:cs="Times New Roman"/>
          <w:b/>
          <w:sz w:val="24"/>
          <w:szCs w:val="24"/>
        </w:rPr>
      </w:pPr>
      <w:r w:rsidRPr="0015651A">
        <w:rPr>
          <w:rFonts w:ascii="Times New Roman" w:eastAsia="연세본문체" w:hAnsi="Times New Roman" w:cs="Times New Roman"/>
          <w:b/>
          <w:sz w:val="24"/>
          <w:szCs w:val="24"/>
        </w:rPr>
        <w:t xml:space="preserve">6. </w:t>
      </w:r>
      <w:r w:rsidR="003D7C11" w:rsidRPr="0015651A">
        <w:rPr>
          <w:rFonts w:ascii="Times New Roman" w:eastAsia="연세본문체" w:hAnsi="Times New Roman" w:cs="Times New Roman"/>
          <w:b/>
          <w:sz w:val="24"/>
          <w:szCs w:val="24"/>
        </w:rPr>
        <w:t xml:space="preserve">Osteogenic and </w:t>
      </w:r>
      <w:r w:rsidR="009612EA" w:rsidRPr="0015651A">
        <w:rPr>
          <w:rFonts w:ascii="Times New Roman" w:eastAsia="연세본문체" w:hAnsi="Times New Roman" w:cs="Times New Roman"/>
          <w:b/>
          <w:sz w:val="24"/>
          <w:szCs w:val="24"/>
        </w:rPr>
        <w:t>Adipogenic Differentiation</w:t>
      </w:r>
    </w:p>
    <w:p w:rsidR="003D7C11" w:rsidRDefault="003D7C11" w:rsidP="009612EA">
      <w:pPr>
        <w:pStyle w:val="MS"/>
        <w:spacing w:after="0" w:line="360" w:lineRule="auto"/>
        <w:ind w:left="-77" w:right="0" w:firstLineChars="50" w:firstLine="120"/>
        <w:rPr>
          <w:rFonts w:ascii="Times New Roman" w:eastAsia="연세본문체" w:hAnsi="Times New Roman" w:cs="Times New Roman"/>
          <w:sz w:val="24"/>
          <w:szCs w:val="24"/>
        </w:rPr>
      </w:pP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Osteogenic </w:t>
      </w:r>
      <w:r>
        <w:rPr>
          <w:rFonts w:ascii="Times New Roman" w:eastAsia="연세본문체" w:hAnsi="Times New Roman" w:cs="Times New Roman"/>
          <w:sz w:val="24"/>
          <w:szCs w:val="24"/>
        </w:rPr>
        <w:t>or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</w:t>
      </w:r>
      <w:r>
        <w:rPr>
          <w:rFonts w:ascii="Times New Roman" w:eastAsia="연세본문체" w:hAnsi="Times New Roman" w:cs="Times New Roman"/>
          <w:sz w:val="24"/>
          <w:szCs w:val="24"/>
        </w:rPr>
        <w:t>a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dipogenic </w:t>
      </w:r>
      <w:r>
        <w:rPr>
          <w:rFonts w:ascii="Times New Roman" w:eastAsia="연세본문체" w:hAnsi="Times New Roman" w:cs="Times New Roman"/>
          <w:sz w:val="24"/>
          <w:szCs w:val="24"/>
        </w:rPr>
        <w:t>d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ifferentiation </w:t>
      </w:r>
      <w:r w:rsidR="009612EA" w:rsidRPr="00880723">
        <w:rPr>
          <w:rFonts w:ascii="Times New Roman" w:eastAsia="연세본문체" w:hAnsi="Times New Roman" w:cs="Times New Roman"/>
          <w:sz w:val="24"/>
          <w:szCs w:val="24"/>
        </w:rPr>
        <w:t>was determined by plating the h</w:t>
      </w:r>
      <w:r w:rsidR="009612EA">
        <w:rPr>
          <w:rFonts w:ascii="Times New Roman" w:eastAsia="연세본문체" w:hAnsi="Times New Roman" w:cs="Times New Roman"/>
          <w:sz w:val="24"/>
          <w:szCs w:val="24"/>
        </w:rPr>
        <w:t xml:space="preserve">uman </w:t>
      </w:r>
      <w:r w:rsidR="009612EA" w:rsidRPr="00880723">
        <w:rPr>
          <w:rFonts w:ascii="Times New Roman" w:eastAsia="연세본문체" w:hAnsi="Times New Roman" w:cs="Times New Roman"/>
          <w:sz w:val="24"/>
          <w:szCs w:val="24"/>
        </w:rPr>
        <w:t>BMSCs (5 x 10</w:t>
      </w:r>
      <w:r w:rsidR="009612EA" w:rsidRPr="00880723">
        <w:rPr>
          <w:rFonts w:ascii="Times New Roman" w:eastAsia="연세본문체" w:hAnsi="Times New Roman" w:cs="Times New Roman"/>
          <w:sz w:val="24"/>
          <w:szCs w:val="24"/>
          <w:vertAlign w:val="superscript"/>
        </w:rPr>
        <w:t>3</w:t>
      </w:r>
      <w:r w:rsidR="009612EA" w:rsidRPr="00880723">
        <w:rPr>
          <w:rFonts w:ascii="Times New Roman" w:eastAsia="연세본문체" w:hAnsi="Times New Roman" w:cs="Times New Roman"/>
          <w:sz w:val="24"/>
          <w:szCs w:val="24"/>
        </w:rPr>
        <w:t xml:space="preserve"> cells/cm</w:t>
      </w:r>
      <w:r w:rsidR="009612EA" w:rsidRPr="00880723">
        <w:rPr>
          <w:rFonts w:ascii="Times New Roman" w:eastAsia="연세본문체" w:hAnsi="Times New Roman" w:cs="Times New Roman"/>
          <w:sz w:val="24"/>
          <w:szCs w:val="24"/>
          <w:vertAlign w:val="superscript"/>
        </w:rPr>
        <w:t>2</w:t>
      </w:r>
      <w:r w:rsidR="009612EA" w:rsidRPr="00880723">
        <w:rPr>
          <w:rFonts w:ascii="Times New Roman" w:eastAsia="연세본문체" w:hAnsi="Times New Roman" w:cs="Times New Roman"/>
          <w:sz w:val="24"/>
          <w:szCs w:val="24"/>
        </w:rPr>
        <w:t>) in 12-well plates (Falcon) and cultured for 5 days with Rg3. After reaching confluence, the h</w:t>
      </w:r>
      <w:r w:rsidR="009612EA">
        <w:rPr>
          <w:rFonts w:ascii="Times New Roman" w:eastAsia="연세본문체" w:hAnsi="Times New Roman" w:cs="Times New Roman"/>
          <w:sz w:val="24"/>
          <w:szCs w:val="24"/>
        </w:rPr>
        <w:t xml:space="preserve">uman </w:t>
      </w:r>
      <w:r w:rsidR="009612EA" w:rsidRPr="00880723">
        <w:rPr>
          <w:rFonts w:ascii="Times New Roman" w:eastAsia="연세본문체" w:hAnsi="Times New Roman" w:cs="Times New Roman"/>
          <w:sz w:val="24"/>
          <w:szCs w:val="24"/>
        </w:rPr>
        <w:t>BMSCs were maintained for two or three weeks in either an osteogenic or adipogenic medium.</w:t>
      </w:r>
      <w:r w:rsidR="009612EA">
        <w:rPr>
          <w:rFonts w:ascii="Times New Roman" w:eastAsia="연세본문체" w:hAnsi="Times New Roman" w:cs="Times New Roman"/>
          <w:sz w:val="24"/>
          <w:szCs w:val="24"/>
        </w:rPr>
        <w:t xml:space="preserve"> </w:t>
      </w:r>
    </w:p>
    <w:p w:rsidR="009612EA" w:rsidRDefault="009612EA" w:rsidP="009612EA">
      <w:pPr>
        <w:pStyle w:val="MS"/>
        <w:spacing w:after="0" w:line="360" w:lineRule="auto"/>
        <w:ind w:left="-77" w:right="0" w:firstLineChars="50" w:firstLine="120"/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</w:pPr>
      <w:r w:rsidRPr="00880723">
        <w:rPr>
          <w:rFonts w:ascii="Times New Roman" w:eastAsia="연세본문체" w:hAnsi="Times New Roman" w:cs="Times New Roman"/>
          <w:kern w:val="2"/>
          <w:sz w:val="24"/>
          <w:szCs w:val="24"/>
        </w:rPr>
        <w:t>The osteogenic medium consists of low glucose (LG)-</w:t>
      </w:r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 xml:space="preserve">DMEM containing 10% FBS, 10 </w:t>
      </w:r>
      <w:proofErr w:type="spellStart"/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>mM</w:t>
      </w:r>
      <w:proofErr w:type="spellEnd"/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 xml:space="preserve"> </w:t>
      </w:r>
      <w:r w:rsidRPr="00880723">
        <w:rPr>
          <w:rFonts w:ascii="Times New Roman" w:eastAsia="맑은 고딕" w:hAnsi="Times New Roman" w:cs="Times New Roman"/>
          <w:color w:val="auto"/>
          <w:kern w:val="2"/>
          <w:sz w:val="24"/>
          <w:szCs w:val="24"/>
        </w:rPr>
        <w:t>β</w:t>
      </w:r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>-</w:t>
      </w:r>
      <w:proofErr w:type="spellStart"/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>glycerophosphate</w:t>
      </w:r>
      <w:proofErr w:type="spellEnd"/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 xml:space="preserve"> (</w:t>
      </w:r>
      <w:r w:rsidRPr="00880723">
        <w:rPr>
          <w:rFonts w:ascii="Times New Roman" w:hAnsi="Times New Roman" w:cs="Times New Roman"/>
          <w:bCs/>
          <w:color w:val="auto"/>
          <w:sz w:val="24"/>
          <w:szCs w:val="24"/>
        </w:rPr>
        <w:t>Sigma)</w:t>
      </w:r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 xml:space="preserve">, 0.2 </w:t>
      </w:r>
      <w:proofErr w:type="spellStart"/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>mM</w:t>
      </w:r>
      <w:proofErr w:type="spellEnd"/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 xml:space="preserve"> Ascorbic acid-2-phosphate (</w:t>
      </w:r>
      <w:r w:rsidRPr="00880723">
        <w:rPr>
          <w:rFonts w:ascii="Times New Roman" w:hAnsi="Times New Roman" w:cs="Times New Roman"/>
          <w:bCs/>
          <w:color w:val="auto"/>
          <w:sz w:val="24"/>
          <w:szCs w:val="24"/>
        </w:rPr>
        <w:t>Sigma)</w:t>
      </w:r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 xml:space="preserve"> and 10</w:t>
      </w:r>
      <w:r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 xml:space="preserve">0 </w:t>
      </w:r>
      <w:proofErr w:type="spellStart"/>
      <w:r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>n</w:t>
      </w:r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>M</w:t>
      </w:r>
      <w:proofErr w:type="spellEnd"/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 xml:space="preserve"> dexamethasone (</w:t>
      </w:r>
      <w:r w:rsidRPr="00880723">
        <w:rPr>
          <w:rFonts w:ascii="Times New Roman" w:hAnsi="Times New Roman" w:cs="Times New Roman"/>
          <w:bCs/>
          <w:color w:val="auto"/>
          <w:sz w:val="24"/>
          <w:szCs w:val="24"/>
        </w:rPr>
        <w:t>Sigma)</w:t>
      </w:r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>. The medium was replaced every 3-4 days</w:t>
      </w:r>
      <w:r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 xml:space="preserve"> and, a</w:t>
      </w:r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 xml:space="preserve">fter 14 days, Alizarin Red staining was performed to analyze the osteogenic differentiation of </w:t>
      </w:r>
      <w:r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>B</w:t>
      </w:r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>MSCs. The cells were fixed in 4% formalde</w:t>
      </w:r>
      <w:r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>hyde (</w:t>
      </w:r>
      <w:proofErr w:type="spellStart"/>
      <w:r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>Duksan</w:t>
      </w:r>
      <w:proofErr w:type="spellEnd"/>
      <w:r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 xml:space="preserve"> pure chemicals, </w:t>
      </w:r>
      <w:proofErr w:type="spellStart"/>
      <w:r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>Gyeo</w:t>
      </w:r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>nggido</w:t>
      </w:r>
      <w:proofErr w:type="spellEnd"/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>, Korea) for 30 min at room temperature, followed by 30 min in 2% Alizarin Red S staining solution (</w:t>
      </w:r>
      <w:proofErr w:type="spellStart"/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>ScienCell</w:t>
      </w:r>
      <w:proofErr w:type="spellEnd"/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>, Carlsbad, CA, USA). To quantify the efficiency of osteogenic differentiation, the stained cells were eluted with DMSO and the optical density (OD) values were detected by spectrophotometer at a wavelength 540 nm.</w:t>
      </w:r>
    </w:p>
    <w:p w:rsidR="009612EA" w:rsidRPr="00880723" w:rsidRDefault="009612EA" w:rsidP="009612EA">
      <w:pPr>
        <w:pStyle w:val="MS"/>
        <w:spacing w:after="0" w:line="360" w:lineRule="auto"/>
        <w:ind w:left="-77" w:right="0" w:firstLineChars="50" w:firstLine="120"/>
        <w:rPr>
          <w:rFonts w:ascii="Times New Roman" w:eastAsia="연세본문체" w:hAnsi="Times New Roman" w:cs="Times New Roman"/>
          <w:sz w:val="24"/>
          <w:szCs w:val="24"/>
        </w:rPr>
      </w:pPr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>The adipogenic medium consisted of high glucose (HG)-DMEM (</w:t>
      </w:r>
      <w:proofErr w:type="spellStart"/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>Gibco</w:t>
      </w:r>
      <w:proofErr w:type="spellEnd"/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 xml:space="preserve">) containing 10% FBS, 1 </w:t>
      </w:r>
      <w:proofErr w:type="spellStart"/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>mM</w:t>
      </w:r>
      <w:proofErr w:type="spellEnd"/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 xml:space="preserve"> dexamethasone, 0.5 </w:t>
      </w:r>
      <w:proofErr w:type="spellStart"/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>mM</w:t>
      </w:r>
      <w:proofErr w:type="spellEnd"/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 xml:space="preserve"> 1-methyl-3-isobutylxanthine (</w:t>
      </w:r>
      <w:r w:rsidRPr="00880723">
        <w:rPr>
          <w:rFonts w:ascii="Times New Roman" w:hAnsi="Times New Roman" w:cs="Times New Roman"/>
          <w:bCs/>
          <w:color w:val="auto"/>
          <w:sz w:val="24"/>
          <w:szCs w:val="24"/>
        </w:rPr>
        <w:t>Sigma)</w:t>
      </w:r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>, 100 µM indomethacin (</w:t>
      </w:r>
      <w:r w:rsidRPr="00880723">
        <w:rPr>
          <w:rFonts w:ascii="Times New Roman" w:hAnsi="Times New Roman" w:cs="Times New Roman"/>
          <w:bCs/>
          <w:color w:val="auto"/>
          <w:sz w:val="24"/>
          <w:szCs w:val="24"/>
        </w:rPr>
        <w:t>Sigma)</w:t>
      </w:r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>, and 10 µg/mL insulin (</w:t>
      </w:r>
      <w:r w:rsidRPr="00880723">
        <w:rPr>
          <w:rFonts w:ascii="Times New Roman" w:hAnsi="Times New Roman" w:cs="Times New Roman"/>
          <w:bCs/>
          <w:color w:val="auto"/>
          <w:sz w:val="24"/>
          <w:szCs w:val="24"/>
        </w:rPr>
        <w:t>Sigma)</w:t>
      </w:r>
      <w:r w:rsidRPr="00880723">
        <w:rPr>
          <w:rFonts w:ascii="Times New Roman" w:eastAsia="연세본문체" w:hAnsi="Times New Roman" w:cs="Times New Roman"/>
          <w:color w:val="auto"/>
          <w:kern w:val="2"/>
          <w:sz w:val="24"/>
          <w:szCs w:val="24"/>
        </w:rPr>
        <w:t xml:space="preserve">. After 21 days, Oil Red-O staining was performed to analyze the adipogenic differentiation of MSCs. </w:t>
      </w:r>
      <w:r w:rsidRPr="00880723">
        <w:rPr>
          <w:rFonts w:ascii="Times New Roman" w:eastAsia="연세본문체" w:hAnsi="Times New Roman" w:cs="Times New Roman"/>
          <w:kern w:val="2"/>
          <w:sz w:val="24"/>
          <w:szCs w:val="24"/>
        </w:rPr>
        <w:t>The cells were fixed in 4% formaldehyde for 30 min at room temperature, followed by 20 min in 0.3% Oil Red O staining solution (Sigma).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To quantify the efficiency of adipogenic differentiation, the stained cells were eluted with isopropanol and the OD values were detected by spectrophotometer at a wavelength 520 nm.</w:t>
      </w:r>
    </w:p>
    <w:p w:rsidR="009612EA" w:rsidRDefault="009612EA" w:rsidP="009612EA">
      <w:pPr>
        <w:pStyle w:val="MS"/>
        <w:spacing w:after="0" w:line="360" w:lineRule="auto"/>
        <w:ind w:right="0" w:firstLineChars="0" w:firstLine="0"/>
        <w:rPr>
          <w:rFonts w:ascii="Times New Roman" w:eastAsia="연세본문체" w:hAnsi="Times New Roman" w:cs="Times New Roman"/>
          <w:sz w:val="24"/>
          <w:szCs w:val="24"/>
        </w:rPr>
      </w:pPr>
    </w:p>
    <w:p w:rsidR="009612EA" w:rsidRPr="0015651A" w:rsidRDefault="009612EA" w:rsidP="009612EA">
      <w:pPr>
        <w:pStyle w:val="MS"/>
        <w:spacing w:after="0" w:line="360" w:lineRule="auto"/>
        <w:ind w:right="0" w:firstLineChars="0" w:firstLine="0"/>
        <w:rPr>
          <w:rFonts w:ascii="Times New Roman" w:eastAsia="연세본문체" w:hAnsi="Times New Roman" w:cs="Times New Roman"/>
          <w:b/>
          <w:sz w:val="24"/>
          <w:szCs w:val="24"/>
        </w:rPr>
      </w:pPr>
      <w:r w:rsidRPr="0015651A">
        <w:rPr>
          <w:rFonts w:ascii="Times New Roman" w:eastAsia="연세본문체" w:hAnsi="Times New Roman" w:cs="Times New Roman"/>
          <w:b/>
          <w:sz w:val="24"/>
          <w:szCs w:val="24"/>
        </w:rPr>
        <w:t>7. Oxygen Consumption Rate (OCR) and Extracellular Acidification Rate (ECAR) measurement</w:t>
      </w:r>
    </w:p>
    <w:p w:rsidR="009612EA" w:rsidRPr="00880723" w:rsidRDefault="009612EA" w:rsidP="009612EA">
      <w:pPr>
        <w:pStyle w:val="a5"/>
        <w:tabs>
          <w:tab w:val="left" w:pos="7958"/>
        </w:tabs>
        <w:ind w:left="-77" w:right="0" w:firstLineChars="50" w:firstLine="120"/>
        <w:rPr>
          <w:rFonts w:ascii="Times New Roman" w:eastAsia="연세본문체" w:hAnsi="Times New Roman" w:cs="Times New Roman"/>
          <w:sz w:val="24"/>
          <w:szCs w:val="24"/>
        </w:rPr>
      </w:pPr>
      <w:r>
        <w:rPr>
          <w:rFonts w:ascii="Times New Roman" w:eastAsia="연세본문체" w:hAnsi="Times New Roman" w:cs="Times New Roman"/>
          <w:sz w:val="24"/>
          <w:szCs w:val="24"/>
        </w:rPr>
        <w:lastRenderedPageBreak/>
        <w:t xml:space="preserve">Human 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BMSCs plated on Seahorse 96 well plate (Agilent Technologies, Cedar Creek, TX, USA), and cultured for 5 days with Rg3. After culturing, cells were changed to pre-warmed XF DMEM medium (for OCR or ECAR measurement, containing 200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mM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L-glutamate with or without 1M glucose and 100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mM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pyruvate, then adjusted at pH 7.4; Agilent Technologies) 1 h prior to analyses and keeping cells at </w:t>
      </w:r>
      <w:r w:rsidRPr="00880723">
        <w:rPr>
          <w:rFonts w:ascii="Times New Roman" w:eastAsia="연세본문체" w:hAnsi="Times New Roman" w:cs="Times New Roman" w:hint="eastAsia"/>
          <w:sz w:val="24"/>
          <w:szCs w:val="24"/>
        </w:rPr>
        <w:t>37</w:t>
      </w:r>
      <w:r w:rsidRPr="00880723">
        <w:rPr>
          <w:rFonts w:ascii="Times New Roman" w:eastAsia="연세본문체" w:hAnsi="Times New Roman" w:cs="Times New Roman" w:hint="eastAsia"/>
          <w:sz w:val="24"/>
          <w:szCs w:val="24"/>
        </w:rPr>
        <w:t>℃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without CO</w:t>
      </w:r>
      <w:r w:rsidRPr="00880723">
        <w:rPr>
          <w:rFonts w:ascii="Times New Roman" w:eastAsia="연세본문체" w:hAnsi="Times New Roman" w:cs="Times New Roman"/>
          <w:sz w:val="24"/>
          <w:szCs w:val="24"/>
          <w:vertAlign w:val="subscript"/>
        </w:rPr>
        <w:t>2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>. OCR and ECAR were measured in h</w:t>
      </w:r>
      <w:r>
        <w:rPr>
          <w:rFonts w:ascii="Times New Roman" w:eastAsia="연세본문체" w:hAnsi="Times New Roman" w:cs="Times New Roman"/>
          <w:sz w:val="24"/>
          <w:szCs w:val="24"/>
        </w:rPr>
        <w:t xml:space="preserve">uman 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BMSCs using the Seahorse XFe96 Analyzer (Agilent Technologies) as response to the addition of various chemicals. The cycles (3 times for 3 minutes) were run for every measurement and the XF Cell Mito Stress Test Kit (containing the following compounds: 2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μM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연세본문체" w:hAnsi="Times New Roman" w:cs="Times New Roman"/>
          <w:sz w:val="24"/>
          <w:szCs w:val="24"/>
        </w:rPr>
        <w:t>o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>ligomycin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(ATP synthase inhibitor), 2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μM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</w:t>
      </w:r>
      <w:r>
        <w:rPr>
          <w:rStyle w:val="st1"/>
          <w:rFonts w:ascii="Times New Roman" w:hAnsi="Times New Roman" w:cs="Times New Roman"/>
          <w:color w:val="auto"/>
          <w:sz w:val="24"/>
          <w:szCs w:val="24"/>
        </w:rPr>
        <w:t>c</w:t>
      </w:r>
      <w:r w:rsidRPr="00880723">
        <w:rPr>
          <w:rStyle w:val="st1"/>
          <w:rFonts w:ascii="Times New Roman" w:hAnsi="Times New Roman" w:cs="Times New Roman"/>
          <w:color w:val="auto"/>
          <w:sz w:val="24"/>
          <w:szCs w:val="24"/>
        </w:rPr>
        <w:t>arbonyl cyanide-4-(</w:t>
      </w:r>
      <w:proofErr w:type="spellStart"/>
      <w:r w:rsidRPr="00880723">
        <w:rPr>
          <w:rStyle w:val="st1"/>
          <w:rFonts w:ascii="Times New Roman" w:hAnsi="Times New Roman" w:cs="Times New Roman"/>
          <w:color w:val="auto"/>
          <w:sz w:val="24"/>
          <w:szCs w:val="24"/>
        </w:rPr>
        <w:t>trifluoromethoxy</w:t>
      </w:r>
      <w:proofErr w:type="spellEnd"/>
      <w:r w:rsidRPr="00880723">
        <w:rPr>
          <w:rStyle w:val="st1"/>
          <w:rFonts w:ascii="Times New Roman" w:hAnsi="Times New Roman" w:cs="Times New Roman"/>
          <w:color w:val="auto"/>
          <w:sz w:val="24"/>
          <w:szCs w:val="24"/>
        </w:rPr>
        <w:t xml:space="preserve">) </w:t>
      </w:r>
      <w:proofErr w:type="spellStart"/>
      <w:r w:rsidRPr="00880723">
        <w:rPr>
          <w:rStyle w:val="st1"/>
          <w:rFonts w:ascii="Times New Roman" w:hAnsi="Times New Roman" w:cs="Times New Roman"/>
          <w:color w:val="auto"/>
          <w:sz w:val="24"/>
          <w:szCs w:val="24"/>
        </w:rPr>
        <w:t>phenylhydrazone</w:t>
      </w:r>
      <w:proofErr w:type="spellEnd"/>
      <w:r w:rsidRPr="00880723">
        <w:rPr>
          <w:rStyle w:val="st1"/>
          <w:rFonts w:ascii="Arial" w:hAnsi="Arial" w:cs="Arial"/>
          <w:color w:val="auto"/>
          <w:sz w:val="24"/>
          <w:szCs w:val="24"/>
        </w:rPr>
        <w:t xml:space="preserve"> 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(FCCP) (mitochondrial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uncoupler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), 0.5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μM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</w:t>
      </w:r>
      <w:r>
        <w:rPr>
          <w:rFonts w:ascii="Times New Roman" w:eastAsia="연세본문체" w:hAnsi="Times New Roman" w:cs="Times New Roman"/>
          <w:sz w:val="24"/>
          <w:szCs w:val="24"/>
        </w:rPr>
        <w:t>r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otenone (respiratory chain </w:t>
      </w:r>
      <w:r w:rsidRPr="00800212">
        <w:rPr>
          <w:rFonts w:ascii="Times New Roman" w:eastAsia="연세본문체" w:hAnsi="Times New Roman" w:cs="Times New Roman"/>
          <w:sz w:val="24"/>
          <w:szCs w:val="24"/>
        </w:rPr>
        <w:t xml:space="preserve">complex Ⅰ inhibitor) and </w:t>
      </w:r>
      <w:proofErr w:type="spellStart"/>
      <w:r w:rsidRPr="00800212">
        <w:rPr>
          <w:rFonts w:ascii="Times New Roman" w:eastAsia="연세본문체" w:hAnsi="Times New Roman" w:cs="Times New Roman"/>
          <w:sz w:val="24"/>
          <w:szCs w:val="24"/>
        </w:rPr>
        <w:t>antimycin</w:t>
      </w:r>
      <w:proofErr w:type="spellEnd"/>
      <w:r w:rsidRPr="00800212">
        <w:rPr>
          <w:rFonts w:ascii="Times New Roman" w:eastAsia="연세본문체" w:hAnsi="Times New Roman" w:cs="Times New Roman"/>
          <w:sz w:val="24"/>
          <w:szCs w:val="24"/>
        </w:rPr>
        <w:t xml:space="preserve"> A (complex Ⅲ inhibitor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) ) and Glycolysis Stress Test Kit (including 10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mM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</w:t>
      </w:r>
      <w:r>
        <w:rPr>
          <w:rFonts w:ascii="Times New Roman" w:eastAsia="연세본문체" w:hAnsi="Times New Roman" w:cs="Times New Roman"/>
          <w:sz w:val="24"/>
          <w:szCs w:val="24"/>
        </w:rPr>
        <w:t>g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lucose, 2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μM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연세본문체" w:hAnsi="Times New Roman" w:cs="Times New Roman"/>
          <w:sz w:val="24"/>
          <w:szCs w:val="24"/>
        </w:rPr>
        <w:t>o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>ligomycin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and 50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mM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2-deoxy-D-glucose) (Agilent Technologies) were used. OCR and ECAR were normalized by protein amount determined by BCA protein assay.</w:t>
      </w:r>
    </w:p>
    <w:p w:rsidR="009612EA" w:rsidRPr="0015651A" w:rsidRDefault="009612EA" w:rsidP="009612EA">
      <w:pPr>
        <w:pStyle w:val="a5"/>
        <w:tabs>
          <w:tab w:val="left" w:pos="7958"/>
        </w:tabs>
        <w:ind w:left="-77" w:right="0" w:firstLineChars="0" w:firstLine="0"/>
        <w:rPr>
          <w:rFonts w:ascii="Times New Roman" w:eastAsia="연세본문체" w:hAnsi="Times New Roman" w:cs="Times New Roman"/>
          <w:b/>
          <w:sz w:val="24"/>
          <w:szCs w:val="24"/>
        </w:rPr>
      </w:pPr>
    </w:p>
    <w:p w:rsidR="009612EA" w:rsidRPr="0015651A" w:rsidRDefault="009612EA" w:rsidP="009612EA">
      <w:pPr>
        <w:pStyle w:val="a5"/>
        <w:ind w:left="-77" w:right="0" w:firstLineChars="0" w:firstLine="0"/>
        <w:rPr>
          <w:rFonts w:ascii="Times New Roman" w:eastAsia="연세본문체" w:hAnsi="Times New Roman" w:cs="Times New Roman"/>
          <w:b/>
          <w:sz w:val="24"/>
          <w:szCs w:val="24"/>
        </w:rPr>
      </w:pPr>
      <w:r w:rsidRPr="0015651A">
        <w:rPr>
          <w:rFonts w:ascii="Times New Roman" w:eastAsia="연세본문체" w:hAnsi="Times New Roman" w:cs="Times New Roman"/>
          <w:b/>
          <w:sz w:val="24"/>
          <w:szCs w:val="24"/>
        </w:rPr>
        <w:t xml:space="preserve">8. Measurement of </w:t>
      </w:r>
      <w:r w:rsidR="0015651A">
        <w:rPr>
          <w:rFonts w:ascii="Times New Roman" w:eastAsia="연세본문체" w:hAnsi="Times New Roman" w:cs="Times New Roman"/>
          <w:b/>
          <w:sz w:val="24"/>
          <w:szCs w:val="24"/>
        </w:rPr>
        <w:t>cytosolic</w:t>
      </w:r>
      <w:r w:rsidRPr="0015651A">
        <w:rPr>
          <w:rFonts w:ascii="Times New Roman" w:eastAsia="연세본문체" w:hAnsi="Times New Roman" w:cs="Times New Roman"/>
          <w:b/>
          <w:sz w:val="24"/>
          <w:szCs w:val="24"/>
        </w:rPr>
        <w:t xml:space="preserve"> reactive oxygen species (ROS)</w:t>
      </w:r>
    </w:p>
    <w:p w:rsidR="009612EA" w:rsidRPr="00880723" w:rsidRDefault="009612EA" w:rsidP="009612EA">
      <w:pPr>
        <w:pStyle w:val="a5"/>
        <w:ind w:left="-77" w:right="0" w:firstLineChars="50" w:firstLine="120"/>
        <w:rPr>
          <w:rFonts w:ascii="Times New Roman" w:eastAsia="연세본문체" w:hAnsi="Times New Roman" w:cs="Times New Roman"/>
          <w:sz w:val="24"/>
          <w:szCs w:val="24"/>
        </w:rPr>
      </w:pPr>
      <w:r w:rsidRPr="00880723">
        <w:rPr>
          <w:rFonts w:ascii="Times New Roman" w:eastAsia="연세본문체" w:hAnsi="Times New Roman" w:cs="Times New Roman"/>
          <w:sz w:val="24"/>
          <w:szCs w:val="24"/>
        </w:rPr>
        <w:t>The formation of cytosolic ROS was evaluated by the sensitive fluorescence probe 5-(and -6)-chloromethyl-2', 7'-dichlorodihydro-fluorescein diacetate, acetyl ester (CM-H</w:t>
      </w:r>
      <w:r w:rsidRPr="00880723">
        <w:rPr>
          <w:rFonts w:ascii="Times New Roman" w:eastAsia="연세본문체" w:hAnsi="Times New Roman" w:cs="Times New Roman"/>
          <w:sz w:val="24"/>
          <w:szCs w:val="24"/>
          <w:vertAlign w:val="subscript"/>
        </w:rPr>
        <w:t>2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DCFDA; Invitrogen, Eugene, OR, USA). </w:t>
      </w:r>
      <w:r>
        <w:rPr>
          <w:rFonts w:ascii="Times New Roman" w:eastAsia="연세본문체" w:hAnsi="Times New Roman" w:cs="Times New Roman"/>
          <w:sz w:val="24"/>
          <w:szCs w:val="24"/>
        </w:rPr>
        <w:t xml:space="preserve">Human 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BMSCs were seeded in 100 mm dish, and cultured for 5 days with Rg3. After culturing and checking the cell number, the cell suspensions were centrifuged. The pellets were </w:t>
      </w:r>
      <w:proofErr w:type="spellStart"/>
      <w:r w:rsidRPr="00880723">
        <w:rPr>
          <w:rFonts w:ascii="Times New Roman" w:eastAsia="연세본문체" w:hAnsi="Times New Roman" w:cs="Times New Roman"/>
          <w:sz w:val="24"/>
          <w:szCs w:val="24"/>
        </w:rPr>
        <w:t>resuspended</w:t>
      </w:r>
      <w:proofErr w:type="spellEnd"/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in PBS, and some were incubated as negative control. The others are treated with 5 </w:t>
      </w:r>
      <w:r w:rsidRPr="00880723">
        <w:rPr>
          <w:rFonts w:ascii="Times New Roman" w:eastAsia="맑은 고딕" w:hAnsi="Times New Roman" w:cs="Times New Roman"/>
          <w:sz w:val="24"/>
          <w:szCs w:val="24"/>
        </w:rPr>
        <w:t>µ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>M DCFH</w:t>
      </w:r>
      <w:r w:rsidRPr="00880723">
        <w:rPr>
          <w:rFonts w:ascii="Times New Roman" w:eastAsia="연세본문체" w:hAnsi="Times New Roman" w:cs="Times New Roman"/>
          <w:sz w:val="24"/>
          <w:szCs w:val="24"/>
          <w:vertAlign w:val="subscript"/>
        </w:rPr>
        <w:t>2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>DA and incubated for 20 min at 37</w:t>
      </w:r>
      <w:r w:rsidRPr="00880723">
        <w:rPr>
          <w:rFonts w:ascii="Times New Roman" w:eastAsia="바탕" w:hAnsi="Times New Roman" w:cs="Times New Roman" w:hint="eastAsia"/>
          <w:sz w:val="24"/>
          <w:szCs w:val="24"/>
        </w:rPr>
        <w:t>℃</w:t>
      </w:r>
      <w:r w:rsidRPr="00880723">
        <w:rPr>
          <w:rFonts w:ascii="Times New Roman" w:eastAsia="바탕" w:hAnsi="Times New Roman" w:cs="Times New Roman" w:hint="eastAsia"/>
          <w:sz w:val="24"/>
          <w:szCs w:val="24"/>
        </w:rPr>
        <w:t>.</w:t>
      </w:r>
      <w:r w:rsidRPr="00880723">
        <w:rPr>
          <w:rFonts w:ascii="Times New Roman" w:eastAsia="바탕" w:hAnsi="Times New Roman" w:cs="Times New Roman"/>
          <w:sz w:val="24"/>
          <w:szCs w:val="24"/>
        </w:rPr>
        <w:t xml:space="preserve"> In addition, 500 </w:t>
      </w:r>
      <w:r w:rsidRPr="00880723">
        <w:rPr>
          <w:rFonts w:ascii="Times New Roman" w:eastAsia="맑은 고딕" w:hAnsi="Times New Roman" w:cs="Times New Roman"/>
          <w:sz w:val="24"/>
          <w:szCs w:val="24"/>
        </w:rPr>
        <w:t>µ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>M H</w:t>
      </w:r>
      <w:r w:rsidRPr="00880723">
        <w:rPr>
          <w:rFonts w:ascii="Times New Roman" w:eastAsia="연세본문체" w:hAnsi="Times New Roman" w:cs="Times New Roman"/>
          <w:sz w:val="24"/>
          <w:szCs w:val="24"/>
          <w:vertAlign w:val="subscript"/>
        </w:rPr>
        <w:t>2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>O</w:t>
      </w:r>
      <w:r w:rsidRPr="00880723">
        <w:rPr>
          <w:rFonts w:ascii="Times New Roman" w:eastAsia="연세본문체" w:hAnsi="Times New Roman" w:cs="Times New Roman"/>
          <w:sz w:val="24"/>
          <w:szCs w:val="24"/>
          <w:vertAlign w:val="subscript"/>
        </w:rPr>
        <w:t>2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 was treated and incubated in part of DCFH</w:t>
      </w:r>
      <w:r w:rsidRPr="00880723">
        <w:rPr>
          <w:rFonts w:ascii="Times New Roman" w:eastAsia="연세본문체" w:hAnsi="Times New Roman" w:cs="Times New Roman"/>
          <w:sz w:val="24"/>
          <w:szCs w:val="24"/>
          <w:vertAlign w:val="subscript"/>
        </w:rPr>
        <w:t>2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 xml:space="preserve">DA treatment for 10 minutes as a positive control for checking maximal ROS level. After incubation, fluorescence was measured at the excitation and emission wavelengths of 485 and 538 nm using a </w:t>
      </w:r>
      <w:r w:rsidRPr="00880723">
        <w:rPr>
          <w:rStyle w:val="e24kjd"/>
          <w:rFonts w:ascii="Times New Roman" w:eastAsia="연세본문체" w:hAnsi="Times New Roman" w:cs="Times New Roman"/>
          <w:color w:val="auto"/>
          <w:sz w:val="24"/>
          <w:szCs w:val="24"/>
        </w:rPr>
        <w:t xml:space="preserve">fluorescence-activated cell sorting </w:t>
      </w:r>
      <w:r w:rsidR="00962871" w:rsidRPr="00962871">
        <w:rPr>
          <w:rStyle w:val="e24kjd"/>
          <w:rFonts w:ascii="Times New Roman" w:eastAsia="연세본문체" w:hAnsi="Times New Roman" w:cs="Times New Roman"/>
          <w:color w:val="auto"/>
          <w:sz w:val="24"/>
          <w:szCs w:val="24"/>
        </w:rPr>
        <w:t>(</w:t>
      </w:r>
      <w:proofErr w:type="spellStart"/>
      <w:r w:rsidR="00962871" w:rsidRPr="00962871">
        <w:rPr>
          <w:rStyle w:val="e24kjd"/>
          <w:rFonts w:ascii="Times New Roman" w:eastAsia="연세본문체" w:hAnsi="Times New Roman" w:cs="Times New Roman"/>
          <w:color w:val="auto"/>
          <w:sz w:val="24"/>
          <w:szCs w:val="24"/>
        </w:rPr>
        <w:t>FAC</w:t>
      </w:r>
      <w:r w:rsidR="00962871">
        <w:rPr>
          <w:rStyle w:val="e24kjd"/>
          <w:rFonts w:ascii="Times New Roman" w:eastAsia="연세본문체" w:hAnsi="Times New Roman" w:cs="Times New Roman"/>
          <w:color w:val="auto"/>
          <w:sz w:val="24"/>
          <w:szCs w:val="24"/>
        </w:rPr>
        <w:t>SAria</w:t>
      </w:r>
      <w:proofErr w:type="spellEnd"/>
      <w:r w:rsidR="00962871">
        <w:rPr>
          <w:rStyle w:val="e24kjd"/>
          <w:rFonts w:ascii="Times New Roman" w:eastAsia="연세본문체" w:hAnsi="Times New Roman" w:cs="Times New Roman"/>
          <w:color w:val="auto"/>
          <w:sz w:val="24"/>
          <w:szCs w:val="24"/>
        </w:rPr>
        <w:t xml:space="preserve"> III, BD Biosciences, USA)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 xml:space="preserve">. The level of </w:t>
      </w:r>
      <w:r w:rsidRPr="00880723">
        <w:rPr>
          <w:rFonts w:ascii="Times New Roman" w:eastAsia="연세본문체" w:hAnsi="Times New Roman" w:cs="Times New Roman"/>
          <w:sz w:val="24"/>
          <w:szCs w:val="24"/>
        </w:rPr>
        <w:t>ROS was normalized by cell number.</w:t>
      </w:r>
    </w:p>
    <w:p w:rsidR="009612EA" w:rsidRPr="00880723" w:rsidRDefault="009612EA" w:rsidP="009612EA">
      <w:pPr>
        <w:pStyle w:val="a5"/>
        <w:ind w:left="-77" w:right="0" w:firstLineChars="0" w:firstLine="0"/>
        <w:rPr>
          <w:rFonts w:ascii="Times New Roman" w:eastAsia="연세본문체" w:hAnsi="Times New Roman" w:cs="Times New Roman"/>
          <w:sz w:val="24"/>
          <w:szCs w:val="24"/>
        </w:rPr>
      </w:pPr>
    </w:p>
    <w:p w:rsidR="005E5F35" w:rsidRPr="005E5F35" w:rsidRDefault="009612EA" w:rsidP="005E5F35">
      <w:pPr>
        <w:pStyle w:val="a5"/>
        <w:spacing w:line="480" w:lineRule="auto"/>
        <w:ind w:right="0" w:firstLineChars="0" w:firstLine="0"/>
        <w:rPr>
          <w:rFonts w:ascii="Times New Roman" w:eastAsia="연세본문체" w:hAnsi="Times New Roman" w:cs="Times New Roman"/>
          <w:b/>
          <w:sz w:val="24"/>
          <w:szCs w:val="24"/>
        </w:rPr>
      </w:pPr>
      <w:r w:rsidRPr="005E5F35">
        <w:rPr>
          <w:rFonts w:ascii="Times New Roman" w:eastAsia="연세본문체" w:hAnsi="Times New Roman" w:cs="Times New Roman"/>
          <w:b/>
          <w:sz w:val="24"/>
          <w:szCs w:val="24"/>
        </w:rPr>
        <w:t xml:space="preserve">9. </w:t>
      </w:r>
      <w:r w:rsidR="005E5F35" w:rsidRPr="005E5F35">
        <w:rPr>
          <w:rFonts w:ascii="Times New Roman" w:eastAsia="연세본문체" w:hAnsi="Times New Roman" w:cs="Times New Roman"/>
          <w:b/>
          <w:sz w:val="24"/>
          <w:szCs w:val="24"/>
        </w:rPr>
        <w:t>Live-cell Ca</w:t>
      </w:r>
      <w:r w:rsidR="005E5F35" w:rsidRPr="005E5F35">
        <w:rPr>
          <w:rFonts w:ascii="Times New Roman" w:eastAsia="연세본문체" w:hAnsi="Times New Roman" w:cs="Times New Roman"/>
          <w:b/>
          <w:sz w:val="24"/>
          <w:szCs w:val="24"/>
          <w:vertAlign w:val="superscript"/>
        </w:rPr>
        <w:t xml:space="preserve">2+ </w:t>
      </w:r>
      <w:r w:rsidR="005E5F35" w:rsidRPr="005E5F35">
        <w:rPr>
          <w:rFonts w:ascii="Times New Roman" w:eastAsia="연세본문체" w:hAnsi="Times New Roman" w:cs="Times New Roman"/>
          <w:b/>
          <w:sz w:val="24"/>
          <w:szCs w:val="24"/>
        </w:rPr>
        <w:t>imaging</w:t>
      </w:r>
    </w:p>
    <w:p w:rsidR="0052212D" w:rsidRPr="007319AD" w:rsidRDefault="009612EA" w:rsidP="007319AD">
      <w:pPr>
        <w:pStyle w:val="a5"/>
        <w:ind w:left="-77" w:rightChars="99" w:firstLineChars="50" w:firstLine="120"/>
        <w:rPr>
          <w:rFonts w:ascii="Times New Roman" w:eastAsia="연세본문체" w:hAnsi="Times New Roman" w:cs="Times New Roman"/>
          <w:color w:val="auto"/>
          <w:sz w:val="24"/>
          <w:szCs w:val="24"/>
        </w:rPr>
      </w:pP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 xml:space="preserve">Cells were seeded on </w:t>
      </w:r>
      <w:proofErr w:type="gramStart"/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>poly</w:t>
      </w:r>
      <w:proofErr w:type="gramEnd"/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 xml:space="preserve">-L-lysine coated 12 mm coverslip, and cultured for 5 days with Rg3. After culturing, cells were pre-incubated with 5 </w:t>
      </w:r>
      <w:r w:rsidRPr="00880723">
        <w:rPr>
          <w:rFonts w:ascii="Times New Roman" w:eastAsia="맑은 고딕" w:hAnsi="Times New Roman" w:cs="Times New Roman"/>
          <w:color w:val="auto"/>
          <w:sz w:val="24"/>
          <w:szCs w:val="24"/>
        </w:rPr>
        <w:t>µ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 xml:space="preserve">M Fura-2/AM (Thermo Fisher Scientific) in Krebs-Ringer bicarbonate buffer (KRBB) containing, in </w:t>
      </w:r>
      <w:proofErr w:type="spellStart"/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>mmol</w:t>
      </w:r>
      <w:proofErr w:type="spellEnd"/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 xml:space="preserve">/L: 140 </w:t>
      </w:r>
      <w:proofErr w:type="spellStart"/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>NaCl</w:t>
      </w:r>
      <w:proofErr w:type="spellEnd"/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>, 3.6 KCl, 2 NaHCO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  <w:vertAlign w:val="subscript"/>
        </w:rPr>
        <w:t>3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>, 0.5 NaH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  <w:vertAlign w:val="subscript"/>
        </w:rPr>
        <w:t>2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>PO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  <w:vertAlign w:val="subscript"/>
        </w:rPr>
        <w:t>4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>, 1.5 CaCl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  <w:vertAlign w:val="subscript"/>
        </w:rPr>
        <w:t>2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>, 0.5 MgCl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  <w:vertAlign w:val="subscript"/>
        </w:rPr>
        <w:t>2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>-7H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  <w:vertAlign w:val="subscript"/>
        </w:rPr>
        <w:t>2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 xml:space="preserve">O and 10 HEPES, pH 7.4 plus 5.5 </w:t>
      </w:r>
      <w:proofErr w:type="spellStart"/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lastRenderedPageBreak/>
        <w:t>mmol</w:t>
      </w:r>
      <w:proofErr w:type="spellEnd"/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>/l glucose for 30 min at 37°C. Then, cells were transferred to a perfusion chamber on an inverted microscope</w:t>
      </w:r>
      <w:r w:rsidR="00741DB2">
        <w:rPr>
          <w:rFonts w:ascii="Times New Roman" w:eastAsia="연세본문체" w:hAnsi="Times New Roman" w:cs="Times New Roman"/>
          <w:color w:val="auto"/>
          <w:sz w:val="24"/>
          <w:szCs w:val="24"/>
        </w:rPr>
        <w:t xml:space="preserve"> (IX73, Olympus, Tokyo, Japan)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 xml:space="preserve"> and used of the 340/380 nm excitation by </w:t>
      </w:r>
      <w:r w:rsidR="00741DB2" w:rsidRPr="00907584">
        <w:rPr>
          <w:rFonts w:ascii="Times New Roman" w:eastAsia="연세본문체" w:hAnsi="Times New Roman" w:cs="Times New Roman"/>
          <w:color w:val="auto"/>
          <w:sz w:val="24"/>
          <w:szCs w:val="24"/>
        </w:rPr>
        <w:t>an illuminator</w:t>
      </w:r>
      <w:r w:rsidR="00741DB2">
        <w:rPr>
          <w:rFonts w:ascii="Times New Roman" w:eastAsia="연세본문체" w:hAnsi="Times New Roman" w:cs="Times New Roman"/>
          <w:color w:val="auto"/>
          <w:sz w:val="24"/>
          <w:szCs w:val="24"/>
        </w:rPr>
        <w:t xml:space="preserve"> </w:t>
      </w:r>
      <w:r w:rsidR="00741DB2" w:rsidRPr="00907584">
        <w:rPr>
          <w:rFonts w:ascii="Times New Roman" w:eastAsia="연세본문체" w:hAnsi="Times New Roman" w:cs="Times New Roman"/>
          <w:color w:val="auto"/>
          <w:sz w:val="24"/>
          <w:szCs w:val="24"/>
        </w:rPr>
        <w:t xml:space="preserve">(pe-340Fura; </w:t>
      </w:r>
      <w:proofErr w:type="spellStart"/>
      <w:r w:rsidR="00741DB2" w:rsidRPr="00907584">
        <w:rPr>
          <w:rFonts w:ascii="Times New Roman" w:eastAsia="연세본문체" w:hAnsi="Times New Roman" w:cs="Times New Roman"/>
          <w:color w:val="auto"/>
          <w:sz w:val="24"/>
          <w:szCs w:val="24"/>
        </w:rPr>
        <w:t>CoolLED</w:t>
      </w:r>
      <w:proofErr w:type="spellEnd"/>
      <w:r w:rsidR="00741DB2">
        <w:rPr>
          <w:rFonts w:ascii="Times New Roman" w:eastAsia="연세본문체" w:hAnsi="Times New Roman" w:cs="Times New Roman"/>
          <w:color w:val="auto"/>
          <w:sz w:val="24"/>
          <w:szCs w:val="24"/>
        </w:rPr>
        <w:t>, Andover, UK</w:t>
      </w:r>
      <w:r w:rsidR="00741DB2" w:rsidRPr="00907584">
        <w:rPr>
          <w:rFonts w:ascii="Times New Roman" w:eastAsia="연세본문체" w:hAnsi="Times New Roman" w:cs="Times New Roman"/>
          <w:color w:val="auto"/>
          <w:sz w:val="24"/>
          <w:szCs w:val="24"/>
        </w:rPr>
        <w:t>)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>. Fluorescence images were captured at 510 nm with an intensified CCD camera (</w:t>
      </w:r>
      <w:r w:rsidR="00741DB2" w:rsidRPr="005661B7">
        <w:rPr>
          <w:rFonts w:ascii="Times New Roman" w:eastAsia="연세본문체" w:hAnsi="Times New Roman" w:cs="Times New Roman"/>
          <w:color w:val="auto"/>
          <w:sz w:val="24"/>
          <w:szCs w:val="24"/>
        </w:rPr>
        <w:t xml:space="preserve">Prime-BSI; Teledyne </w:t>
      </w:r>
      <w:proofErr w:type="spellStart"/>
      <w:r w:rsidR="00741DB2" w:rsidRPr="005661B7">
        <w:rPr>
          <w:rFonts w:ascii="Times New Roman" w:eastAsia="연세본문체" w:hAnsi="Times New Roman" w:cs="Times New Roman"/>
          <w:color w:val="auto"/>
          <w:sz w:val="24"/>
          <w:szCs w:val="24"/>
        </w:rPr>
        <w:t>Photometrics</w:t>
      </w:r>
      <w:proofErr w:type="spellEnd"/>
      <w:r w:rsidR="00741DB2">
        <w:rPr>
          <w:rFonts w:ascii="Times New Roman" w:eastAsia="연세본문체" w:hAnsi="Times New Roman" w:cs="Times New Roman"/>
          <w:color w:val="auto"/>
          <w:sz w:val="24"/>
          <w:szCs w:val="24"/>
        </w:rPr>
        <w:t xml:space="preserve">, </w:t>
      </w:r>
      <w:r w:rsidR="00741DB2">
        <w:rPr>
          <w:rFonts w:ascii="Times New Roman" w:eastAsia="연세본문체" w:hAnsi="Times New Roman" w:cs="Times New Roman" w:hint="eastAsia"/>
          <w:color w:val="auto"/>
          <w:sz w:val="24"/>
          <w:szCs w:val="24"/>
        </w:rPr>
        <w:t>Tucson, AZ, USA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>) and the ratio of fluorescence intensities (F340/F380) reflecting intracellular Ca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  <w:vertAlign w:val="superscript"/>
        </w:rPr>
        <w:t xml:space="preserve">2+ 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 xml:space="preserve">was analyzed by using </w:t>
      </w:r>
      <w:proofErr w:type="spellStart"/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>MetaFluor</w:t>
      </w:r>
      <w:proofErr w:type="spellEnd"/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 xml:space="preserve"> 6.1 software (Molecular Devices, </w:t>
      </w:r>
      <w:r w:rsidR="00741DB2">
        <w:rPr>
          <w:rFonts w:ascii="Times New Roman" w:eastAsia="연세본문체" w:hAnsi="Times New Roman" w:cs="Times New Roman"/>
          <w:color w:val="auto"/>
          <w:sz w:val="24"/>
          <w:szCs w:val="24"/>
        </w:rPr>
        <w:t xml:space="preserve">San Jose, 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 xml:space="preserve">CA, USA). At the end of each experiment, 10 </w:t>
      </w:r>
      <w:r w:rsidRPr="00880723">
        <w:rPr>
          <w:rFonts w:ascii="Times New Roman" w:eastAsia="맑은 고딕" w:hAnsi="Times New Roman" w:cs="Times New Roman"/>
          <w:color w:val="auto"/>
          <w:sz w:val="24"/>
          <w:szCs w:val="24"/>
        </w:rPr>
        <w:t>µ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 xml:space="preserve">M </w:t>
      </w:r>
      <w:proofErr w:type="spellStart"/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>ionomycin</w:t>
      </w:r>
      <w:proofErr w:type="spellEnd"/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 xml:space="preserve"> in KRBB was added to induce a maximal ratio. Based on the measured graph, the area under a curve (AUC) was calculated to identify the change in intracellular Ca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  <w:vertAlign w:val="superscript"/>
        </w:rPr>
        <w:t>2+</w:t>
      </w:r>
      <w:r w:rsidRPr="00880723">
        <w:rPr>
          <w:rFonts w:ascii="Times New Roman" w:eastAsia="연세본문체" w:hAnsi="Times New Roman" w:cs="Times New Roman"/>
          <w:color w:val="auto"/>
          <w:sz w:val="24"/>
          <w:szCs w:val="24"/>
        </w:rPr>
        <w:t>.</w:t>
      </w:r>
    </w:p>
    <w:sectPr w:rsidR="0052212D" w:rsidRPr="007319AD" w:rsidSect="00575DB5">
      <w:footerReference w:type="even" r:id="rId9"/>
      <w:footerReference w:type="default" r:id="rId10"/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6289" w:rsidRDefault="00696289">
      <w:pPr>
        <w:spacing w:after="0" w:line="240" w:lineRule="auto"/>
      </w:pPr>
      <w:r>
        <w:separator/>
      </w:r>
    </w:p>
  </w:endnote>
  <w:endnote w:type="continuationSeparator" w:id="0">
    <w:p w:rsidR="00696289" w:rsidRDefault="006962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연세본문체">
    <w:altName w:val="바탕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-윤고딕310">
    <w:altName w:val="바탕"/>
    <w:charset w:val="81"/>
    <w:family w:val="roman"/>
    <w:pitch w:val="variable"/>
    <w:sig w:usb0="800002A7" w:usb1="29D77CFB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7"/>
      </w:rPr>
      <w:id w:val="-153299869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7E3F49" w:rsidRDefault="00C266AF" w:rsidP="001357CA">
        <w:pPr>
          <w:pStyle w:val="a3"/>
          <w:framePr w:wrap="none" w:vAnchor="text" w:hAnchor="margin" w:xAlign="right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end"/>
        </w:r>
      </w:p>
    </w:sdtContent>
  </w:sdt>
  <w:p w:rsidR="007E3F49" w:rsidRDefault="00696289" w:rsidP="00357D94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7"/>
        <w:lang w:val="en-US"/>
      </w:rPr>
      <w:id w:val="-530562957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7E3F49" w:rsidRPr="002D3F33" w:rsidRDefault="00C266AF" w:rsidP="001357CA">
        <w:pPr>
          <w:pStyle w:val="a3"/>
          <w:framePr w:wrap="none" w:vAnchor="text" w:hAnchor="margin" w:xAlign="right" w:y="1"/>
          <w:rPr>
            <w:rStyle w:val="a7"/>
            <w:lang w:val="en-US"/>
          </w:rPr>
        </w:pPr>
        <w:r w:rsidRPr="002D3F33">
          <w:rPr>
            <w:rStyle w:val="a7"/>
            <w:lang w:val="en-US"/>
          </w:rPr>
          <w:fldChar w:fldCharType="begin"/>
        </w:r>
        <w:r w:rsidRPr="002D3F33">
          <w:rPr>
            <w:rStyle w:val="a7"/>
            <w:lang w:val="en-US"/>
          </w:rPr>
          <w:instrText xml:space="preserve"> PAGE </w:instrText>
        </w:r>
        <w:r w:rsidRPr="002D3F33">
          <w:rPr>
            <w:rStyle w:val="a7"/>
            <w:lang w:val="en-US"/>
          </w:rPr>
          <w:fldChar w:fldCharType="separate"/>
        </w:r>
        <w:r w:rsidR="003B739E">
          <w:rPr>
            <w:rStyle w:val="a7"/>
            <w:noProof/>
            <w:lang w:val="en-US"/>
          </w:rPr>
          <w:t>10</w:t>
        </w:r>
        <w:r w:rsidRPr="002D3F33">
          <w:rPr>
            <w:rStyle w:val="a7"/>
            <w:lang w:val="en-US"/>
          </w:rPr>
          <w:fldChar w:fldCharType="end"/>
        </w:r>
      </w:p>
    </w:sdtContent>
  </w:sdt>
  <w:p w:rsidR="007E3F49" w:rsidRPr="002D3F33" w:rsidRDefault="00696289" w:rsidP="009A0126">
    <w:pPr>
      <w:pStyle w:val="a3"/>
      <w:ind w:right="360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6289" w:rsidRDefault="00696289">
      <w:pPr>
        <w:spacing w:after="0" w:line="240" w:lineRule="auto"/>
      </w:pPr>
      <w:r>
        <w:separator/>
      </w:r>
    </w:p>
  </w:footnote>
  <w:footnote w:type="continuationSeparator" w:id="0">
    <w:p w:rsidR="00696289" w:rsidRDefault="006962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6AF"/>
    <w:rsid w:val="00031B41"/>
    <w:rsid w:val="00070023"/>
    <w:rsid w:val="00070F49"/>
    <w:rsid w:val="00121820"/>
    <w:rsid w:val="0015651A"/>
    <w:rsid w:val="001823DD"/>
    <w:rsid w:val="003B739E"/>
    <w:rsid w:val="003D7C11"/>
    <w:rsid w:val="003F6FB9"/>
    <w:rsid w:val="0052212D"/>
    <w:rsid w:val="00574F56"/>
    <w:rsid w:val="005B3FDB"/>
    <w:rsid w:val="005E5F35"/>
    <w:rsid w:val="00696289"/>
    <w:rsid w:val="006A3B5D"/>
    <w:rsid w:val="006A5D9B"/>
    <w:rsid w:val="007319AD"/>
    <w:rsid w:val="00741DB2"/>
    <w:rsid w:val="00763F03"/>
    <w:rsid w:val="007D1213"/>
    <w:rsid w:val="00800212"/>
    <w:rsid w:val="008E440B"/>
    <w:rsid w:val="009612EA"/>
    <w:rsid w:val="00962871"/>
    <w:rsid w:val="00AE04D3"/>
    <w:rsid w:val="00BC4C7A"/>
    <w:rsid w:val="00C266AF"/>
    <w:rsid w:val="00CF389D"/>
    <w:rsid w:val="00EF5AB1"/>
    <w:rsid w:val="00F35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DE9C1D"/>
  <w15:chartTrackingRefBased/>
  <w15:docId w15:val="{B79DA814-59F8-4F21-AF3D-AC9DEE3E0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6AF"/>
    <w:pPr>
      <w:widowControl w:val="0"/>
      <w:wordWrap w:val="0"/>
      <w:autoSpaceDE w:val="0"/>
      <w:autoSpaceDN w:val="0"/>
    </w:pPr>
    <w:rPr>
      <w:lang w:val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266A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C266AF"/>
    <w:rPr>
      <w:lang w:val="fr-FR"/>
    </w:rPr>
  </w:style>
  <w:style w:type="paragraph" w:styleId="a4">
    <w:name w:val="List Paragraph"/>
    <w:basedOn w:val="a"/>
    <w:uiPriority w:val="34"/>
    <w:qFormat/>
    <w:rsid w:val="00C266AF"/>
    <w:pPr>
      <w:widowControl/>
      <w:wordWrap/>
      <w:autoSpaceDE/>
      <w:autoSpaceDN/>
      <w:spacing w:line="360" w:lineRule="auto"/>
      <w:ind w:leftChars="400" w:left="800" w:right="198" w:firstLineChars="100" w:firstLine="100"/>
    </w:pPr>
    <w:rPr>
      <w:lang w:val="en-US"/>
    </w:rPr>
  </w:style>
  <w:style w:type="paragraph" w:customStyle="1" w:styleId="a5">
    <w:name w:val="바탕글"/>
    <w:basedOn w:val="a"/>
    <w:rsid w:val="00C266AF"/>
    <w:pPr>
      <w:widowControl/>
      <w:wordWrap/>
      <w:autoSpaceDE/>
      <w:autoSpaceDN/>
      <w:snapToGrid w:val="0"/>
      <w:spacing w:after="0" w:line="360" w:lineRule="auto"/>
      <w:ind w:right="198" w:firstLineChars="100" w:firstLine="100"/>
      <w:textAlignment w:val="baseline"/>
    </w:pPr>
    <w:rPr>
      <w:rFonts w:ascii="굴림" w:eastAsia="굴림" w:hAnsi="굴림" w:cs="굴림"/>
      <w:color w:val="000000"/>
      <w:kern w:val="0"/>
      <w:szCs w:val="20"/>
      <w:lang w:val="en-US"/>
    </w:rPr>
  </w:style>
  <w:style w:type="paragraph" w:customStyle="1" w:styleId="MS">
    <w:name w:val="MS바탕글"/>
    <w:basedOn w:val="a"/>
    <w:link w:val="MSChar"/>
    <w:rsid w:val="00C266AF"/>
    <w:pPr>
      <w:widowControl/>
      <w:wordWrap/>
      <w:autoSpaceDE/>
      <w:autoSpaceDN/>
      <w:spacing w:line="256" w:lineRule="auto"/>
      <w:ind w:right="198" w:firstLineChars="100" w:firstLine="100"/>
      <w:textAlignment w:val="baseline"/>
    </w:pPr>
    <w:rPr>
      <w:rFonts w:ascii="굴림" w:eastAsia="굴림" w:hAnsi="굴림" w:cs="굴림"/>
      <w:color w:val="000000"/>
      <w:kern w:val="0"/>
      <w:szCs w:val="20"/>
      <w:lang w:val="en-US"/>
    </w:rPr>
  </w:style>
  <w:style w:type="character" w:customStyle="1" w:styleId="e24kjd">
    <w:name w:val="e24kjd"/>
    <w:basedOn w:val="a0"/>
    <w:rsid w:val="00C266AF"/>
  </w:style>
  <w:style w:type="character" w:styleId="a6">
    <w:name w:val="Emphasis"/>
    <w:basedOn w:val="a0"/>
    <w:uiPriority w:val="20"/>
    <w:qFormat/>
    <w:rsid w:val="00C266AF"/>
    <w:rPr>
      <w:b/>
      <w:bCs/>
      <w:i w:val="0"/>
      <w:iCs w:val="0"/>
    </w:rPr>
  </w:style>
  <w:style w:type="character" w:customStyle="1" w:styleId="st1">
    <w:name w:val="st1"/>
    <w:basedOn w:val="a0"/>
    <w:rsid w:val="00C266AF"/>
  </w:style>
  <w:style w:type="character" w:customStyle="1" w:styleId="MSChar">
    <w:name w:val="MS바탕글 Char"/>
    <w:basedOn w:val="a0"/>
    <w:link w:val="MS"/>
    <w:rsid w:val="00C266AF"/>
    <w:rPr>
      <w:rFonts w:ascii="굴림" w:eastAsia="굴림" w:hAnsi="굴림" w:cs="굴림"/>
      <w:color w:val="000000"/>
      <w:kern w:val="0"/>
      <w:szCs w:val="20"/>
    </w:rPr>
  </w:style>
  <w:style w:type="character" w:styleId="a7">
    <w:name w:val="page number"/>
    <w:basedOn w:val="a0"/>
    <w:uiPriority w:val="99"/>
    <w:semiHidden/>
    <w:unhideWhenUsed/>
    <w:rsid w:val="00C266AF"/>
  </w:style>
  <w:style w:type="paragraph" w:styleId="a8">
    <w:name w:val="header"/>
    <w:basedOn w:val="a"/>
    <w:link w:val="Char0"/>
    <w:uiPriority w:val="99"/>
    <w:unhideWhenUsed/>
    <w:rsid w:val="00070F4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070F49"/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273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10</Pages>
  <Words>1972</Words>
  <Characters>11243</Characters>
  <Application>Microsoft Office Word</Application>
  <DocSecurity>0</DocSecurity>
  <Lines>93</Lines>
  <Paragraphs>26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 Kyu-Sang</dc:creator>
  <cp:keywords/>
  <dc:description/>
  <cp:lastModifiedBy>Park Kyu-Sang</cp:lastModifiedBy>
  <cp:revision>3</cp:revision>
  <dcterms:created xsi:type="dcterms:W3CDTF">2020-08-11T12:05:00Z</dcterms:created>
  <dcterms:modified xsi:type="dcterms:W3CDTF">2020-08-12T03:17:00Z</dcterms:modified>
</cp:coreProperties>
</file>