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A3025F" w14:textId="403292D1" w:rsidR="00BE6F0F" w:rsidRDefault="00BE6F0F" w:rsidP="00CD5D1F">
      <w:pPr>
        <w:spacing w:line="480" w:lineRule="auto"/>
        <w:rPr>
          <w:rFonts w:ascii="Arial" w:eastAsia="Times New Roman" w:hAnsi="Arial" w:cs="Arial"/>
          <w:b/>
          <w:color w:val="000000"/>
          <w:sz w:val="22"/>
          <w:szCs w:val="22"/>
        </w:rPr>
      </w:pPr>
      <w:r>
        <w:rPr>
          <w:rFonts w:ascii="Arial" w:eastAsia="Times New Roman" w:hAnsi="Arial" w:cs="Arial"/>
          <w:b/>
          <w:color w:val="000000"/>
          <w:sz w:val="22"/>
          <w:szCs w:val="22"/>
        </w:rPr>
        <w:t xml:space="preserve">Additional </w:t>
      </w:r>
      <w:r w:rsidR="00457CB1">
        <w:rPr>
          <w:rFonts w:ascii="Arial" w:eastAsia="Times New Roman" w:hAnsi="Arial" w:cs="Arial"/>
          <w:b/>
          <w:color w:val="000000"/>
          <w:sz w:val="22"/>
          <w:szCs w:val="22"/>
        </w:rPr>
        <w:t xml:space="preserve">File </w:t>
      </w:r>
      <w:r w:rsidR="00FD4358">
        <w:rPr>
          <w:rFonts w:ascii="Arial" w:eastAsia="Times New Roman" w:hAnsi="Arial" w:cs="Arial"/>
          <w:b/>
          <w:color w:val="000000"/>
          <w:sz w:val="22"/>
          <w:szCs w:val="22"/>
        </w:rPr>
        <w:t>1</w:t>
      </w:r>
    </w:p>
    <w:p w14:paraId="0701B549" w14:textId="679464FE" w:rsidR="00BE6F0F" w:rsidRDefault="00BE6F0F" w:rsidP="00CD5D1F">
      <w:pPr>
        <w:spacing w:line="480" w:lineRule="auto"/>
        <w:rPr>
          <w:rFonts w:ascii="Arial" w:eastAsia="Times New Roman" w:hAnsi="Arial" w:cs="Arial"/>
          <w:b/>
          <w:color w:val="000000"/>
          <w:sz w:val="22"/>
          <w:szCs w:val="22"/>
        </w:rPr>
      </w:pPr>
    </w:p>
    <w:p w14:paraId="42F35C4F" w14:textId="3D3B1667" w:rsidR="00BE6F0F" w:rsidRDefault="00826330" w:rsidP="00CD5D1F">
      <w:pPr>
        <w:spacing w:line="480" w:lineRule="auto"/>
        <w:rPr>
          <w:rFonts w:ascii="Arial" w:eastAsia="Times New Roman" w:hAnsi="Arial" w:cs="Arial"/>
          <w:b/>
          <w:color w:val="000000"/>
          <w:sz w:val="22"/>
          <w:szCs w:val="22"/>
        </w:rPr>
      </w:pPr>
      <w:r>
        <w:rPr>
          <w:rFonts w:ascii="Arial" w:eastAsia="Times New Roman" w:hAnsi="Arial" w:cs="Arial"/>
          <w:b/>
          <w:color w:val="000000"/>
          <w:sz w:val="22"/>
          <w:szCs w:val="22"/>
        </w:rPr>
        <w:t>Expanded m</w:t>
      </w:r>
      <w:r w:rsidR="00BE6F0F">
        <w:rPr>
          <w:rFonts w:ascii="Arial" w:eastAsia="Times New Roman" w:hAnsi="Arial" w:cs="Arial"/>
          <w:b/>
          <w:color w:val="000000"/>
          <w:sz w:val="22"/>
          <w:szCs w:val="22"/>
        </w:rPr>
        <w:t>ethods:</w:t>
      </w:r>
    </w:p>
    <w:p w14:paraId="2F15DD20" w14:textId="7A6E1B09" w:rsidR="00BE6F0F" w:rsidRDefault="00BE6F0F" w:rsidP="002A6DFF">
      <w:pPr>
        <w:spacing w:line="480" w:lineRule="auto"/>
        <w:ind w:firstLine="720"/>
        <w:rPr>
          <w:rFonts w:ascii="Arial" w:hAnsi="Arial" w:cs="Arial"/>
          <w:sz w:val="22"/>
          <w:szCs w:val="22"/>
        </w:rPr>
      </w:pPr>
      <w:r>
        <w:rPr>
          <w:rFonts w:ascii="Arial" w:hAnsi="Arial" w:cs="Arial"/>
          <w:sz w:val="22"/>
          <w:szCs w:val="22"/>
        </w:rPr>
        <w:t>From October 2011 to October 2019</w:t>
      </w:r>
      <w:r w:rsidRPr="009434DD">
        <w:rPr>
          <w:rFonts w:ascii="Arial" w:hAnsi="Arial" w:cs="Arial"/>
          <w:b/>
          <w:bCs/>
          <w:sz w:val="22"/>
          <w:szCs w:val="22"/>
        </w:rPr>
        <w:t xml:space="preserve"> </w:t>
      </w:r>
      <w:r>
        <w:rPr>
          <w:rFonts w:ascii="Arial" w:hAnsi="Arial" w:cs="Arial"/>
          <w:sz w:val="22"/>
          <w:szCs w:val="22"/>
        </w:rPr>
        <w:t xml:space="preserve">we prospectively enrolled consecutive mechanically-ventilated patients with acute respiratory failure in the Medical Intensive Care Unit (ICU) at the University of Pittsburgh Medical Center </w:t>
      </w:r>
      <w:r w:rsidRPr="00EC6754">
        <w:rPr>
          <w:rFonts w:ascii="Arial" w:hAnsi="Arial"/>
          <w:sz w:val="22"/>
          <w:szCs w:val="22"/>
        </w:rPr>
        <w:t>into the Pittsburgh Acute Lung Injury Registry and Biospecimen Repository (ALIR).</w:t>
      </w:r>
      <w:r w:rsidR="002A6DFF">
        <w:rPr>
          <w:rFonts w:ascii="Arial" w:hAnsi="Arial"/>
          <w:sz w:val="22"/>
          <w:szCs w:val="22"/>
        </w:rPr>
        <w:t xml:space="preserve"> To be considered eligible, patients were 18 years or older and mechanically ventilated. </w:t>
      </w:r>
      <w:r w:rsidR="002A6DFF">
        <w:rPr>
          <w:rFonts w:ascii="Arial" w:hAnsi="Arial" w:cs="Arial"/>
          <w:sz w:val="22"/>
          <w:szCs w:val="22"/>
        </w:rPr>
        <w:t xml:space="preserve">Exclusion criteria included patients unable to provide informed consent, presence of tracheostomy, or mechanical ventilation for &gt;72 hours prior to enrollment. </w:t>
      </w:r>
      <w:r w:rsidR="002A6DFF" w:rsidRPr="0020435D">
        <w:rPr>
          <w:rFonts w:ascii="Arial" w:hAnsi="Arial"/>
          <w:sz w:val="22"/>
          <w:szCs w:val="22"/>
        </w:rPr>
        <w:t xml:space="preserve">The </w:t>
      </w:r>
      <w:r w:rsidR="002A6DFF">
        <w:rPr>
          <w:rFonts w:ascii="Arial" w:hAnsi="Arial"/>
          <w:sz w:val="22"/>
          <w:szCs w:val="22"/>
        </w:rPr>
        <w:t>study was approved by the University of Pittsburgh</w:t>
      </w:r>
      <w:r w:rsidR="002A6DFF" w:rsidRPr="0020435D">
        <w:rPr>
          <w:rFonts w:ascii="Arial" w:hAnsi="Arial"/>
          <w:sz w:val="22"/>
          <w:szCs w:val="22"/>
        </w:rPr>
        <w:t xml:space="preserve"> Institutional Review Board</w:t>
      </w:r>
      <w:r w:rsidR="002A6DFF">
        <w:rPr>
          <w:rFonts w:ascii="Arial" w:hAnsi="Arial"/>
          <w:sz w:val="22"/>
          <w:szCs w:val="22"/>
        </w:rPr>
        <w:t xml:space="preserve"> (protocol</w:t>
      </w:r>
      <w:r w:rsidR="00826DE3">
        <w:rPr>
          <w:rFonts w:ascii="Arial" w:hAnsi="Arial"/>
          <w:sz w:val="22"/>
          <w:szCs w:val="22"/>
        </w:rPr>
        <w:t xml:space="preserve"> STUDY19050099</w:t>
      </w:r>
      <w:r w:rsidR="002A6DFF">
        <w:rPr>
          <w:rFonts w:ascii="Arial" w:hAnsi="Arial"/>
          <w:sz w:val="22"/>
          <w:szCs w:val="22"/>
        </w:rPr>
        <w:t xml:space="preserve">). </w:t>
      </w:r>
      <w:r w:rsidR="002A6DFF">
        <w:rPr>
          <w:rFonts w:ascii="Arial" w:hAnsi="Arial" w:cs="Arial"/>
          <w:sz w:val="22"/>
          <w:szCs w:val="22"/>
        </w:rPr>
        <w:t xml:space="preserve">Written informed consent was provided by all participants or their surrogates. Within 48 hours of intubation, we collected baseline demographics, comorbidities, mechanical ventilation and laboratory variables that included several host-response biomarkers. </w:t>
      </w:r>
    </w:p>
    <w:p w14:paraId="413818A3" w14:textId="424454C8" w:rsidR="002A6DFF" w:rsidRDefault="002A6DFF" w:rsidP="002A6DFF">
      <w:pPr>
        <w:pStyle w:val="Body"/>
        <w:spacing w:line="480" w:lineRule="auto"/>
        <w:jc w:val="both"/>
        <w:rPr>
          <w:rFonts w:ascii="Arial" w:hAnsi="Arial" w:cs="Arial"/>
          <w:sz w:val="22"/>
          <w:szCs w:val="22"/>
        </w:rPr>
      </w:pPr>
      <w:r>
        <w:rPr>
          <w:rFonts w:ascii="Arial" w:eastAsia="Times New Roman" w:hAnsi="Arial" w:cs="Arial"/>
          <w:bCs/>
          <w:sz w:val="22"/>
          <w:szCs w:val="22"/>
        </w:rPr>
        <w:tab/>
      </w:r>
      <w:r w:rsidRPr="00EC6754">
        <w:rPr>
          <w:rFonts w:ascii="Arial" w:hAnsi="Arial"/>
          <w:sz w:val="22"/>
          <w:szCs w:val="22"/>
          <w:lang w:val="en-US"/>
        </w:rPr>
        <w:t>Blood samples were centrifuged for separation of plasma</w:t>
      </w:r>
      <w:r>
        <w:rPr>
          <w:rFonts w:ascii="Arial" w:hAnsi="Arial"/>
          <w:sz w:val="22"/>
          <w:szCs w:val="22"/>
          <w:lang w:val="en-US"/>
        </w:rPr>
        <w:t xml:space="preserve"> at 800g at 4</w:t>
      </w:r>
      <w:r w:rsidRPr="00EC6754">
        <w:rPr>
          <w:rFonts w:ascii="Arial" w:hAnsi="Arial"/>
          <w:sz w:val="22"/>
          <w:szCs w:val="22"/>
          <w:lang w:val="en-US"/>
        </w:rPr>
        <w:t>°C</w:t>
      </w:r>
      <w:r>
        <w:rPr>
          <w:rFonts w:ascii="Arial" w:hAnsi="Arial"/>
          <w:sz w:val="22"/>
          <w:szCs w:val="22"/>
          <w:lang w:val="en-US"/>
        </w:rPr>
        <w:t xml:space="preserve"> for 10</w:t>
      </w:r>
      <w:r w:rsidR="00457CB1">
        <w:rPr>
          <w:rFonts w:ascii="Arial" w:hAnsi="Arial"/>
          <w:sz w:val="22"/>
          <w:szCs w:val="22"/>
          <w:lang w:val="en-US"/>
        </w:rPr>
        <w:t xml:space="preserve"> </w:t>
      </w:r>
      <w:r>
        <w:rPr>
          <w:rFonts w:ascii="Arial" w:hAnsi="Arial"/>
          <w:sz w:val="22"/>
          <w:szCs w:val="22"/>
          <w:lang w:val="en-US"/>
        </w:rPr>
        <w:t>min</w:t>
      </w:r>
      <w:r w:rsidR="00457CB1">
        <w:rPr>
          <w:rFonts w:ascii="Arial" w:hAnsi="Arial"/>
          <w:sz w:val="22"/>
          <w:szCs w:val="22"/>
          <w:lang w:val="en-US"/>
        </w:rPr>
        <w:t>utes</w:t>
      </w:r>
      <w:r w:rsidRPr="00EC6754">
        <w:rPr>
          <w:rFonts w:ascii="Arial" w:hAnsi="Arial"/>
          <w:sz w:val="22"/>
          <w:szCs w:val="22"/>
          <w:lang w:val="en-US"/>
        </w:rPr>
        <w:t xml:space="preserve">, </w:t>
      </w:r>
      <w:r>
        <w:rPr>
          <w:rFonts w:ascii="Arial" w:hAnsi="Arial"/>
          <w:sz w:val="22"/>
          <w:szCs w:val="22"/>
          <w:lang w:val="en-US"/>
        </w:rPr>
        <w:t xml:space="preserve">and plasma </w:t>
      </w:r>
      <w:r w:rsidRPr="00EC6754">
        <w:rPr>
          <w:rFonts w:ascii="Arial" w:hAnsi="Arial"/>
          <w:sz w:val="22"/>
          <w:szCs w:val="22"/>
          <w:lang w:val="en-US"/>
        </w:rPr>
        <w:t xml:space="preserve">was then frozen and stored at -80°C. </w:t>
      </w:r>
      <w:r>
        <w:rPr>
          <w:rFonts w:ascii="Arial" w:hAnsi="Arial"/>
          <w:sz w:val="22"/>
          <w:szCs w:val="22"/>
          <w:lang w:val="en-US"/>
        </w:rPr>
        <w:t>W</w:t>
      </w:r>
      <w:r w:rsidRPr="00EC6754">
        <w:rPr>
          <w:rFonts w:ascii="Arial" w:hAnsi="Arial"/>
          <w:sz w:val="22"/>
          <w:szCs w:val="22"/>
          <w:lang w:val="en-US"/>
        </w:rPr>
        <w:t xml:space="preserve">e did not obtain a blood sample </w:t>
      </w:r>
      <w:r>
        <w:rPr>
          <w:rFonts w:ascii="Arial" w:hAnsi="Arial"/>
          <w:sz w:val="22"/>
          <w:szCs w:val="22"/>
          <w:lang w:val="en-US"/>
        </w:rPr>
        <w:t>if</w:t>
      </w:r>
      <w:r w:rsidRPr="00EC6754">
        <w:rPr>
          <w:rFonts w:ascii="Arial" w:hAnsi="Arial"/>
          <w:sz w:val="22"/>
          <w:szCs w:val="22"/>
          <w:lang w:val="en-US"/>
        </w:rPr>
        <w:t xml:space="preserve"> a patient’s hemoglobin level was below 8 gr/dl pe</w:t>
      </w:r>
      <w:r>
        <w:rPr>
          <w:rFonts w:ascii="Arial" w:hAnsi="Arial"/>
          <w:sz w:val="22"/>
          <w:szCs w:val="22"/>
          <w:lang w:val="en-US"/>
        </w:rPr>
        <w:t>r</w:t>
      </w:r>
      <w:r w:rsidRPr="00EC6754">
        <w:rPr>
          <w:rFonts w:ascii="Arial" w:hAnsi="Arial"/>
          <w:sz w:val="22"/>
          <w:szCs w:val="22"/>
          <w:lang w:val="en-US"/>
        </w:rPr>
        <w:t xml:space="preserve"> study protocol </w:t>
      </w:r>
      <w:r>
        <w:rPr>
          <w:rFonts w:ascii="Arial" w:hAnsi="Arial"/>
          <w:sz w:val="22"/>
          <w:szCs w:val="22"/>
          <w:lang w:val="en-US"/>
        </w:rPr>
        <w:t xml:space="preserve">in order </w:t>
      </w:r>
      <w:r w:rsidRPr="00EC6754">
        <w:rPr>
          <w:rFonts w:ascii="Arial" w:hAnsi="Arial"/>
          <w:sz w:val="22"/>
          <w:szCs w:val="22"/>
          <w:lang w:val="en-US"/>
        </w:rPr>
        <w:t xml:space="preserve">to prevent risks of iatrogenic anemia. Biomarkers were measured for the purposes of the ALIR study and were not clinically available. </w:t>
      </w:r>
    </w:p>
    <w:p w14:paraId="6EF9D5D5" w14:textId="77777777" w:rsidR="00826330" w:rsidRDefault="00826330" w:rsidP="002A6DFF">
      <w:pPr>
        <w:pStyle w:val="Body"/>
        <w:spacing w:line="480" w:lineRule="auto"/>
        <w:jc w:val="both"/>
        <w:rPr>
          <w:rFonts w:ascii="Arial" w:hAnsi="Arial" w:cs="Arial"/>
          <w:sz w:val="22"/>
          <w:szCs w:val="22"/>
        </w:rPr>
      </w:pPr>
    </w:p>
    <w:p w14:paraId="4235BFA2" w14:textId="1C88A163" w:rsidR="00826330" w:rsidRPr="004B2031" w:rsidRDefault="00826330" w:rsidP="002A6DFF">
      <w:pPr>
        <w:pStyle w:val="Body"/>
        <w:spacing w:line="480" w:lineRule="auto"/>
        <w:jc w:val="both"/>
        <w:rPr>
          <w:rFonts w:ascii="Arial" w:hAnsi="Arial" w:cs="Arial"/>
          <w:b/>
          <w:bCs/>
          <w:sz w:val="22"/>
          <w:szCs w:val="22"/>
        </w:rPr>
      </w:pPr>
      <w:r w:rsidRPr="004B2031">
        <w:rPr>
          <w:rFonts w:ascii="Arial" w:hAnsi="Arial" w:cs="Arial"/>
          <w:b/>
          <w:bCs/>
          <w:sz w:val="22"/>
          <w:szCs w:val="22"/>
        </w:rPr>
        <w:t>Clinical classifications:</w:t>
      </w:r>
    </w:p>
    <w:p w14:paraId="38B51A7D" w14:textId="2AE9E6FB" w:rsidR="00534A4D" w:rsidRDefault="00534A4D" w:rsidP="00534A4D">
      <w:pPr>
        <w:spacing w:line="480" w:lineRule="auto"/>
        <w:ind w:firstLine="720"/>
        <w:jc w:val="both"/>
        <w:rPr>
          <w:rFonts w:ascii="Arial" w:hAnsi="Arial"/>
          <w:sz w:val="22"/>
          <w:szCs w:val="22"/>
        </w:rPr>
      </w:pPr>
      <w:r>
        <w:rPr>
          <w:rFonts w:ascii="Arial" w:hAnsi="Arial" w:cs="Arial"/>
          <w:sz w:val="22"/>
          <w:szCs w:val="22"/>
        </w:rPr>
        <w:t>To classify subjects into clinical categories, a consensus committee</w:t>
      </w:r>
      <w:r w:rsidR="004B2031">
        <w:rPr>
          <w:rFonts w:ascii="Arial" w:hAnsi="Arial" w:cs="Arial"/>
          <w:b/>
          <w:bCs/>
          <w:sz w:val="22"/>
          <w:szCs w:val="22"/>
        </w:rPr>
        <w:t xml:space="preserve"> </w:t>
      </w:r>
      <w:r>
        <w:rPr>
          <w:rFonts w:ascii="Arial" w:hAnsi="Arial" w:cs="Arial"/>
          <w:sz w:val="22"/>
          <w:szCs w:val="22"/>
        </w:rPr>
        <w:t xml:space="preserve">reviewed all baseline clinical and radiographic data for the enrolled patients retrospectively without knowledge of biomarker values. </w:t>
      </w:r>
      <w:r w:rsidR="006177F3">
        <w:rPr>
          <w:rFonts w:ascii="Arial" w:hAnsi="Arial" w:cs="Arial"/>
          <w:sz w:val="22"/>
          <w:szCs w:val="22"/>
        </w:rPr>
        <w:t xml:space="preserve">The categories consisted of </w:t>
      </w:r>
      <w:r w:rsidR="004B2031">
        <w:rPr>
          <w:rFonts w:ascii="Arial" w:hAnsi="Arial" w:cs="Arial"/>
          <w:sz w:val="22"/>
          <w:szCs w:val="22"/>
        </w:rPr>
        <w:t xml:space="preserve">a) ARDS per Berlin criteria, b) (ARFA) based on presence of an identifiable lung injury risk factor upon enrollment but not fulfilling ARDS criteria, c) cardiogenic pulmonary edema from CHF, d) acute on chronic respiratory failure (e.g. acute exacerbation of chronic obstructive pulmonary disease [COPD]), e) intubation for airway </w:t>
      </w:r>
      <w:r w:rsidR="004B2031">
        <w:rPr>
          <w:rFonts w:ascii="Arial" w:hAnsi="Arial" w:cs="Arial"/>
          <w:sz w:val="22"/>
          <w:szCs w:val="22"/>
        </w:rPr>
        <w:lastRenderedPageBreak/>
        <w:t xml:space="preserve">protection, and f) “other” category, including cases for which the committee could not reach consensus for clinical classification into any of the categories above. </w:t>
      </w:r>
      <w:r w:rsidR="00DB11C3">
        <w:rPr>
          <w:rFonts w:ascii="Arial" w:hAnsi="Arial" w:cs="Arial"/>
          <w:sz w:val="22"/>
          <w:szCs w:val="22"/>
        </w:rPr>
        <w:t xml:space="preserve">It was noted whether ARDS and ARFA patients had direct (pneumonia or aspiration) or indirect (e.g. extra-pulmonary sepsis or massive transfusion) lung injury risk factors. </w:t>
      </w:r>
      <w:r w:rsidR="00DB11C3" w:rsidRPr="00EC6754">
        <w:rPr>
          <w:rFonts w:ascii="Arial" w:hAnsi="Arial"/>
          <w:sz w:val="22"/>
          <w:szCs w:val="22"/>
        </w:rPr>
        <w:t>Lung injury risk factors were identified from retrospective review of clinical and radiographic data</w:t>
      </w:r>
      <w:r w:rsidR="00457CB1">
        <w:rPr>
          <w:rFonts w:ascii="Arial" w:hAnsi="Arial"/>
          <w:sz w:val="22"/>
          <w:szCs w:val="22"/>
        </w:rPr>
        <w:t xml:space="preserve">, </w:t>
      </w:r>
      <w:r w:rsidR="00457CB1">
        <w:rPr>
          <w:rFonts w:ascii="Arial" w:hAnsi="Arial" w:cs="Arial"/>
          <w:sz w:val="22"/>
          <w:szCs w:val="22"/>
        </w:rPr>
        <w:t>and lung injury prediction scores (LIPS) were calculated</w:t>
      </w:r>
      <w:r w:rsidR="00006955">
        <w:rPr>
          <w:rFonts w:ascii="Arial" w:hAnsi="Arial" w:cs="Arial"/>
          <w:sz w:val="22"/>
          <w:szCs w:val="22"/>
        </w:rPr>
        <w:t xml:space="preserve"> </w:t>
      </w:r>
      <w:r w:rsidR="00006955">
        <w:rPr>
          <w:rFonts w:ascii="Arial" w:hAnsi="Arial" w:cs="Arial"/>
          <w:sz w:val="22"/>
          <w:szCs w:val="22"/>
        </w:rPr>
        <w:fldChar w:fldCharType="begin">
          <w:fldData xml:space="preserve">PEVuZE5vdGU+PENpdGU+PEF1dGhvcj5HYWppYzwvQXV0aG9yPjxZZWFyPjIwMTE8L1llYXI+PElE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</w:fldData>
        </w:fldChar>
      </w:r>
      <w:r w:rsidR="009126ED">
        <w:rPr>
          <w:rFonts w:ascii="Arial" w:hAnsi="Arial" w:cs="Arial"/>
          <w:sz w:val="22"/>
          <w:szCs w:val="22"/>
        </w:rPr>
        <w:instrText xml:space="preserve"> ADDIN EN.CITE </w:instrText>
      </w:r>
      <w:r w:rsidR="009126ED">
        <w:rPr>
          <w:rFonts w:ascii="Arial" w:hAnsi="Arial" w:cs="Arial"/>
          <w:sz w:val="22"/>
          <w:szCs w:val="22"/>
        </w:rPr>
        <w:fldChar w:fldCharType="begin">
          <w:fldData xml:space="preserve">PEVuZE5vdGU+PENpdGU+PEF1dGhvcj5HYWppYzwvQXV0aG9yPjxZZWFyPjIwMTE8L1llYXI+PElE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</w:fldData>
        </w:fldChar>
      </w:r>
      <w:r w:rsidR="009126ED">
        <w:rPr>
          <w:rFonts w:ascii="Arial" w:hAnsi="Arial" w:cs="Arial"/>
          <w:sz w:val="22"/>
          <w:szCs w:val="22"/>
        </w:rPr>
        <w:instrText xml:space="preserve"> ADDIN EN.CITE.DATA </w:instrText>
      </w:r>
      <w:r w:rsidR="009126ED">
        <w:rPr>
          <w:rFonts w:ascii="Arial" w:hAnsi="Arial" w:cs="Arial"/>
          <w:sz w:val="22"/>
          <w:szCs w:val="22"/>
        </w:rPr>
      </w:r>
      <w:r w:rsidR="009126ED">
        <w:rPr>
          <w:rFonts w:ascii="Arial" w:hAnsi="Arial" w:cs="Arial"/>
          <w:sz w:val="22"/>
          <w:szCs w:val="22"/>
        </w:rPr>
        <w:fldChar w:fldCharType="end"/>
      </w:r>
      <w:r w:rsidR="00006955">
        <w:rPr>
          <w:rFonts w:ascii="Arial" w:hAnsi="Arial" w:cs="Arial"/>
          <w:sz w:val="22"/>
          <w:szCs w:val="22"/>
        </w:rPr>
      </w:r>
      <w:r w:rsidR="00006955">
        <w:rPr>
          <w:rFonts w:ascii="Arial" w:hAnsi="Arial" w:cs="Arial"/>
          <w:sz w:val="22"/>
          <w:szCs w:val="22"/>
        </w:rPr>
        <w:fldChar w:fldCharType="separate"/>
      </w:r>
      <w:r w:rsidR="009126ED">
        <w:rPr>
          <w:rFonts w:ascii="Arial" w:hAnsi="Arial" w:cs="Arial"/>
          <w:noProof/>
          <w:sz w:val="22"/>
          <w:szCs w:val="22"/>
        </w:rPr>
        <w:t>(1)</w:t>
      </w:r>
      <w:r w:rsidR="00006955">
        <w:rPr>
          <w:rFonts w:ascii="Arial" w:hAnsi="Arial" w:cs="Arial"/>
          <w:sz w:val="22"/>
          <w:szCs w:val="22"/>
        </w:rPr>
        <w:fldChar w:fldCharType="end"/>
      </w:r>
      <w:r w:rsidR="00457CB1">
        <w:rPr>
          <w:rFonts w:ascii="Arial" w:hAnsi="Arial" w:cs="Arial"/>
          <w:sz w:val="22"/>
          <w:szCs w:val="22"/>
        </w:rPr>
        <w:t>.</w:t>
      </w:r>
    </w:p>
    <w:p w14:paraId="18A957E0" w14:textId="77777777" w:rsidR="00826330" w:rsidRDefault="00826330" w:rsidP="00534A4D">
      <w:pPr>
        <w:spacing w:line="480" w:lineRule="auto"/>
        <w:ind w:firstLine="720"/>
        <w:jc w:val="both"/>
        <w:rPr>
          <w:rFonts w:ascii="Arial" w:hAnsi="Arial"/>
          <w:sz w:val="22"/>
          <w:szCs w:val="22"/>
        </w:rPr>
      </w:pPr>
    </w:p>
    <w:p w14:paraId="28760151" w14:textId="38DC7E2D" w:rsidR="00826330" w:rsidRDefault="0079270E" w:rsidP="00826330">
      <w:pPr>
        <w:pStyle w:val="Body"/>
        <w:spacing w:line="480" w:lineRule="auto"/>
        <w:jc w:val="both"/>
        <w:rPr>
          <w:rFonts w:ascii="Arial" w:hAnsi="Arial"/>
          <w:sz w:val="22"/>
          <w:szCs w:val="22"/>
          <w:lang w:val="en-US"/>
        </w:rPr>
      </w:pPr>
      <w:proofErr w:type="spellStart"/>
      <w:r>
        <w:rPr>
          <w:rFonts w:ascii="Arial" w:hAnsi="Arial"/>
          <w:sz w:val="22"/>
          <w:szCs w:val="22"/>
          <w:lang w:val="en-US"/>
        </w:rPr>
        <w:t>S</w:t>
      </w:r>
      <w:r w:rsidR="00826330" w:rsidRPr="00EC6754">
        <w:rPr>
          <w:rFonts w:ascii="Arial" w:hAnsi="Arial"/>
          <w:sz w:val="22"/>
          <w:szCs w:val="22"/>
          <w:lang w:val="en-US"/>
        </w:rPr>
        <w:t>ubphenotypic</w:t>
      </w:r>
      <w:proofErr w:type="spellEnd"/>
      <w:r w:rsidR="00826330" w:rsidRPr="00EC6754">
        <w:rPr>
          <w:rFonts w:ascii="Arial" w:hAnsi="Arial"/>
          <w:sz w:val="22"/>
          <w:szCs w:val="22"/>
          <w:lang w:val="en-US"/>
        </w:rPr>
        <w:t xml:space="preserve"> classifications:</w:t>
      </w:r>
    </w:p>
    <w:p w14:paraId="45CC8A04" w14:textId="46C2066C" w:rsidR="00826330" w:rsidRPr="0079270E" w:rsidRDefault="00826330" w:rsidP="0079270E">
      <w:pPr>
        <w:pStyle w:val="Body"/>
        <w:spacing w:line="480" w:lineRule="auto"/>
        <w:jc w:val="both"/>
        <w:rPr>
          <w:rFonts w:ascii="Arial" w:hAnsi="Arial"/>
          <w:sz w:val="22"/>
          <w:szCs w:val="22"/>
          <w:lang w:val="en-US"/>
        </w:rPr>
      </w:pPr>
      <w:r w:rsidRPr="00826330">
        <w:rPr>
          <w:rFonts w:ascii="Arial" w:hAnsi="Arial" w:cs="Arial"/>
          <w:sz w:val="22"/>
          <w:szCs w:val="22"/>
        </w:rPr>
        <w:t xml:space="preserve">We combined </w:t>
      </w:r>
      <w:r>
        <w:rPr>
          <w:rFonts w:ascii="Arial" w:hAnsi="Arial" w:cs="Arial"/>
          <w:sz w:val="22"/>
          <w:szCs w:val="22"/>
        </w:rPr>
        <w:t xml:space="preserve">baseline data from </w:t>
      </w:r>
      <w:r w:rsidRPr="00826330">
        <w:rPr>
          <w:rFonts w:ascii="Arial" w:hAnsi="Arial" w:cs="Arial"/>
          <w:sz w:val="22"/>
          <w:szCs w:val="22"/>
        </w:rPr>
        <w:t>the ARDS, ARFA, and CHF patients t</w:t>
      </w:r>
      <w:r>
        <w:rPr>
          <w:rFonts w:ascii="Arial" w:hAnsi="Arial" w:cs="Arial"/>
          <w:sz w:val="22"/>
          <w:szCs w:val="22"/>
        </w:rPr>
        <w:t>o</w:t>
      </w:r>
      <w:r w:rsidRPr="00826330">
        <w:rPr>
          <w:rFonts w:ascii="Arial" w:hAnsi="Arial" w:cs="Arial"/>
          <w:sz w:val="22"/>
          <w:szCs w:val="22"/>
        </w:rPr>
        <w:t xml:space="preserve"> perform subphenotypic classifications by applying latent class analysis (LCA)</w:t>
      </w:r>
      <w:r w:rsidR="00B402A9">
        <w:rPr>
          <w:rFonts w:ascii="Arial" w:hAnsi="Arial" w:cs="Arial"/>
          <w:sz w:val="22"/>
          <w:szCs w:val="22"/>
        </w:rPr>
        <w:t xml:space="preserve"> methodology.</w:t>
      </w:r>
      <w:r>
        <w:rPr>
          <w:rFonts w:ascii="Arial" w:hAnsi="Arial" w:cs="Arial"/>
          <w:sz w:val="22"/>
          <w:szCs w:val="22"/>
        </w:rPr>
        <w:t xml:space="preserve"> First, we estimated the optimal number of classes that best fit our patient cohort, as subphenotyping analysis has not yet been performed in this population. LCA has been applied to several recent ARDS cohorts with the goal to identify subgroups of patients defined by a specific group of variables without consideration of clinical outcome. We considered both continuous and categorical clinical and biomarker </w:t>
      </w:r>
      <w:r w:rsidR="00165BE3">
        <w:rPr>
          <w:rFonts w:ascii="Arial" w:hAnsi="Arial" w:cs="Arial"/>
          <w:sz w:val="22"/>
          <w:szCs w:val="22"/>
        </w:rPr>
        <w:t xml:space="preserve">variables </w:t>
      </w:r>
      <w:r>
        <w:rPr>
          <w:rFonts w:ascii="Arial" w:hAnsi="Arial" w:cs="Arial"/>
          <w:sz w:val="22"/>
          <w:szCs w:val="22"/>
        </w:rPr>
        <w:t xml:space="preserve">similar to those </w:t>
      </w:r>
      <w:r w:rsidR="00165BE3">
        <w:rPr>
          <w:rFonts w:ascii="Arial" w:hAnsi="Arial" w:cs="Arial"/>
          <w:sz w:val="22"/>
          <w:szCs w:val="22"/>
        </w:rPr>
        <w:t xml:space="preserve">used </w:t>
      </w:r>
      <w:r>
        <w:rPr>
          <w:rFonts w:ascii="Arial" w:hAnsi="Arial" w:cs="Arial"/>
          <w:sz w:val="22"/>
          <w:szCs w:val="22"/>
        </w:rPr>
        <w:t xml:space="preserve">in </w:t>
      </w:r>
      <w:r w:rsidR="00165BE3">
        <w:rPr>
          <w:rFonts w:ascii="Arial" w:hAnsi="Arial" w:cs="Arial"/>
          <w:sz w:val="22"/>
          <w:szCs w:val="22"/>
        </w:rPr>
        <w:t xml:space="preserve">previous </w:t>
      </w:r>
      <w:r>
        <w:rPr>
          <w:rFonts w:ascii="Arial" w:hAnsi="Arial" w:cs="Arial"/>
          <w:sz w:val="22"/>
          <w:szCs w:val="22"/>
        </w:rPr>
        <w:t>LCA</w:t>
      </w:r>
      <w:r w:rsidR="00165BE3">
        <w:rPr>
          <w:rFonts w:ascii="Arial" w:hAnsi="Arial" w:cs="Arial"/>
          <w:sz w:val="22"/>
          <w:szCs w:val="22"/>
        </w:rPr>
        <w:t xml:space="preserve">-derived </w:t>
      </w:r>
      <w:r>
        <w:rPr>
          <w:rFonts w:ascii="Arial" w:hAnsi="Arial" w:cs="Arial"/>
          <w:sz w:val="22"/>
          <w:szCs w:val="22"/>
        </w:rPr>
        <w:t>models</w:t>
      </w:r>
      <w:r w:rsidR="00165BE3">
        <w:rPr>
          <w:rFonts w:ascii="Arial" w:hAnsi="Arial" w:cs="Arial"/>
          <w:sz w:val="22"/>
          <w:szCs w:val="22"/>
        </w:rPr>
        <w:t xml:space="preserve"> in ARDS trials (Additional file 2). Almost all of these variables have been examined in one or more previous trials. Similar to prior studies we standardized continuous variables to a common z-scale (mean value of 0, standard deviation value of 1). We also considered several categorical variables (coded as 0 and 1). </w:t>
      </w:r>
      <w:r w:rsidR="00165BE3" w:rsidRPr="00776B08">
        <w:rPr>
          <w:rFonts w:ascii="Arial" w:hAnsi="Arial" w:cs="Arial"/>
          <w:sz w:val="22"/>
          <w:szCs w:val="22"/>
        </w:rPr>
        <w:t xml:space="preserve">Data that were highly co-linear </w:t>
      </w:r>
      <w:r w:rsidR="00165BE3">
        <w:rPr>
          <w:rFonts w:ascii="Arial" w:hAnsi="Arial" w:cs="Arial"/>
          <w:sz w:val="22"/>
          <w:szCs w:val="22"/>
        </w:rPr>
        <w:t xml:space="preserve">(r&gt;0.95) </w:t>
      </w:r>
      <w:r w:rsidR="00165BE3" w:rsidRPr="00776B08">
        <w:rPr>
          <w:rFonts w:ascii="Arial" w:hAnsi="Arial" w:cs="Arial"/>
          <w:sz w:val="22"/>
          <w:szCs w:val="22"/>
        </w:rPr>
        <w:t>were excluded from the model (e.g. systolic blood pressure</w:t>
      </w:r>
      <w:r w:rsidR="00165BE3">
        <w:rPr>
          <w:rFonts w:ascii="Arial" w:hAnsi="Arial" w:cs="Arial"/>
          <w:sz w:val="22"/>
          <w:szCs w:val="22"/>
        </w:rPr>
        <w:t xml:space="preserve"> was included</w:t>
      </w:r>
      <w:r w:rsidR="00165BE3" w:rsidRPr="00776B08">
        <w:rPr>
          <w:rFonts w:ascii="Arial" w:hAnsi="Arial" w:cs="Arial"/>
          <w:sz w:val="22"/>
          <w:szCs w:val="22"/>
        </w:rPr>
        <w:t xml:space="preserve"> instead of mean arterial pressure).</w:t>
      </w:r>
      <w:r w:rsidR="00165BE3">
        <w:rPr>
          <w:rFonts w:ascii="Arial" w:hAnsi="Arial" w:cs="Arial"/>
          <w:sz w:val="22"/>
          <w:szCs w:val="22"/>
        </w:rPr>
        <w:t xml:space="preserve"> Prior to performing the </w:t>
      </w:r>
      <w:r w:rsidR="009F1946">
        <w:rPr>
          <w:rFonts w:ascii="Arial" w:hAnsi="Arial" w:cs="Arial"/>
          <w:sz w:val="22"/>
          <w:szCs w:val="22"/>
        </w:rPr>
        <w:t xml:space="preserve">final </w:t>
      </w:r>
      <w:r w:rsidR="00165BE3">
        <w:rPr>
          <w:rFonts w:ascii="Arial" w:hAnsi="Arial" w:cs="Arial"/>
          <w:sz w:val="22"/>
          <w:szCs w:val="22"/>
        </w:rPr>
        <w:t>LCA, we examined each continuous and categorical variable for disc</w:t>
      </w:r>
      <w:r w:rsidR="0029711E">
        <w:rPr>
          <w:rFonts w:ascii="Arial" w:hAnsi="Arial" w:cs="Arial"/>
          <w:sz w:val="22"/>
          <w:szCs w:val="22"/>
        </w:rPr>
        <w:t>r</w:t>
      </w:r>
      <w:r w:rsidR="00165BE3">
        <w:rPr>
          <w:rFonts w:ascii="Arial" w:hAnsi="Arial" w:cs="Arial"/>
          <w:sz w:val="22"/>
          <w:szCs w:val="22"/>
        </w:rPr>
        <w:t>iminatory value</w:t>
      </w:r>
      <w:r w:rsidR="0029711E">
        <w:rPr>
          <w:rFonts w:ascii="Arial" w:hAnsi="Arial" w:cs="Arial"/>
          <w:sz w:val="22"/>
          <w:szCs w:val="22"/>
        </w:rPr>
        <w:t>, and</w:t>
      </w:r>
      <w:r w:rsidR="00107999">
        <w:rPr>
          <w:rFonts w:ascii="Arial" w:hAnsi="Arial" w:cs="Arial"/>
          <w:sz w:val="22"/>
          <w:szCs w:val="22"/>
        </w:rPr>
        <w:t xml:space="preserve"> selected only variables that were found to be discriminatory</w:t>
      </w:r>
      <w:r w:rsidR="0079270E">
        <w:rPr>
          <w:rFonts w:ascii="Arial" w:hAnsi="Arial" w:cs="Arial"/>
          <w:sz w:val="22"/>
          <w:szCs w:val="22"/>
        </w:rPr>
        <w:t xml:space="preserve"> for consideration in development in the LCA model. Non-discriminatory variables were removed (defined as not significantly different from 0; </w:t>
      </w:r>
      <w:r w:rsidR="00107999">
        <w:rPr>
          <w:rFonts w:ascii="Arial" w:hAnsi="Arial" w:cs="Arial"/>
          <w:sz w:val="22"/>
          <w:szCs w:val="22"/>
        </w:rPr>
        <w:t>p</w:t>
      </w:r>
      <w:r w:rsidR="00107999">
        <w:rPr>
          <w:rFonts w:ascii="Arial" w:hAnsi="Arial" w:cs="Arial"/>
          <w:sz w:val="22"/>
          <w:szCs w:val="22"/>
        </w:rPr>
        <w:sym w:font="Symbol" w:char="F0B3"/>
      </w:r>
      <w:r w:rsidR="00107999">
        <w:rPr>
          <w:rFonts w:ascii="Arial" w:hAnsi="Arial" w:cs="Arial"/>
          <w:sz w:val="22"/>
          <w:szCs w:val="22"/>
        </w:rPr>
        <w:t>0.</w:t>
      </w:r>
      <w:r w:rsidR="0079270E">
        <w:rPr>
          <w:rFonts w:ascii="Arial" w:hAnsi="Arial" w:cs="Arial"/>
          <w:sz w:val="22"/>
          <w:szCs w:val="22"/>
        </w:rPr>
        <w:t>1</w:t>
      </w:r>
      <w:r w:rsidR="00107999">
        <w:rPr>
          <w:rFonts w:ascii="Arial" w:hAnsi="Arial" w:cs="Arial"/>
          <w:sz w:val="22"/>
          <w:szCs w:val="22"/>
        </w:rPr>
        <w:t>)</w:t>
      </w:r>
      <w:r w:rsidR="0079270E">
        <w:rPr>
          <w:rFonts w:ascii="Arial" w:hAnsi="Arial" w:cs="Arial"/>
          <w:sz w:val="22"/>
          <w:szCs w:val="22"/>
        </w:rPr>
        <w:t xml:space="preserve">. </w:t>
      </w:r>
      <w:r w:rsidR="00107999">
        <w:rPr>
          <w:rFonts w:ascii="Arial" w:hAnsi="Arial"/>
          <w:sz w:val="22"/>
          <w:szCs w:val="22"/>
        </w:rPr>
        <w:t>Categorical variables were also compared graphically via Fisher exact tests with non-discriminatory variables being removed.</w:t>
      </w:r>
      <w:r w:rsidR="0079270E">
        <w:rPr>
          <w:rFonts w:ascii="Arial" w:hAnsi="Arial"/>
          <w:sz w:val="22"/>
          <w:szCs w:val="22"/>
        </w:rPr>
        <w:t xml:space="preserve"> </w:t>
      </w:r>
      <w:r w:rsidR="0079270E">
        <w:rPr>
          <w:rFonts w:ascii="Arial" w:hAnsi="Arial" w:cs="Arial"/>
          <w:sz w:val="22"/>
          <w:szCs w:val="22"/>
        </w:rPr>
        <w:t xml:space="preserve">Based off of several prior studies, we hypothesized that a 2-class model would offer the best fit. </w:t>
      </w:r>
      <w:r w:rsidR="0079270E" w:rsidRPr="00776B08">
        <w:rPr>
          <w:rFonts w:ascii="Arial" w:hAnsi="Arial" w:cs="Arial"/>
          <w:sz w:val="22"/>
          <w:szCs w:val="22"/>
        </w:rPr>
        <w:t xml:space="preserve">Optimal fit was determined using 1) the Bayesian </w:t>
      </w:r>
      <w:r w:rsidR="0079270E" w:rsidRPr="00776B08">
        <w:rPr>
          <w:rFonts w:ascii="Arial" w:hAnsi="Arial" w:cs="Arial"/>
          <w:sz w:val="22"/>
          <w:szCs w:val="22"/>
        </w:rPr>
        <w:lastRenderedPageBreak/>
        <w:t>Information Criterion (BIC)</w:t>
      </w:r>
      <w:r w:rsidR="0079270E">
        <w:rPr>
          <w:rFonts w:ascii="Arial" w:hAnsi="Arial" w:cs="Arial"/>
          <w:sz w:val="22"/>
          <w:szCs w:val="22"/>
        </w:rPr>
        <w:t xml:space="preserve"> (</w:t>
      </w:r>
      <w:r w:rsidR="0079270E" w:rsidRPr="00776B08">
        <w:rPr>
          <w:rFonts w:ascii="Arial" w:hAnsi="Arial" w:cs="Arial"/>
          <w:sz w:val="22"/>
          <w:szCs w:val="22"/>
        </w:rPr>
        <w:t>decreasing value in BIC indicating improved model fit</w:t>
      </w:r>
      <w:r w:rsidR="0079270E">
        <w:rPr>
          <w:rFonts w:ascii="Arial" w:hAnsi="Arial" w:cs="Arial"/>
          <w:sz w:val="22"/>
          <w:szCs w:val="22"/>
        </w:rPr>
        <w:t>)</w:t>
      </w:r>
      <w:r w:rsidR="0079270E" w:rsidRPr="00776B08">
        <w:rPr>
          <w:rFonts w:ascii="Arial" w:hAnsi="Arial" w:cs="Arial"/>
          <w:sz w:val="22"/>
          <w:szCs w:val="22"/>
        </w:rPr>
        <w:t xml:space="preserve">, 2) entropy to measure class separation (higher </w:t>
      </w:r>
      <w:r w:rsidR="0079270E">
        <w:rPr>
          <w:rFonts w:ascii="Arial" w:hAnsi="Arial" w:cs="Arial"/>
          <w:sz w:val="22"/>
          <w:szCs w:val="22"/>
        </w:rPr>
        <w:t xml:space="preserve">entropy </w:t>
      </w:r>
      <w:proofErr w:type="spellStart"/>
      <w:r w:rsidR="0079270E">
        <w:rPr>
          <w:rFonts w:ascii="Arial" w:hAnsi="Arial" w:cs="Arial"/>
          <w:sz w:val="22"/>
          <w:szCs w:val="22"/>
        </w:rPr>
        <w:t>values</w:t>
      </w:r>
      <w:proofErr w:type="spellEnd"/>
      <w:r w:rsidR="0079270E">
        <w:rPr>
          <w:rFonts w:ascii="Arial" w:hAnsi="Arial" w:cs="Arial"/>
          <w:sz w:val="22"/>
          <w:szCs w:val="22"/>
        </w:rPr>
        <w:t xml:space="preserve"> </w:t>
      </w:r>
      <w:proofErr w:type="spellStart"/>
      <w:r w:rsidR="0079270E">
        <w:rPr>
          <w:rFonts w:ascii="Arial" w:hAnsi="Arial" w:cs="Arial"/>
          <w:sz w:val="22"/>
          <w:szCs w:val="22"/>
        </w:rPr>
        <w:t>meaning</w:t>
      </w:r>
      <w:proofErr w:type="spellEnd"/>
      <w:r w:rsidR="0079270E">
        <w:rPr>
          <w:rFonts w:ascii="Arial" w:hAnsi="Arial" w:cs="Arial"/>
          <w:sz w:val="22"/>
          <w:szCs w:val="22"/>
        </w:rPr>
        <w:t xml:space="preserve"> </w:t>
      </w:r>
      <w:proofErr w:type="spellStart"/>
      <w:r w:rsidR="0079270E">
        <w:rPr>
          <w:rFonts w:ascii="Arial" w:hAnsi="Arial" w:cs="Arial"/>
          <w:sz w:val="22"/>
          <w:szCs w:val="22"/>
        </w:rPr>
        <w:t>better</w:t>
      </w:r>
      <w:proofErr w:type="spellEnd"/>
      <w:r w:rsidR="0079270E" w:rsidRPr="00776B08">
        <w:rPr>
          <w:rFonts w:ascii="Arial" w:hAnsi="Arial" w:cs="Arial"/>
          <w:sz w:val="22"/>
          <w:szCs w:val="22"/>
        </w:rPr>
        <w:t xml:space="preserve"> </w:t>
      </w:r>
      <w:proofErr w:type="spellStart"/>
      <w:r w:rsidR="0079270E" w:rsidRPr="00776B08">
        <w:rPr>
          <w:rFonts w:ascii="Arial" w:hAnsi="Arial" w:cs="Arial"/>
          <w:sz w:val="22"/>
          <w:szCs w:val="22"/>
        </w:rPr>
        <w:t>class</w:t>
      </w:r>
      <w:proofErr w:type="spellEnd"/>
      <w:r w:rsidR="0079270E" w:rsidRPr="00776B08">
        <w:rPr>
          <w:rFonts w:ascii="Arial" w:hAnsi="Arial" w:cs="Arial"/>
          <w:sz w:val="22"/>
          <w:szCs w:val="22"/>
        </w:rPr>
        <w:t xml:space="preserve"> </w:t>
      </w:r>
      <w:proofErr w:type="spellStart"/>
      <w:r w:rsidR="0079270E" w:rsidRPr="00776B08">
        <w:rPr>
          <w:rFonts w:ascii="Arial" w:hAnsi="Arial" w:cs="Arial"/>
          <w:sz w:val="22"/>
          <w:szCs w:val="22"/>
        </w:rPr>
        <w:t>separation</w:t>
      </w:r>
      <w:proofErr w:type="spellEnd"/>
      <w:r w:rsidR="0079270E" w:rsidRPr="00776B08">
        <w:rPr>
          <w:rFonts w:ascii="Arial" w:hAnsi="Arial" w:cs="Arial"/>
          <w:sz w:val="22"/>
          <w:szCs w:val="22"/>
        </w:rPr>
        <w:t xml:space="preserve">), 3) </w:t>
      </w:r>
      <w:proofErr w:type="spellStart"/>
      <w:r w:rsidR="000331A1">
        <w:rPr>
          <w:rFonts w:ascii="Arial" w:hAnsi="Arial" w:cs="Arial"/>
          <w:sz w:val="22"/>
          <w:szCs w:val="22"/>
        </w:rPr>
        <w:t>b</w:t>
      </w:r>
      <w:r w:rsidR="009F1946" w:rsidRPr="009F1946">
        <w:rPr>
          <w:rFonts w:ascii="Arial" w:hAnsi="Arial" w:cs="Arial"/>
          <w:sz w:val="22"/>
          <w:szCs w:val="22"/>
        </w:rPr>
        <w:t>ootstrapped</w:t>
      </w:r>
      <w:proofErr w:type="spellEnd"/>
      <w:r w:rsidR="009F1946" w:rsidRPr="009F1946">
        <w:rPr>
          <w:rFonts w:ascii="Arial" w:hAnsi="Arial" w:cs="Arial"/>
          <w:sz w:val="22"/>
          <w:szCs w:val="22"/>
        </w:rPr>
        <w:t xml:space="preserve"> </w:t>
      </w:r>
      <w:proofErr w:type="spellStart"/>
      <w:r w:rsidR="009F1946" w:rsidRPr="009F1946">
        <w:rPr>
          <w:rFonts w:ascii="Arial" w:hAnsi="Arial" w:cs="Arial"/>
          <w:sz w:val="22"/>
          <w:szCs w:val="22"/>
        </w:rPr>
        <w:t>parametric</w:t>
      </w:r>
      <w:proofErr w:type="spellEnd"/>
      <w:r w:rsidR="009F1946" w:rsidRPr="009F1946">
        <w:rPr>
          <w:rFonts w:ascii="Arial" w:hAnsi="Arial" w:cs="Arial"/>
          <w:sz w:val="22"/>
          <w:szCs w:val="22"/>
        </w:rPr>
        <w:t xml:space="preserve"> </w:t>
      </w:r>
      <w:proofErr w:type="spellStart"/>
      <w:r w:rsidR="009F1946" w:rsidRPr="009F1946">
        <w:rPr>
          <w:rFonts w:ascii="Arial" w:hAnsi="Arial" w:cs="Arial"/>
          <w:sz w:val="22"/>
          <w:szCs w:val="22"/>
        </w:rPr>
        <w:t>likelihood</w:t>
      </w:r>
      <w:proofErr w:type="spellEnd"/>
      <w:r w:rsidR="009F1946" w:rsidRPr="009F1946">
        <w:rPr>
          <w:rFonts w:ascii="Arial" w:hAnsi="Arial" w:cs="Arial"/>
          <w:sz w:val="22"/>
          <w:szCs w:val="22"/>
        </w:rPr>
        <w:t xml:space="preserve"> ratio test </w:t>
      </w:r>
      <w:r w:rsidR="0079270E">
        <w:rPr>
          <w:rFonts w:ascii="Arial" w:hAnsi="Arial" w:cs="Arial"/>
          <w:sz w:val="22"/>
          <w:szCs w:val="22"/>
        </w:rPr>
        <w:t xml:space="preserve">with a </w:t>
      </w:r>
      <w:proofErr w:type="spellStart"/>
      <w:r w:rsidR="0079270E">
        <w:rPr>
          <w:rFonts w:ascii="Arial" w:hAnsi="Arial" w:cs="Arial"/>
          <w:sz w:val="22"/>
          <w:szCs w:val="22"/>
        </w:rPr>
        <w:t>level</w:t>
      </w:r>
      <w:proofErr w:type="spellEnd"/>
      <w:r w:rsidR="0079270E">
        <w:rPr>
          <w:rFonts w:ascii="Arial" w:hAnsi="Arial" w:cs="Arial"/>
          <w:sz w:val="22"/>
          <w:szCs w:val="22"/>
        </w:rPr>
        <w:t xml:space="preserve"> of significance at p&lt;0.05. The continuous variables were graphically examined by plotting their standardized values to a common z-scale (mean of 0, standard deviation of 1).</w:t>
      </w:r>
      <w:r w:rsidR="00006955">
        <w:rPr>
          <w:rFonts w:ascii="Arial" w:hAnsi="Arial" w:cs="Arial"/>
          <w:sz w:val="22"/>
          <w:szCs w:val="22"/>
        </w:rPr>
        <w:t xml:space="preserve"> The continuous variables with higher discriminatory value can be viewed graphically in Figure 1 at the extremes of distribution. </w:t>
      </w:r>
      <w:r w:rsidR="0079270E">
        <w:rPr>
          <w:rFonts w:ascii="Arial" w:hAnsi="Arial" w:cs="Arial"/>
          <w:sz w:val="22"/>
          <w:szCs w:val="22"/>
        </w:rPr>
        <w:t xml:space="preserve"> </w:t>
      </w:r>
      <w:r w:rsidR="0029711E">
        <w:rPr>
          <w:rFonts w:ascii="Arial" w:hAnsi="Arial" w:cs="Arial"/>
          <w:sz w:val="22"/>
          <w:szCs w:val="22"/>
        </w:rPr>
        <w:t xml:space="preserve">LCA was performed both with the full set of variables and after removal of non-discriminatory variables to ensure no significant difference in models. </w:t>
      </w:r>
      <w:proofErr w:type="spellStart"/>
      <w:r w:rsidR="009F1946">
        <w:rPr>
          <w:rFonts w:ascii="Arial" w:hAnsi="Arial" w:cs="Arial"/>
          <w:sz w:val="22"/>
          <w:szCs w:val="22"/>
        </w:rPr>
        <w:t>Removing</w:t>
      </w:r>
      <w:proofErr w:type="spellEnd"/>
      <w:r w:rsidR="009F1946">
        <w:rPr>
          <w:rFonts w:ascii="Arial" w:hAnsi="Arial" w:cs="Arial"/>
          <w:sz w:val="22"/>
          <w:szCs w:val="22"/>
        </w:rPr>
        <w:t xml:space="preserve"> the non-</w:t>
      </w:r>
      <w:proofErr w:type="spellStart"/>
      <w:r w:rsidR="009F1946">
        <w:rPr>
          <w:rFonts w:ascii="Arial" w:hAnsi="Arial" w:cs="Arial"/>
          <w:sz w:val="22"/>
          <w:szCs w:val="22"/>
        </w:rPr>
        <w:t>disciminatory</w:t>
      </w:r>
      <w:proofErr w:type="spellEnd"/>
      <w:r w:rsidR="009F1946">
        <w:rPr>
          <w:rFonts w:ascii="Arial" w:hAnsi="Arial" w:cs="Arial"/>
          <w:sz w:val="22"/>
          <w:szCs w:val="22"/>
        </w:rPr>
        <w:t xml:space="preserve"> </w:t>
      </w:r>
      <w:proofErr w:type="spellStart"/>
      <w:r w:rsidR="009F1946">
        <w:rPr>
          <w:rFonts w:ascii="Arial" w:hAnsi="Arial" w:cs="Arial"/>
          <w:sz w:val="22"/>
          <w:szCs w:val="22"/>
        </w:rPr>
        <w:t>variables</w:t>
      </w:r>
      <w:proofErr w:type="spellEnd"/>
      <w:r w:rsidR="009F1946">
        <w:rPr>
          <w:rFonts w:ascii="Arial" w:hAnsi="Arial" w:cs="Arial"/>
          <w:sz w:val="22"/>
          <w:szCs w:val="22"/>
        </w:rPr>
        <w:t xml:space="preserve"> </w:t>
      </w:r>
      <w:proofErr w:type="spellStart"/>
      <w:r w:rsidR="009F1946">
        <w:rPr>
          <w:rFonts w:ascii="Arial" w:hAnsi="Arial" w:cs="Arial"/>
          <w:sz w:val="22"/>
          <w:szCs w:val="22"/>
        </w:rPr>
        <w:t>did</w:t>
      </w:r>
      <w:proofErr w:type="spellEnd"/>
      <w:r w:rsidR="009F1946">
        <w:rPr>
          <w:rFonts w:ascii="Arial" w:hAnsi="Arial" w:cs="Arial"/>
          <w:sz w:val="22"/>
          <w:szCs w:val="22"/>
        </w:rPr>
        <w:t xml:space="preserve"> </w:t>
      </w:r>
      <w:proofErr w:type="spellStart"/>
      <w:r w:rsidR="009F1946">
        <w:rPr>
          <w:rFonts w:ascii="Arial" w:hAnsi="Arial" w:cs="Arial"/>
          <w:sz w:val="22"/>
          <w:szCs w:val="22"/>
        </w:rPr>
        <w:t>n</w:t>
      </w:r>
      <w:r w:rsidR="000331A1">
        <w:rPr>
          <w:rFonts w:ascii="Arial" w:hAnsi="Arial" w:cs="Arial"/>
          <w:sz w:val="22"/>
          <w:szCs w:val="22"/>
        </w:rPr>
        <w:t>ot</w:t>
      </w:r>
      <w:proofErr w:type="spellEnd"/>
      <w:r w:rsidR="009F1946">
        <w:rPr>
          <w:rFonts w:ascii="Arial" w:hAnsi="Arial" w:cs="Arial"/>
          <w:sz w:val="22"/>
          <w:szCs w:val="22"/>
        </w:rPr>
        <w:t xml:space="preserve"> </w:t>
      </w:r>
      <w:proofErr w:type="spellStart"/>
      <w:r w:rsidR="009F1946">
        <w:rPr>
          <w:rFonts w:ascii="Arial" w:hAnsi="Arial" w:cs="Arial"/>
          <w:sz w:val="22"/>
          <w:szCs w:val="22"/>
        </w:rPr>
        <w:t>change</w:t>
      </w:r>
      <w:proofErr w:type="spellEnd"/>
      <w:r w:rsidR="009F1946">
        <w:rPr>
          <w:rFonts w:ascii="Arial" w:hAnsi="Arial" w:cs="Arial"/>
          <w:sz w:val="22"/>
          <w:szCs w:val="22"/>
        </w:rPr>
        <w:t xml:space="preserve"> the </w:t>
      </w:r>
      <w:proofErr w:type="spellStart"/>
      <w:r w:rsidR="009F1946">
        <w:rPr>
          <w:rFonts w:ascii="Arial" w:hAnsi="Arial" w:cs="Arial"/>
          <w:sz w:val="22"/>
          <w:szCs w:val="22"/>
        </w:rPr>
        <w:t>class</w:t>
      </w:r>
      <w:proofErr w:type="spellEnd"/>
      <w:r w:rsidR="009F1946">
        <w:rPr>
          <w:rFonts w:ascii="Arial" w:hAnsi="Arial" w:cs="Arial"/>
          <w:sz w:val="22"/>
          <w:szCs w:val="22"/>
        </w:rPr>
        <w:t xml:space="preserve"> </w:t>
      </w:r>
      <w:proofErr w:type="spellStart"/>
      <w:r w:rsidR="009F1946">
        <w:rPr>
          <w:rFonts w:ascii="Arial" w:hAnsi="Arial" w:cs="Arial"/>
          <w:sz w:val="22"/>
          <w:szCs w:val="22"/>
        </w:rPr>
        <w:t>assignment</w:t>
      </w:r>
      <w:proofErr w:type="spellEnd"/>
      <w:r w:rsidR="009F1946">
        <w:rPr>
          <w:rFonts w:ascii="Arial" w:hAnsi="Arial" w:cs="Arial"/>
          <w:sz w:val="22"/>
          <w:szCs w:val="22"/>
        </w:rPr>
        <w:t xml:space="preserve"> in final LCA. </w:t>
      </w:r>
      <w:r w:rsidR="0079270E" w:rsidRPr="00776B08">
        <w:rPr>
          <w:rFonts w:ascii="Arial" w:hAnsi="Arial" w:cs="Arial"/>
          <w:sz w:val="22"/>
          <w:szCs w:val="22"/>
        </w:rPr>
        <w:t xml:space="preserve">LCA analyses were performed in </w:t>
      </w:r>
      <w:r w:rsidR="00826DE3">
        <w:rPr>
          <w:rFonts w:ascii="Arial" w:hAnsi="Arial" w:cs="Arial"/>
          <w:sz w:val="22"/>
          <w:szCs w:val="22"/>
        </w:rPr>
        <w:t xml:space="preserve">MPlus 8.3 </w:t>
      </w:r>
      <w:r w:rsidR="00826DE3">
        <w:rPr>
          <w:rFonts w:ascii="Arial" w:hAnsi="Arial" w:cs="Arial"/>
          <w:sz w:val="22"/>
          <w:szCs w:val="22"/>
        </w:rPr>
        <w:fldChar w:fldCharType="begin"/>
      </w:r>
      <w:r w:rsidR="009126ED">
        <w:rPr>
          <w:rFonts w:ascii="Arial" w:hAnsi="Arial" w:cs="Arial"/>
          <w:sz w:val="22"/>
          <w:szCs w:val="22"/>
        </w:rPr>
        <w:instrText xml:space="preserve"> ADDIN EN.CITE &lt;EndNote&gt;&lt;Cite&gt;&lt;Author&gt;Muthén&lt;/Author&gt;&lt;Year&gt;1997-2017&lt;/Year&gt;&lt;IDText&gt;Mplus User’s Guide. &lt;/IDText&gt;&lt;DisplayText&gt;(2)&lt;/DisplayText&gt;&lt;record&gt;&lt;titles&gt;&lt;title&gt;Mplus User’s Guide. &lt;/title&gt;&lt;/titles&gt;&lt;contributors&gt;&lt;authors&gt;&lt;author&gt;Muthén, L.K.&lt;/author&gt;&lt;author&gt;Muthén, B.O.&lt;/author&gt;&lt;/authors&gt;&lt;/contributors&gt;&lt;added-date format="utc"&gt;1596305221&lt;/added-date&gt;&lt;pub-location&gt;Los Angeles, CA&lt;/pub-location&gt;&lt;ref-type name="Computer Program"&gt;9&lt;/ref-type&gt;&lt;dates&gt;&lt;year&gt;1997-2017&lt;/year&gt;&lt;/dates&gt;&lt;rec-number&gt;51&lt;/rec-number&gt;&lt;publisher&gt;Muthén &amp;amp; Muthén&lt;/publisher&gt;&lt;last-updated-date format="utc"&gt;1596305478&lt;/last-updated-date&gt;&lt;volume&gt;8&lt;/volume&gt;&lt;/record&gt;&lt;/Cite&gt;&lt;/EndNote&gt;</w:instrText>
      </w:r>
      <w:r w:rsidR="00826DE3">
        <w:rPr>
          <w:rFonts w:ascii="Arial" w:hAnsi="Arial" w:cs="Arial"/>
          <w:sz w:val="22"/>
          <w:szCs w:val="22"/>
        </w:rPr>
        <w:fldChar w:fldCharType="separate"/>
      </w:r>
      <w:r w:rsidR="009126ED">
        <w:rPr>
          <w:rFonts w:ascii="Arial" w:hAnsi="Arial" w:cs="Arial"/>
          <w:noProof/>
          <w:sz w:val="22"/>
          <w:szCs w:val="22"/>
        </w:rPr>
        <w:t>(2)</w:t>
      </w:r>
      <w:r w:rsidR="00826DE3">
        <w:rPr>
          <w:rFonts w:ascii="Arial" w:hAnsi="Arial" w:cs="Arial"/>
          <w:sz w:val="22"/>
          <w:szCs w:val="22"/>
        </w:rPr>
        <w:fldChar w:fldCharType="end"/>
      </w:r>
      <w:r w:rsidR="0079270E">
        <w:rPr>
          <w:rFonts w:ascii="Arial" w:hAnsi="Arial" w:cs="Arial"/>
          <w:sz w:val="22"/>
          <w:szCs w:val="22"/>
        </w:rPr>
        <w:t xml:space="preserve">. </w:t>
      </w:r>
      <w:r w:rsidR="009126ED">
        <w:rPr>
          <w:rFonts w:ascii="Arial" w:hAnsi="Arial" w:cs="Arial"/>
          <w:sz w:val="22"/>
          <w:szCs w:val="22"/>
        </w:rPr>
        <w:t xml:space="preserve">We then developed a parsimonious logistic regression model based on a best subsets generalized linear model </w:t>
      </w:r>
      <w:r w:rsidR="009126ED" w:rsidRPr="0085015E">
        <w:rPr>
          <w:rFonts w:ascii="Arial" w:hAnsi="Arial" w:cs="Arial"/>
          <w:color w:val="000000" w:themeColor="text1"/>
          <w:sz w:val="22"/>
          <w:szCs w:val="22"/>
        </w:rPr>
        <w:t>approach</w:t>
      </w:r>
      <w:r w:rsidR="009126ED">
        <w:rPr>
          <w:rFonts w:ascii="Arial" w:hAnsi="Arial" w:cs="Arial"/>
          <w:color w:val="000000" w:themeColor="text1"/>
          <w:sz w:val="22"/>
          <w:szCs w:val="22"/>
        </w:rPr>
        <w:t xml:space="preserve"> using Bayesian Information Criteria </w:t>
      </w:r>
      <w:r w:rsidR="009126ED">
        <w:rPr>
          <w:rFonts w:ascii="Arial" w:hAnsi="Arial" w:cs="Arial"/>
          <w:color w:val="000000" w:themeColor="text1"/>
          <w:sz w:val="22"/>
          <w:szCs w:val="22"/>
        </w:rPr>
        <w:fldChar w:fldCharType="begin"/>
      </w:r>
      <w:r w:rsidR="009126ED">
        <w:rPr>
          <w:rFonts w:ascii="Arial" w:hAnsi="Arial" w:cs="Arial"/>
          <w:color w:val="000000" w:themeColor="text1"/>
          <w:sz w:val="22"/>
          <w:szCs w:val="22"/>
        </w:rPr>
        <w:instrText xml:space="preserve"> ADDIN EN.CITE &lt;EndNote&gt;&lt;Cite&gt;&lt;Author&gt;Jovanovic&lt;/Author&gt;&lt;Year&gt;1995&lt;/Year&gt;&lt;IDText&gt;Equivalence of several methods for efficient best subsets selection in generalized linear models&lt;/IDText&gt;&lt;DisplayText&gt;(3)&lt;/DisplayText&gt;&lt;record&gt;&lt;titles&gt;&lt;title&gt;Equivalence of several methods for efficient best subsets selection in generalized linear models&lt;/title&gt;&lt;/titles&gt;&lt;pages&gt;59-64&lt;/pages&gt;&lt;contributors&gt;&lt;authors&gt;&lt;author&gt;Jovanovic, Borko D.&lt;/author&gt;&lt;author&gt;Hosmer, David W.&lt;/author&gt;&lt;author&gt;Buonaccorsi, John P.&lt;/author&gt;&lt;/authors&gt;&lt;/contributors&gt;&lt;edition&gt;1&lt;/edition&gt;&lt;added-date format="utc"&gt;1594921506&lt;/added-date&gt;&lt;pub-location&gt;Computational Statistics &amp;amp; Data Analysis&lt;/pub-location&gt;&lt;ref-type name="Generic"&gt;13&lt;/ref-type&gt;&lt;dates&gt;&lt;year&gt;1995&lt;/year&gt;&lt;/dates&gt;&lt;rec-number&gt;50&lt;/rec-number&gt;&lt;last-updated-date format="utc"&gt;1594921569&lt;/last-updated-date&gt;&lt;volume&gt;20&lt;/volume&gt;&lt;/record&gt;&lt;/Cite&gt;&lt;/EndNote&gt;</w:instrText>
      </w:r>
      <w:r w:rsidR="009126ED">
        <w:rPr>
          <w:rFonts w:ascii="Arial" w:hAnsi="Arial" w:cs="Arial"/>
          <w:color w:val="000000" w:themeColor="text1"/>
          <w:sz w:val="22"/>
          <w:szCs w:val="22"/>
        </w:rPr>
        <w:fldChar w:fldCharType="separate"/>
      </w:r>
      <w:r w:rsidR="009126ED">
        <w:rPr>
          <w:rFonts w:ascii="Arial" w:hAnsi="Arial" w:cs="Arial"/>
          <w:noProof/>
          <w:color w:val="000000" w:themeColor="text1"/>
          <w:sz w:val="22"/>
          <w:szCs w:val="22"/>
        </w:rPr>
        <w:t>(3)</w:t>
      </w:r>
      <w:r w:rsidR="009126ED">
        <w:rPr>
          <w:rFonts w:ascii="Arial" w:hAnsi="Arial" w:cs="Arial"/>
          <w:color w:val="000000" w:themeColor="text1"/>
          <w:sz w:val="22"/>
          <w:szCs w:val="22"/>
        </w:rPr>
        <w:fldChar w:fldCharType="end"/>
      </w:r>
      <w:r w:rsidR="009126ED">
        <w:rPr>
          <w:rFonts w:ascii="Arial" w:hAnsi="Arial" w:cs="Arial"/>
          <w:color w:val="000000" w:themeColor="text1"/>
          <w:sz w:val="22"/>
          <w:szCs w:val="22"/>
        </w:rPr>
        <w:t xml:space="preserve">. </w:t>
      </w:r>
    </w:p>
    <w:p w14:paraId="45364B02" w14:textId="428D7E03" w:rsidR="00FC349F" w:rsidRDefault="00FC349F" w:rsidP="00CD5D1F">
      <w:pPr>
        <w:spacing w:line="480" w:lineRule="auto"/>
        <w:rPr>
          <w:rFonts w:ascii="Arial" w:eastAsia="Times New Roman" w:hAnsi="Arial" w:cs="Arial"/>
          <w:bCs/>
          <w:color w:val="000000"/>
          <w:sz w:val="22"/>
          <w:szCs w:val="22"/>
        </w:rPr>
      </w:pPr>
    </w:p>
    <w:p w14:paraId="0DBED277" w14:textId="3C788513" w:rsidR="00D034D0" w:rsidRPr="004B2031" w:rsidRDefault="00D034D0" w:rsidP="00CD5D1F">
      <w:pPr>
        <w:spacing w:line="480" w:lineRule="auto"/>
        <w:rPr>
          <w:rFonts w:ascii="Arial" w:eastAsia="Times New Roman" w:hAnsi="Arial" w:cs="Arial"/>
          <w:b/>
          <w:color w:val="000000"/>
          <w:sz w:val="22"/>
          <w:szCs w:val="22"/>
        </w:rPr>
      </w:pPr>
      <w:r w:rsidRPr="004B2031">
        <w:rPr>
          <w:rFonts w:ascii="Arial" w:eastAsia="Times New Roman" w:hAnsi="Arial" w:cs="Arial"/>
          <w:b/>
          <w:color w:val="000000"/>
          <w:sz w:val="22"/>
          <w:szCs w:val="22"/>
        </w:rPr>
        <w:t xml:space="preserve">Clinical Outcomes: </w:t>
      </w:r>
    </w:p>
    <w:p w14:paraId="76960456" w14:textId="34DDF662" w:rsidR="00D034D0" w:rsidRDefault="00D034D0" w:rsidP="00CD5D1F">
      <w:pPr>
        <w:spacing w:line="480" w:lineRule="auto"/>
        <w:rPr>
          <w:rFonts w:ascii="Arial" w:hAnsi="Arial" w:cs="Arial"/>
          <w:sz w:val="22"/>
          <w:szCs w:val="22"/>
        </w:rPr>
      </w:pPr>
      <w:r>
        <w:rPr>
          <w:rFonts w:ascii="Arial" w:eastAsia="Times New Roman" w:hAnsi="Arial" w:cs="Arial"/>
          <w:bCs/>
          <w:color w:val="000000"/>
          <w:sz w:val="22"/>
          <w:szCs w:val="22"/>
        </w:rPr>
        <w:tab/>
        <w:t xml:space="preserve">Patients were followed prospectively for several clinical outcomes. These included 1) shock within the first week of enrollment (defined as need for vasopressors), 2) acute kidney injury (AKI, defined as absolute increase in serum creatinine concentration </w:t>
      </w:r>
      <w:r w:rsidRPr="0032360E">
        <w:rPr>
          <w:rFonts w:ascii="Arial" w:hAnsi="Arial" w:cs="Arial"/>
          <w:sz w:val="22"/>
          <w:szCs w:val="22"/>
        </w:rPr>
        <w:t>≥0.3 mg/dL from baseline</w:t>
      </w:r>
      <w:r>
        <w:rPr>
          <w:rFonts w:ascii="Arial" w:hAnsi="Arial" w:cs="Arial"/>
          <w:sz w:val="22"/>
          <w:szCs w:val="22"/>
        </w:rPr>
        <w:t xml:space="preserve"> or a percentage increase in serum creatinine concentration of more than 50% within a 48 hour period; or oliguria of </w:t>
      </w:r>
      <w:r w:rsidRPr="0032360E">
        <w:rPr>
          <w:rFonts w:ascii="Arial" w:hAnsi="Arial" w:cs="Arial"/>
          <w:sz w:val="22"/>
          <w:szCs w:val="22"/>
        </w:rPr>
        <w:t>&lt;0.5 mL/kg per hour for more than six hours)</w:t>
      </w:r>
      <w:r>
        <w:rPr>
          <w:rFonts w:ascii="Arial" w:hAnsi="Arial" w:cs="Arial"/>
          <w:sz w:val="22"/>
          <w:szCs w:val="22"/>
        </w:rPr>
        <w:t>, ICU length of stay, ventilator-free days (VFD)</w:t>
      </w:r>
      <w:r w:rsidR="00532A2C">
        <w:rPr>
          <w:rFonts w:ascii="Arial" w:hAnsi="Arial" w:cs="Arial"/>
          <w:sz w:val="22"/>
          <w:szCs w:val="22"/>
        </w:rPr>
        <w:t xml:space="preserve"> to 30 days</w:t>
      </w:r>
      <w:r w:rsidR="004B2031">
        <w:rPr>
          <w:rFonts w:ascii="Arial" w:hAnsi="Arial" w:cs="Arial"/>
          <w:sz w:val="22"/>
          <w:szCs w:val="22"/>
        </w:rPr>
        <w:t xml:space="preserve">, </w:t>
      </w:r>
      <w:r w:rsidR="00532A2C">
        <w:rPr>
          <w:rFonts w:ascii="Arial" w:hAnsi="Arial" w:cs="Arial"/>
          <w:sz w:val="22"/>
          <w:szCs w:val="22"/>
        </w:rPr>
        <w:t xml:space="preserve">time-to-liberation from mechanical ventilation, and 30- and 90-day mortality. </w:t>
      </w:r>
    </w:p>
    <w:p w14:paraId="30C2C4A5" w14:textId="3AFEB3C6" w:rsidR="00AF3A27" w:rsidRDefault="00AF3A27" w:rsidP="00CD5D1F">
      <w:pPr>
        <w:spacing w:line="480" w:lineRule="auto"/>
        <w:rPr>
          <w:rFonts w:ascii="Arial" w:hAnsi="Arial" w:cs="Arial"/>
          <w:sz w:val="22"/>
          <w:szCs w:val="22"/>
        </w:rPr>
      </w:pPr>
    </w:p>
    <w:p w14:paraId="584397DB" w14:textId="25AC9394" w:rsidR="00AF3A27" w:rsidRPr="004B2031" w:rsidRDefault="00AF3A27" w:rsidP="00CD5D1F">
      <w:pPr>
        <w:spacing w:line="480" w:lineRule="auto"/>
        <w:rPr>
          <w:rFonts w:ascii="Arial" w:hAnsi="Arial" w:cs="Arial"/>
          <w:b/>
          <w:bCs/>
          <w:sz w:val="22"/>
          <w:szCs w:val="22"/>
        </w:rPr>
      </w:pPr>
      <w:r w:rsidRPr="004B2031">
        <w:rPr>
          <w:rFonts w:ascii="Arial" w:hAnsi="Arial" w:cs="Arial"/>
          <w:b/>
          <w:bCs/>
          <w:sz w:val="22"/>
          <w:szCs w:val="22"/>
        </w:rPr>
        <w:t>Statistical analyses:</w:t>
      </w:r>
    </w:p>
    <w:p w14:paraId="3A963ECD" w14:textId="2C4CF366" w:rsidR="00532A2C" w:rsidRPr="00DD5565" w:rsidRDefault="00AF3A27" w:rsidP="00CD5D1F">
      <w:pPr>
        <w:spacing w:line="480" w:lineRule="auto"/>
        <w:rPr>
          <w:rFonts w:ascii="Arial" w:hAnsi="Arial"/>
          <w:b/>
          <w:bCs/>
          <w:sz w:val="22"/>
          <w:szCs w:val="22"/>
        </w:rPr>
      </w:pPr>
      <w:r>
        <w:rPr>
          <w:rFonts w:ascii="Arial" w:hAnsi="Arial" w:cs="Arial"/>
          <w:sz w:val="22"/>
          <w:szCs w:val="22"/>
        </w:rPr>
        <w:tab/>
        <w:t xml:space="preserve">All analyses were performed with </w:t>
      </w:r>
      <w:r w:rsidRPr="00EC6754">
        <w:rPr>
          <w:rFonts w:ascii="Arial" w:hAnsi="Arial"/>
          <w:sz w:val="22"/>
          <w:szCs w:val="22"/>
        </w:rPr>
        <w:t>R v.3.5.1</w:t>
      </w:r>
      <w:r>
        <w:rPr>
          <w:rFonts w:ascii="Arial" w:hAnsi="Arial"/>
          <w:sz w:val="22"/>
          <w:szCs w:val="22"/>
        </w:rPr>
        <w:t xml:space="preserve"> except for </w:t>
      </w:r>
      <w:r w:rsidR="00006955">
        <w:rPr>
          <w:rFonts w:ascii="Arial" w:hAnsi="Arial"/>
          <w:sz w:val="22"/>
          <w:szCs w:val="22"/>
        </w:rPr>
        <w:t xml:space="preserve">the </w:t>
      </w:r>
      <w:r>
        <w:rPr>
          <w:rFonts w:ascii="Arial" w:hAnsi="Arial"/>
          <w:sz w:val="22"/>
          <w:szCs w:val="22"/>
        </w:rPr>
        <w:t>LCA analysis</w:t>
      </w:r>
      <w:r w:rsidR="00826DE3">
        <w:rPr>
          <w:rFonts w:ascii="Arial" w:hAnsi="Arial"/>
          <w:sz w:val="22"/>
          <w:szCs w:val="22"/>
        </w:rPr>
        <w:t xml:space="preserve"> except for the LCA analysis which was performed in </w:t>
      </w:r>
      <w:proofErr w:type="spellStart"/>
      <w:r w:rsidR="00826DE3">
        <w:rPr>
          <w:rFonts w:ascii="Arial" w:hAnsi="Arial"/>
          <w:sz w:val="22"/>
          <w:szCs w:val="22"/>
        </w:rPr>
        <w:t>MPlus</w:t>
      </w:r>
      <w:proofErr w:type="spellEnd"/>
      <w:r w:rsidR="00826DE3">
        <w:rPr>
          <w:rFonts w:ascii="Arial" w:hAnsi="Arial"/>
          <w:sz w:val="22"/>
          <w:szCs w:val="22"/>
        </w:rPr>
        <w:t xml:space="preserve"> 8.3</w:t>
      </w:r>
      <w:r w:rsidR="005559D6">
        <w:rPr>
          <w:rFonts w:ascii="Arial" w:hAnsi="Arial"/>
          <w:sz w:val="22"/>
          <w:szCs w:val="22"/>
        </w:rPr>
        <w:t xml:space="preserve"> </w:t>
      </w:r>
      <w:r w:rsidR="005559D6">
        <w:rPr>
          <w:rFonts w:ascii="Arial" w:hAnsi="Arial"/>
          <w:sz w:val="22"/>
          <w:szCs w:val="22"/>
        </w:rPr>
        <w:fldChar w:fldCharType="begin"/>
      </w:r>
      <w:r w:rsidR="009126ED">
        <w:rPr>
          <w:rFonts w:ascii="Arial" w:hAnsi="Arial"/>
          <w:sz w:val="22"/>
          <w:szCs w:val="22"/>
        </w:rPr>
        <w:instrText xml:space="preserve"> ADDIN EN.CITE &lt;EndNote&gt;&lt;Cite&gt;&lt;IDText&gt;R Foundation for Statistical Computing RCT: R: A Language and Environment for Statistical Computing. Vienna, Austria: CRAN; 2016.&lt;/IDText&gt;&lt;DisplayText&gt;(2, 4)&lt;/DisplayText&gt;&lt;record&gt;&lt;titles&gt;&lt;title&gt;R Foundation for Statistical Computing RCT: R: A Language and Environment for Statistical Computing. Vienna, Austria: CRAN; 2016.&lt;/title&gt;&lt;/titles&gt;&lt;added-date format="utc"&gt;1593466269&lt;/added-date&gt;&lt;ref-type name="Generic"&gt;13&lt;/ref-type&gt;&lt;rec-number&gt;30&lt;/rec-number&gt;&lt;last-updated-date format="utc"&gt;1593466319&lt;/last-updated-date&gt;&lt;/record&gt;&lt;/Cite&gt;&lt;Cite&gt;&lt;Author&gt;Muthén&lt;/Author&gt;&lt;Year&gt;1997-2017&lt;/Year&gt;&lt;IDText&gt;Mplus User’s Guide. &lt;/IDText&gt;&lt;record&gt;&lt;titles&gt;&lt;title&gt;Mplus User’s Guide. &lt;/title&gt;&lt;/titles&gt;&lt;contributors&gt;&lt;authors&gt;&lt;author&gt;Muthén, L.K.&lt;/author&gt;&lt;author&gt;Muthén, B.O.&lt;/author&gt;&lt;/authors&gt;&lt;/contributors&gt;&lt;added-date format="utc"&gt;1596305221&lt;/added-date&gt;&lt;pub-location&gt;Los Angeles, CA&lt;/pub-location&gt;&lt;ref-type name="Computer Program"&gt;9&lt;/ref-type&gt;&lt;dates&gt;&lt;year&gt;1997-2017&lt;/year&gt;&lt;/dates&gt;&lt;rec-number&gt;51&lt;/rec-number&gt;&lt;publisher&gt;Muthén &amp;amp; Muthén&lt;/publisher&gt;&lt;last-updated-date format="utc"&gt;1596305478&lt;/last-updated-date&gt;&lt;volume&gt;8&lt;/volume&gt;&lt;/record&gt;&lt;/Cite&gt;&lt;/EndNote&gt;</w:instrText>
      </w:r>
      <w:r w:rsidR="005559D6">
        <w:rPr>
          <w:rFonts w:ascii="Arial" w:hAnsi="Arial"/>
          <w:sz w:val="22"/>
          <w:szCs w:val="22"/>
        </w:rPr>
        <w:fldChar w:fldCharType="separate"/>
      </w:r>
      <w:r w:rsidR="009126ED">
        <w:rPr>
          <w:rFonts w:ascii="Arial" w:hAnsi="Arial"/>
          <w:noProof/>
          <w:sz w:val="22"/>
          <w:szCs w:val="22"/>
        </w:rPr>
        <w:t>(2, 4)</w:t>
      </w:r>
      <w:r w:rsidR="005559D6">
        <w:rPr>
          <w:rFonts w:ascii="Arial" w:hAnsi="Arial"/>
          <w:sz w:val="22"/>
          <w:szCs w:val="22"/>
        </w:rPr>
        <w:fldChar w:fldCharType="end"/>
      </w:r>
      <w:r>
        <w:rPr>
          <w:rFonts w:ascii="Arial" w:hAnsi="Arial"/>
          <w:sz w:val="22"/>
          <w:szCs w:val="22"/>
        </w:rPr>
        <w:t xml:space="preserve">. </w:t>
      </w:r>
      <w:r w:rsidR="00D70C4E">
        <w:rPr>
          <w:rFonts w:ascii="Arial" w:hAnsi="Arial"/>
          <w:sz w:val="22"/>
          <w:szCs w:val="22"/>
        </w:rPr>
        <w:t xml:space="preserve">We calculated descriptive statistics for baseline variables. </w:t>
      </w:r>
      <w:r w:rsidR="00D70C4E">
        <w:rPr>
          <w:rFonts w:ascii="Arial" w:hAnsi="Arial" w:cs="Arial"/>
          <w:sz w:val="22"/>
          <w:szCs w:val="22"/>
        </w:rPr>
        <w:t>Subphenotype comparisons were made with Wilcoxon test for continuous variables and Fisher’s exact test for categorical variables</w:t>
      </w:r>
      <w:r w:rsidR="00201A26">
        <w:rPr>
          <w:rFonts w:ascii="Arial" w:hAnsi="Arial" w:cs="Arial"/>
          <w:sz w:val="22"/>
          <w:szCs w:val="22"/>
        </w:rPr>
        <w:t xml:space="preserve">. </w:t>
      </w:r>
      <w:r w:rsidR="005559D6">
        <w:rPr>
          <w:rFonts w:ascii="Arial" w:hAnsi="Arial" w:cs="Arial"/>
          <w:sz w:val="22"/>
          <w:szCs w:val="22"/>
        </w:rPr>
        <w:t xml:space="preserve">We examined the associations of </w:t>
      </w:r>
      <w:r w:rsidR="005559D6">
        <w:rPr>
          <w:rFonts w:ascii="Arial" w:hAnsi="Arial" w:cs="Arial"/>
          <w:sz w:val="22"/>
          <w:szCs w:val="22"/>
        </w:rPr>
        <w:lastRenderedPageBreak/>
        <w:t xml:space="preserve">subphenotypes with clinical outcomes. </w:t>
      </w:r>
      <w:r w:rsidR="00201A26" w:rsidRPr="005E4EB8">
        <w:rPr>
          <w:rFonts w:ascii="Arial" w:hAnsi="Arial"/>
          <w:sz w:val="22"/>
          <w:szCs w:val="22"/>
        </w:rPr>
        <w:t xml:space="preserve">For the </w:t>
      </w:r>
      <w:r w:rsidR="00201A26" w:rsidRPr="00EC6754">
        <w:rPr>
          <w:rFonts w:ascii="Arial" w:hAnsi="Arial"/>
          <w:sz w:val="22"/>
          <w:szCs w:val="22"/>
        </w:rPr>
        <w:t>longitudinal outcomes of survival</w:t>
      </w:r>
      <w:r w:rsidR="00201A26" w:rsidRPr="005E4EB8">
        <w:rPr>
          <w:rFonts w:ascii="Arial" w:hAnsi="Arial"/>
          <w:sz w:val="22"/>
          <w:szCs w:val="22"/>
        </w:rPr>
        <w:t xml:space="preserve"> and time-to-liberation from mechanical ventilation, we performed time-to-event analyses with Kaplan-Meier curves and </w:t>
      </w:r>
      <w:r w:rsidR="00201A26" w:rsidRPr="00EC6754">
        <w:rPr>
          <w:rFonts w:ascii="Arial" w:hAnsi="Arial"/>
          <w:sz w:val="22"/>
          <w:szCs w:val="22"/>
        </w:rPr>
        <w:t xml:space="preserve">comparisons with a log-rank test. </w:t>
      </w:r>
      <w:r w:rsidR="005559D6">
        <w:rPr>
          <w:rFonts w:ascii="Arial" w:hAnsi="Arial"/>
          <w:sz w:val="22"/>
          <w:szCs w:val="22"/>
        </w:rPr>
        <w:t xml:space="preserve">To assess for effects of subphenotype on each of these outcomes, we built Cox-proportional hazard models. All of these </w:t>
      </w:r>
      <w:r w:rsidR="000F3442">
        <w:rPr>
          <w:rFonts w:ascii="Arial" w:hAnsi="Arial"/>
          <w:sz w:val="22"/>
          <w:szCs w:val="22"/>
        </w:rPr>
        <w:t xml:space="preserve">models </w:t>
      </w:r>
      <w:r w:rsidR="00201A26">
        <w:rPr>
          <w:rFonts w:ascii="Arial" w:hAnsi="Arial"/>
          <w:sz w:val="22"/>
          <w:szCs w:val="22"/>
        </w:rPr>
        <w:t>were adjusted</w:t>
      </w:r>
      <w:r w:rsidR="005559D6">
        <w:rPr>
          <w:rFonts w:ascii="Arial" w:hAnsi="Arial"/>
          <w:sz w:val="22"/>
          <w:szCs w:val="22"/>
        </w:rPr>
        <w:t xml:space="preserve"> for</w:t>
      </w:r>
      <w:r w:rsidR="00201A26">
        <w:rPr>
          <w:rFonts w:ascii="Arial" w:hAnsi="Arial"/>
          <w:sz w:val="22"/>
          <w:szCs w:val="22"/>
        </w:rPr>
        <w:t xml:space="preserve"> </w:t>
      </w:r>
      <w:r w:rsidR="00201A26" w:rsidRPr="005E4EB8">
        <w:rPr>
          <w:rFonts w:ascii="Arial" w:hAnsi="Arial"/>
          <w:sz w:val="22"/>
          <w:szCs w:val="22"/>
        </w:rPr>
        <w:t>age</w:t>
      </w:r>
      <w:r w:rsidR="000F3442">
        <w:rPr>
          <w:rFonts w:ascii="Arial" w:hAnsi="Arial"/>
          <w:sz w:val="22"/>
          <w:szCs w:val="22"/>
        </w:rPr>
        <w:t>.</w:t>
      </w:r>
      <w:r w:rsidR="00201A26" w:rsidRPr="005E4EB8">
        <w:rPr>
          <w:rFonts w:ascii="Arial" w:hAnsi="Arial"/>
          <w:b/>
          <w:bCs/>
          <w:sz w:val="22"/>
          <w:szCs w:val="22"/>
        </w:rPr>
        <w:t xml:space="preserve"> </w:t>
      </w:r>
      <w:r w:rsidR="009F1946" w:rsidRPr="000331A1">
        <w:rPr>
          <w:rFonts w:ascii="Arial" w:hAnsi="Arial"/>
          <w:bCs/>
          <w:color w:val="000000" w:themeColor="text1"/>
          <w:sz w:val="22"/>
          <w:szCs w:val="22"/>
        </w:rPr>
        <w:t xml:space="preserve">No missing value was imputed, and we performed complete case analysis. </w:t>
      </w:r>
      <w:r w:rsidR="00B73850" w:rsidRPr="000331A1">
        <w:rPr>
          <w:rFonts w:ascii="Arial" w:hAnsi="Arial"/>
          <w:bCs/>
          <w:color w:val="000000" w:themeColor="text1"/>
          <w:sz w:val="22"/>
          <w:szCs w:val="22"/>
        </w:rPr>
        <w:t xml:space="preserve"> </w:t>
      </w:r>
    </w:p>
    <w:p w14:paraId="1D13C0BB" w14:textId="77777777" w:rsidR="00532A2C" w:rsidRDefault="00532A2C" w:rsidP="00CD5D1F">
      <w:pPr>
        <w:spacing w:line="480" w:lineRule="auto"/>
        <w:rPr>
          <w:rFonts w:ascii="Arial" w:eastAsia="Times New Roman" w:hAnsi="Arial" w:cs="Arial"/>
          <w:bCs/>
          <w:color w:val="000000"/>
          <w:sz w:val="22"/>
          <w:szCs w:val="22"/>
        </w:rPr>
      </w:pPr>
    </w:p>
    <w:p w14:paraId="7742723F" w14:textId="77777777" w:rsidR="0079270E" w:rsidRPr="00BE6F0F" w:rsidRDefault="0079270E" w:rsidP="00CD5D1F">
      <w:pPr>
        <w:spacing w:line="480" w:lineRule="auto"/>
        <w:rPr>
          <w:rFonts w:ascii="Arial" w:eastAsia="Times New Roman" w:hAnsi="Arial" w:cs="Arial"/>
          <w:bCs/>
          <w:color w:val="000000"/>
          <w:sz w:val="22"/>
          <w:szCs w:val="22"/>
        </w:rPr>
      </w:pPr>
    </w:p>
    <w:p w14:paraId="7BCD69F5" w14:textId="77777777" w:rsidR="00457CB1" w:rsidRDefault="00457CB1"/>
    <w:p w14:paraId="0D1B0606" w14:textId="1ADBCD96" w:rsidR="00DD5565" w:rsidRDefault="00DD5565">
      <w:r>
        <w:br w:type="page"/>
      </w:r>
    </w:p>
    <w:p w14:paraId="530E3A21" w14:textId="7FBD9D70" w:rsidR="00DD5565" w:rsidRDefault="00DD5565" w:rsidP="005559D6">
      <w:pPr>
        <w:pStyle w:val="EndNoteBibliography"/>
      </w:pPr>
      <w:r>
        <w:lastRenderedPageBreak/>
        <w:t>Bibliography</w:t>
      </w:r>
    </w:p>
    <w:p w14:paraId="4E5E50C0" w14:textId="77777777" w:rsidR="009126ED" w:rsidRPr="009126ED" w:rsidRDefault="00457CB1" w:rsidP="009126ED">
      <w:pPr>
        <w:pStyle w:val="EndNoteBibliography"/>
        <w:rPr>
          <w:noProof/>
        </w:rPr>
      </w:pPr>
      <w:r>
        <w:fldChar w:fldCharType="begin"/>
      </w:r>
      <w:r>
        <w:instrText xml:space="preserve"> ADDIN EN.REFLIST </w:instrText>
      </w:r>
      <w:r>
        <w:fldChar w:fldCharType="separate"/>
      </w:r>
      <w:r w:rsidR="009126ED" w:rsidRPr="009126ED">
        <w:rPr>
          <w:noProof/>
        </w:rPr>
        <w:t>1.</w:t>
      </w:r>
      <w:r w:rsidR="009126ED" w:rsidRPr="009126ED">
        <w:rPr>
          <w:noProof/>
        </w:rPr>
        <w:tab/>
        <w:t>Gajic O, Dabbagh O, Park PK, Adesanya A, Chang SY, Hou P, et al. Early identification of patients at risk of acute lung injury: evaluation of lung injury prediction score in a multicenter cohort study. Am J Respir Crit Care Med. 2011;183(4):462-70.</w:t>
      </w:r>
    </w:p>
    <w:p w14:paraId="63AB976C" w14:textId="77777777" w:rsidR="009126ED" w:rsidRPr="009126ED" w:rsidRDefault="009126ED" w:rsidP="009126ED">
      <w:pPr>
        <w:pStyle w:val="EndNoteBibliography"/>
        <w:rPr>
          <w:noProof/>
        </w:rPr>
      </w:pPr>
      <w:r w:rsidRPr="009126ED">
        <w:rPr>
          <w:noProof/>
        </w:rPr>
        <w:t>2.</w:t>
      </w:r>
      <w:r w:rsidRPr="009126ED">
        <w:rPr>
          <w:noProof/>
        </w:rPr>
        <w:tab/>
        <w:t>Muthén LK, Muthén BO. Mplus User’s Guide. . Los Angeles, CA: Muthén &amp; Muthén; 1997-2017.</w:t>
      </w:r>
    </w:p>
    <w:p w14:paraId="007BB3FA" w14:textId="77777777" w:rsidR="009126ED" w:rsidRPr="009126ED" w:rsidRDefault="009126ED" w:rsidP="009126ED">
      <w:pPr>
        <w:pStyle w:val="EndNoteBibliography"/>
        <w:rPr>
          <w:noProof/>
        </w:rPr>
      </w:pPr>
      <w:r w:rsidRPr="009126ED">
        <w:rPr>
          <w:noProof/>
        </w:rPr>
        <w:t>3.</w:t>
      </w:r>
      <w:r w:rsidRPr="009126ED">
        <w:rPr>
          <w:noProof/>
        </w:rPr>
        <w:tab/>
        <w:t>Jovanovic BD, Hosmer DW, Buonaccorsi JP. Equivalence of several methods for efficient best subsets selection in generalized linear models. 1 ed. Computational Statistics &amp; Data Analysis1995. p. 59-64.</w:t>
      </w:r>
    </w:p>
    <w:p w14:paraId="30A2F8F9" w14:textId="77777777" w:rsidR="009126ED" w:rsidRPr="009126ED" w:rsidRDefault="009126ED" w:rsidP="009126ED">
      <w:pPr>
        <w:pStyle w:val="EndNoteBibliography"/>
        <w:rPr>
          <w:noProof/>
        </w:rPr>
      </w:pPr>
      <w:r w:rsidRPr="009126ED">
        <w:rPr>
          <w:noProof/>
        </w:rPr>
        <w:t>4.</w:t>
      </w:r>
      <w:r w:rsidRPr="009126ED">
        <w:rPr>
          <w:noProof/>
        </w:rPr>
        <w:tab/>
        <w:t>R Foundation for Statistical Computing RCT: R: A Language and Environment for Statistical Computing. Vienna, Austria: CRAN; 2016.</w:t>
      </w:r>
    </w:p>
    <w:p w14:paraId="48CC5ACE" w14:textId="48C37B18" w:rsidR="006E57E1" w:rsidRDefault="00457CB1">
      <w:r>
        <w:fldChar w:fldCharType="end"/>
      </w:r>
    </w:p>
    <w:sectPr w:rsidR="006E57E1" w:rsidSect="00457C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17A3C"/>
    <w:multiLevelType w:val="hybridMultilevel"/>
    <w:tmpl w:val="0D4685FE"/>
    <w:lvl w:ilvl="0" w:tplc="AB541F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activeWritingStyle w:appName="MSWord" w:lang="it-IT"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CD5D1F"/>
    <w:rsid w:val="00006955"/>
    <w:rsid w:val="000331A1"/>
    <w:rsid w:val="000F3442"/>
    <w:rsid w:val="00107999"/>
    <w:rsid w:val="00165BE3"/>
    <w:rsid w:val="00180CC4"/>
    <w:rsid w:val="00201A26"/>
    <w:rsid w:val="0029711E"/>
    <w:rsid w:val="002A6DFF"/>
    <w:rsid w:val="00456A74"/>
    <w:rsid w:val="00457CB1"/>
    <w:rsid w:val="004B2031"/>
    <w:rsid w:val="004D4463"/>
    <w:rsid w:val="00532A2C"/>
    <w:rsid w:val="00534A4D"/>
    <w:rsid w:val="005559D6"/>
    <w:rsid w:val="006177F3"/>
    <w:rsid w:val="00760155"/>
    <w:rsid w:val="0079270E"/>
    <w:rsid w:val="00826330"/>
    <w:rsid w:val="00826DE3"/>
    <w:rsid w:val="009126ED"/>
    <w:rsid w:val="00927095"/>
    <w:rsid w:val="009F1946"/>
    <w:rsid w:val="00A72381"/>
    <w:rsid w:val="00AA6E7E"/>
    <w:rsid w:val="00AB73D9"/>
    <w:rsid w:val="00AF3A27"/>
    <w:rsid w:val="00B402A9"/>
    <w:rsid w:val="00B516EA"/>
    <w:rsid w:val="00B6536D"/>
    <w:rsid w:val="00B73850"/>
    <w:rsid w:val="00BA523C"/>
    <w:rsid w:val="00BE6F0F"/>
    <w:rsid w:val="00C44083"/>
    <w:rsid w:val="00C756A5"/>
    <w:rsid w:val="00CD5D1F"/>
    <w:rsid w:val="00CD6D92"/>
    <w:rsid w:val="00D034D0"/>
    <w:rsid w:val="00D70C4E"/>
    <w:rsid w:val="00DB11C3"/>
    <w:rsid w:val="00DD5565"/>
    <w:rsid w:val="00E60AA2"/>
    <w:rsid w:val="00EF176A"/>
    <w:rsid w:val="00F1405A"/>
    <w:rsid w:val="00FC349F"/>
    <w:rsid w:val="00FD4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23304"/>
  <w15:chartTrackingRefBased/>
  <w15:docId w15:val="{1D089B3C-8EBA-A843-A6AD-A761C1DD8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D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rsid w:val="002A6DFF"/>
    <w:pPr>
      <w:pBdr>
        <w:top w:val="nil"/>
        <w:left w:val="nil"/>
        <w:bottom w:val="nil"/>
        <w:right w:val="nil"/>
        <w:between w:val="nil"/>
        <w:bar w:val="nil"/>
      </w:pBdr>
    </w:pPr>
    <w:rPr>
      <w:rFonts w:ascii="Cambria" w:eastAsia="Arial Unicode MS" w:hAnsi="Cambria" w:cs="Arial Unicode MS"/>
      <w:color w:val="000000"/>
      <w:u w:color="000000"/>
      <w:bdr w:val="nil"/>
      <w:lang w:val="it-IT"/>
    </w:rPr>
  </w:style>
  <w:style w:type="paragraph" w:customStyle="1" w:styleId="EndNoteBibliographyTitle">
    <w:name w:val="EndNote Bibliography Title"/>
    <w:basedOn w:val="Normal"/>
    <w:link w:val="EndNoteBibliographyTitleChar"/>
    <w:rsid w:val="00457CB1"/>
    <w:pPr>
      <w:jc w:val="center"/>
    </w:pPr>
    <w:rPr>
      <w:rFonts w:ascii="Calibri" w:hAnsi="Calibri" w:cs="Calibri"/>
    </w:rPr>
  </w:style>
  <w:style w:type="character" w:customStyle="1" w:styleId="BodyChar">
    <w:name w:val="Body Char"/>
    <w:basedOn w:val="DefaultParagraphFont"/>
    <w:link w:val="Body"/>
    <w:rsid w:val="00457CB1"/>
    <w:rPr>
      <w:rFonts w:ascii="Cambria" w:eastAsia="Arial Unicode MS" w:hAnsi="Cambria" w:cs="Arial Unicode MS"/>
      <w:color w:val="000000"/>
      <w:u w:color="000000"/>
      <w:bdr w:val="nil"/>
      <w:lang w:val="it-IT"/>
    </w:rPr>
  </w:style>
  <w:style w:type="character" w:customStyle="1" w:styleId="EndNoteBibliographyTitleChar">
    <w:name w:val="EndNote Bibliography Title Char"/>
    <w:basedOn w:val="BodyChar"/>
    <w:link w:val="EndNoteBibliographyTitle"/>
    <w:rsid w:val="00457CB1"/>
    <w:rPr>
      <w:rFonts w:ascii="Calibri" w:eastAsia="Arial Unicode MS" w:hAnsi="Calibri" w:cs="Calibri"/>
      <w:color w:val="000000"/>
      <w:u w:color="000000"/>
      <w:bdr w:val="nil"/>
      <w:lang w:val="it-IT"/>
    </w:rPr>
  </w:style>
  <w:style w:type="paragraph" w:customStyle="1" w:styleId="EndNoteBibliography">
    <w:name w:val="EndNote Bibliography"/>
    <w:basedOn w:val="Normal"/>
    <w:link w:val="EndNoteBibliographyChar"/>
    <w:rsid w:val="00457CB1"/>
    <w:rPr>
      <w:rFonts w:ascii="Calibri" w:hAnsi="Calibri" w:cs="Calibri"/>
    </w:rPr>
  </w:style>
  <w:style w:type="character" w:customStyle="1" w:styleId="EndNoteBibliographyChar">
    <w:name w:val="EndNote Bibliography Char"/>
    <w:basedOn w:val="BodyChar"/>
    <w:link w:val="EndNoteBibliography"/>
    <w:rsid w:val="00457CB1"/>
    <w:rPr>
      <w:rFonts w:ascii="Calibri" w:eastAsia="Arial Unicode MS" w:hAnsi="Calibri" w:cs="Calibri"/>
      <w:color w:val="000000"/>
      <w:u w:color="000000"/>
      <w:bdr w:val="nil"/>
      <w:lang w:val="it-IT"/>
    </w:rPr>
  </w:style>
  <w:style w:type="paragraph" w:styleId="BalloonText">
    <w:name w:val="Balloon Text"/>
    <w:basedOn w:val="Normal"/>
    <w:link w:val="BalloonTextChar"/>
    <w:uiPriority w:val="99"/>
    <w:semiHidden/>
    <w:unhideWhenUsed/>
    <w:rsid w:val="00826DE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6DE3"/>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B2031"/>
    <w:rPr>
      <w:sz w:val="18"/>
      <w:szCs w:val="18"/>
    </w:rPr>
  </w:style>
  <w:style w:type="paragraph" w:styleId="CommentText">
    <w:name w:val="annotation text"/>
    <w:basedOn w:val="Normal"/>
    <w:link w:val="CommentTextChar"/>
    <w:uiPriority w:val="99"/>
    <w:semiHidden/>
    <w:unhideWhenUsed/>
    <w:rsid w:val="004B2031"/>
  </w:style>
  <w:style w:type="character" w:customStyle="1" w:styleId="CommentTextChar">
    <w:name w:val="Comment Text Char"/>
    <w:basedOn w:val="DefaultParagraphFont"/>
    <w:link w:val="CommentText"/>
    <w:uiPriority w:val="99"/>
    <w:semiHidden/>
    <w:rsid w:val="004B2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017C89B35C0A4B84077097E3A26007" ma:contentTypeVersion="13" ma:contentTypeDescription="Create a new document." ma:contentTypeScope="" ma:versionID="0d68c7907e361c10a0fd8f1e2aafa97f">
  <xsd:schema xmlns:xsd="http://www.w3.org/2001/XMLSchema" xmlns:xs="http://www.w3.org/2001/XMLSchema" xmlns:p="http://schemas.microsoft.com/office/2006/metadata/properties" xmlns:ns3="a5d4bdea-07f9-4c3d-b28f-42457541c5af" xmlns:ns4="7e65a181-f71c-4518-951a-7481a436731a" targetNamespace="http://schemas.microsoft.com/office/2006/metadata/properties" ma:root="true" ma:fieldsID="0bbf06f0268375aed353d44b845f1412" ns3:_="" ns4:_="">
    <xsd:import namespace="a5d4bdea-07f9-4c3d-b28f-42457541c5af"/>
    <xsd:import namespace="7e65a181-f71c-4518-951a-7481a436731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4bdea-07f9-4c3d-b28f-42457541c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5a181-f71c-4518-951a-7481a43673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9AE998-81DB-488D-8A73-188C55955F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B6F463-3252-47E7-8016-584652D02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4bdea-07f9-4c3d-b28f-42457541c5af"/>
    <ds:schemaRef ds:uri="7e65a181-f71c-4518-951a-7481a4367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0454F6-864A-46C5-960E-D30695FB37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1299</Words>
  <Characters>8773</Characters>
  <Application>Microsoft Office Word</Application>
  <DocSecurity>0</DocSecurity>
  <Lines>461</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Drohan, Callie</dc:creator>
  <cp:keywords/>
  <dc:description/>
  <cp:lastModifiedBy>Drohan, Callie</cp:lastModifiedBy>
  <cp:revision>2</cp:revision>
  <cp:lastPrinted>2020-08-09T19:21:00Z</cp:lastPrinted>
  <dcterms:created xsi:type="dcterms:W3CDTF">2020-08-09T19:21:00Z</dcterms:created>
  <dcterms:modified xsi:type="dcterms:W3CDTF">2020-08-09T19:21:00Z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2020-07-08T17:51:51Z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999c7902-d47c-4075-9fe5-00007af1593a</vt:lpwstr>
  </property>
  <property fmtid="{D5CDD505-2E9C-101B-9397-08002B2CF9AE}" pid="8" name="MSIP_Label_5e4b1be8-281e-475d-98b0-21c3457e5a46_ContentBits">
    <vt:lpwstr>0</vt:lpwstr>
  </property>
  <property fmtid="{D5CDD505-2E9C-101B-9397-08002B2CF9AE}" pid="9" name="ContentTypeId">
    <vt:lpwstr>0x0101002B017C89B35C0A4B84077097E3A26007</vt:lpwstr>
  </property>
</Properties>
</file>