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94354" w14:textId="77777777" w:rsidR="004029C1" w:rsidRDefault="004029C1" w:rsidP="004029C1">
      <w:pPr>
        <w:rPr>
          <w:rFonts w:ascii="Times New Roman" w:hAnsi="Times New Roman" w:cs="Times New Roman"/>
          <w:sz w:val="22"/>
          <w:szCs w:val="22"/>
        </w:rPr>
      </w:pPr>
    </w:p>
    <w:p w14:paraId="7D08D2AA" w14:textId="77777777" w:rsidR="004029C1" w:rsidRPr="00601136" w:rsidRDefault="004029C1" w:rsidP="004029C1">
      <w:pPr>
        <w:pStyle w:val="Newparagraph"/>
        <w:ind w:firstLine="0"/>
        <w:jc w:val="both"/>
      </w:pPr>
      <w:r w:rsidRPr="00601136">
        <w:t>Table 1. Years of articles published.</w:t>
      </w:r>
    </w:p>
    <w:tbl>
      <w:tblPr>
        <w:tblStyle w:val="TableGrid"/>
        <w:tblW w:w="0" w:type="auto"/>
        <w:tblLook w:val="04A0" w:firstRow="1" w:lastRow="0" w:firstColumn="1" w:lastColumn="0" w:noHBand="0" w:noVBand="1"/>
      </w:tblPr>
      <w:tblGrid>
        <w:gridCol w:w="1838"/>
        <w:gridCol w:w="2268"/>
      </w:tblGrid>
      <w:tr w:rsidR="004029C1" w:rsidRPr="00601136" w14:paraId="291F66DE" w14:textId="77777777" w:rsidTr="00EA611C">
        <w:trPr>
          <w:trHeight w:val="400"/>
        </w:trPr>
        <w:tc>
          <w:tcPr>
            <w:tcW w:w="1838" w:type="dxa"/>
          </w:tcPr>
          <w:p w14:paraId="5686CC34" w14:textId="77777777" w:rsidR="004029C1" w:rsidRPr="00601136" w:rsidRDefault="004029C1" w:rsidP="00EA611C">
            <w:pPr>
              <w:pStyle w:val="Newparagraph"/>
              <w:spacing w:line="240" w:lineRule="auto"/>
              <w:ind w:firstLine="0"/>
              <w:rPr>
                <w:b/>
                <w:bCs/>
                <w:sz w:val="20"/>
                <w:szCs w:val="20"/>
              </w:rPr>
            </w:pPr>
            <w:r w:rsidRPr="00601136">
              <w:rPr>
                <w:b/>
                <w:bCs/>
                <w:sz w:val="20"/>
                <w:szCs w:val="20"/>
              </w:rPr>
              <w:t>Year published</w:t>
            </w:r>
          </w:p>
        </w:tc>
        <w:tc>
          <w:tcPr>
            <w:tcW w:w="2268" w:type="dxa"/>
          </w:tcPr>
          <w:p w14:paraId="0C54B7E4" w14:textId="77777777" w:rsidR="004029C1" w:rsidRPr="00601136" w:rsidRDefault="004029C1" w:rsidP="00EA611C">
            <w:pPr>
              <w:pStyle w:val="Bulletedlist"/>
              <w:numPr>
                <w:ilvl w:val="0"/>
                <w:numId w:val="0"/>
              </w:numPr>
              <w:spacing w:before="0" w:after="0" w:line="240" w:lineRule="auto"/>
              <w:ind w:left="720" w:hanging="360"/>
              <w:jc w:val="center"/>
              <w:rPr>
                <w:b/>
                <w:bCs/>
                <w:sz w:val="20"/>
                <w:szCs w:val="20"/>
              </w:rPr>
            </w:pPr>
            <w:r>
              <w:rPr>
                <w:b/>
                <w:bCs/>
                <w:sz w:val="20"/>
                <w:szCs w:val="20"/>
              </w:rPr>
              <w:t>Number</w:t>
            </w:r>
            <w:r w:rsidRPr="00601136">
              <w:rPr>
                <w:b/>
                <w:bCs/>
                <w:sz w:val="20"/>
                <w:szCs w:val="20"/>
              </w:rPr>
              <w:t xml:space="preserve"> of articles</w:t>
            </w:r>
          </w:p>
        </w:tc>
      </w:tr>
      <w:tr w:rsidR="004029C1" w:rsidRPr="00601136" w14:paraId="39CD9ED3" w14:textId="77777777" w:rsidTr="00EA611C">
        <w:trPr>
          <w:trHeight w:val="375"/>
        </w:trPr>
        <w:tc>
          <w:tcPr>
            <w:tcW w:w="1838" w:type="dxa"/>
          </w:tcPr>
          <w:p w14:paraId="34BA1F9A" w14:textId="77777777" w:rsidR="004029C1" w:rsidRPr="00601136" w:rsidRDefault="004029C1" w:rsidP="00EA611C">
            <w:pPr>
              <w:pStyle w:val="Newparagraph"/>
              <w:spacing w:line="240" w:lineRule="auto"/>
              <w:ind w:firstLine="0"/>
              <w:rPr>
                <w:sz w:val="20"/>
                <w:szCs w:val="20"/>
              </w:rPr>
            </w:pPr>
            <w:r w:rsidRPr="00601136">
              <w:rPr>
                <w:sz w:val="20"/>
                <w:szCs w:val="20"/>
              </w:rPr>
              <w:t>2017</w:t>
            </w:r>
          </w:p>
        </w:tc>
        <w:tc>
          <w:tcPr>
            <w:tcW w:w="2268" w:type="dxa"/>
          </w:tcPr>
          <w:p w14:paraId="635B1F53" w14:textId="77777777" w:rsidR="004029C1" w:rsidRPr="00601136" w:rsidRDefault="004029C1" w:rsidP="00EA611C">
            <w:pPr>
              <w:pStyle w:val="Newparagraph"/>
              <w:spacing w:line="240" w:lineRule="auto"/>
              <w:ind w:firstLine="0"/>
              <w:jc w:val="center"/>
              <w:rPr>
                <w:sz w:val="20"/>
                <w:szCs w:val="20"/>
              </w:rPr>
            </w:pPr>
            <w:r w:rsidRPr="00601136">
              <w:rPr>
                <w:sz w:val="20"/>
                <w:szCs w:val="20"/>
              </w:rPr>
              <w:t>4</w:t>
            </w:r>
          </w:p>
        </w:tc>
      </w:tr>
      <w:tr w:rsidR="004029C1" w:rsidRPr="00601136" w14:paraId="3BA3FCD2" w14:textId="77777777" w:rsidTr="00EA611C">
        <w:trPr>
          <w:trHeight w:val="375"/>
        </w:trPr>
        <w:tc>
          <w:tcPr>
            <w:tcW w:w="1838" w:type="dxa"/>
          </w:tcPr>
          <w:p w14:paraId="2052DF2B" w14:textId="77777777" w:rsidR="004029C1" w:rsidRPr="00601136" w:rsidRDefault="004029C1" w:rsidP="00EA611C">
            <w:pPr>
              <w:pStyle w:val="Newparagraph"/>
              <w:spacing w:line="240" w:lineRule="auto"/>
              <w:ind w:firstLine="0"/>
              <w:rPr>
                <w:sz w:val="20"/>
                <w:szCs w:val="20"/>
              </w:rPr>
            </w:pPr>
            <w:r w:rsidRPr="00601136">
              <w:rPr>
                <w:sz w:val="20"/>
                <w:szCs w:val="20"/>
              </w:rPr>
              <w:t>2018</w:t>
            </w:r>
          </w:p>
        </w:tc>
        <w:tc>
          <w:tcPr>
            <w:tcW w:w="2268" w:type="dxa"/>
          </w:tcPr>
          <w:p w14:paraId="26483849" w14:textId="77777777" w:rsidR="004029C1" w:rsidRPr="00601136" w:rsidRDefault="004029C1" w:rsidP="00EA611C">
            <w:pPr>
              <w:pStyle w:val="Newparagraph"/>
              <w:spacing w:line="240" w:lineRule="auto"/>
              <w:ind w:firstLine="0"/>
              <w:jc w:val="center"/>
              <w:rPr>
                <w:sz w:val="20"/>
                <w:szCs w:val="20"/>
              </w:rPr>
            </w:pPr>
            <w:r>
              <w:rPr>
                <w:sz w:val="20"/>
                <w:szCs w:val="20"/>
              </w:rPr>
              <w:t>1</w:t>
            </w:r>
          </w:p>
        </w:tc>
      </w:tr>
      <w:tr w:rsidR="004029C1" w:rsidRPr="00601136" w14:paraId="68B4D1CF" w14:textId="77777777" w:rsidTr="00EA611C">
        <w:trPr>
          <w:trHeight w:val="375"/>
        </w:trPr>
        <w:tc>
          <w:tcPr>
            <w:tcW w:w="1838" w:type="dxa"/>
          </w:tcPr>
          <w:p w14:paraId="1D26D5E3" w14:textId="77777777" w:rsidR="004029C1" w:rsidRPr="00601136" w:rsidRDefault="004029C1" w:rsidP="00EA611C">
            <w:pPr>
              <w:pStyle w:val="Newparagraph"/>
              <w:spacing w:line="240" w:lineRule="auto"/>
              <w:ind w:firstLine="0"/>
              <w:rPr>
                <w:sz w:val="20"/>
                <w:szCs w:val="20"/>
              </w:rPr>
            </w:pPr>
            <w:r w:rsidRPr="00601136">
              <w:rPr>
                <w:sz w:val="20"/>
                <w:szCs w:val="20"/>
              </w:rPr>
              <w:t>2019</w:t>
            </w:r>
          </w:p>
        </w:tc>
        <w:tc>
          <w:tcPr>
            <w:tcW w:w="2268" w:type="dxa"/>
          </w:tcPr>
          <w:p w14:paraId="75E837E2" w14:textId="77777777" w:rsidR="004029C1" w:rsidRPr="00601136" w:rsidRDefault="004029C1" w:rsidP="00EA611C">
            <w:pPr>
              <w:pStyle w:val="Newparagraph"/>
              <w:spacing w:line="240" w:lineRule="auto"/>
              <w:ind w:firstLine="0"/>
              <w:jc w:val="center"/>
              <w:rPr>
                <w:sz w:val="20"/>
                <w:szCs w:val="20"/>
              </w:rPr>
            </w:pPr>
            <w:r>
              <w:rPr>
                <w:sz w:val="20"/>
                <w:szCs w:val="20"/>
              </w:rPr>
              <w:t>8</w:t>
            </w:r>
          </w:p>
        </w:tc>
      </w:tr>
      <w:tr w:rsidR="004029C1" w:rsidRPr="00601136" w14:paraId="133B7FE4" w14:textId="77777777" w:rsidTr="00EA611C">
        <w:trPr>
          <w:trHeight w:val="366"/>
        </w:trPr>
        <w:tc>
          <w:tcPr>
            <w:tcW w:w="1838" w:type="dxa"/>
          </w:tcPr>
          <w:p w14:paraId="7BE1E403" w14:textId="77777777" w:rsidR="004029C1" w:rsidRPr="00601136" w:rsidRDefault="004029C1" w:rsidP="00EA611C">
            <w:pPr>
              <w:pStyle w:val="Newparagraph"/>
              <w:spacing w:line="240" w:lineRule="auto"/>
              <w:ind w:firstLine="0"/>
              <w:rPr>
                <w:sz w:val="20"/>
                <w:szCs w:val="20"/>
              </w:rPr>
            </w:pPr>
            <w:r w:rsidRPr="00601136">
              <w:rPr>
                <w:sz w:val="20"/>
                <w:szCs w:val="20"/>
              </w:rPr>
              <w:t>2020</w:t>
            </w:r>
          </w:p>
        </w:tc>
        <w:tc>
          <w:tcPr>
            <w:tcW w:w="2268" w:type="dxa"/>
          </w:tcPr>
          <w:p w14:paraId="23F543EC" w14:textId="77777777" w:rsidR="004029C1" w:rsidRPr="00601136" w:rsidRDefault="004029C1" w:rsidP="00EA611C">
            <w:pPr>
              <w:pStyle w:val="Newparagraph"/>
              <w:spacing w:line="240" w:lineRule="auto"/>
              <w:ind w:firstLine="0"/>
              <w:jc w:val="center"/>
              <w:rPr>
                <w:sz w:val="20"/>
                <w:szCs w:val="20"/>
              </w:rPr>
            </w:pPr>
            <w:r>
              <w:rPr>
                <w:sz w:val="20"/>
                <w:szCs w:val="20"/>
              </w:rPr>
              <w:t>6</w:t>
            </w:r>
          </w:p>
        </w:tc>
      </w:tr>
      <w:tr w:rsidR="004029C1" w:rsidRPr="00601136" w14:paraId="1E7574CE" w14:textId="77777777" w:rsidTr="00EA611C">
        <w:trPr>
          <w:trHeight w:val="375"/>
        </w:trPr>
        <w:tc>
          <w:tcPr>
            <w:tcW w:w="1838" w:type="dxa"/>
          </w:tcPr>
          <w:p w14:paraId="6CA6086B" w14:textId="77777777" w:rsidR="004029C1" w:rsidRPr="00601136" w:rsidRDefault="004029C1" w:rsidP="00EA611C">
            <w:pPr>
              <w:pStyle w:val="Newparagraph"/>
              <w:spacing w:line="240" w:lineRule="auto"/>
              <w:ind w:firstLine="0"/>
              <w:rPr>
                <w:sz w:val="20"/>
                <w:szCs w:val="20"/>
              </w:rPr>
            </w:pPr>
            <w:r w:rsidRPr="00601136">
              <w:rPr>
                <w:sz w:val="20"/>
                <w:szCs w:val="20"/>
              </w:rPr>
              <w:t>2021</w:t>
            </w:r>
          </w:p>
        </w:tc>
        <w:tc>
          <w:tcPr>
            <w:tcW w:w="2268" w:type="dxa"/>
          </w:tcPr>
          <w:p w14:paraId="389DF2B9" w14:textId="77777777" w:rsidR="004029C1" w:rsidRPr="00601136" w:rsidRDefault="004029C1" w:rsidP="00EA611C">
            <w:pPr>
              <w:pStyle w:val="Newparagraph"/>
              <w:spacing w:line="240" w:lineRule="auto"/>
              <w:ind w:firstLine="0"/>
              <w:jc w:val="center"/>
              <w:rPr>
                <w:sz w:val="20"/>
                <w:szCs w:val="20"/>
              </w:rPr>
            </w:pPr>
            <w:r w:rsidRPr="00601136">
              <w:rPr>
                <w:sz w:val="20"/>
                <w:szCs w:val="20"/>
              </w:rPr>
              <w:t>1</w:t>
            </w:r>
            <w:r>
              <w:rPr>
                <w:sz w:val="20"/>
                <w:szCs w:val="20"/>
              </w:rPr>
              <w:t>2</w:t>
            </w:r>
          </w:p>
        </w:tc>
      </w:tr>
      <w:tr w:rsidR="004029C1" w:rsidRPr="00601136" w14:paraId="6E439687" w14:textId="77777777" w:rsidTr="00EA611C">
        <w:trPr>
          <w:trHeight w:val="375"/>
        </w:trPr>
        <w:tc>
          <w:tcPr>
            <w:tcW w:w="1838" w:type="dxa"/>
          </w:tcPr>
          <w:p w14:paraId="1B0ED542" w14:textId="77777777" w:rsidR="004029C1" w:rsidRPr="00601136" w:rsidRDefault="004029C1" w:rsidP="00EA611C">
            <w:pPr>
              <w:pStyle w:val="Newparagraph"/>
              <w:spacing w:line="240" w:lineRule="auto"/>
              <w:ind w:firstLine="0"/>
              <w:rPr>
                <w:sz w:val="20"/>
                <w:szCs w:val="20"/>
              </w:rPr>
            </w:pPr>
            <w:r w:rsidRPr="00601136">
              <w:rPr>
                <w:sz w:val="20"/>
                <w:szCs w:val="20"/>
              </w:rPr>
              <w:t>2022</w:t>
            </w:r>
          </w:p>
        </w:tc>
        <w:tc>
          <w:tcPr>
            <w:tcW w:w="2268" w:type="dxa"/>
          </w:tcPr>
          <w:p w14:paraId="23181753" w14:textId="77777777" w:rsidR="004029C1" w:rsidRPr="00601136" w:rsidRDefault="004029C1" w:rsidP="00EA611C">
            <w:pPr>
              <w:pStyle w:val="Newparagraph"/>
              <w:spacing w:line="240" w:lineRule="auto"/>
              <w:ind w:firstLine="0"/>
              <w:jc w:val="center"/>
              <w:rPr>
                <w:sz w:val="20"/>
                <w:szCs w:val="20"/>
              </w:rPr>
            </w:pPr>
            <w:r w:rsidRPr="00601136">
              <w:rPr>
                <w:sz w:val="20"/>
                <w:szCs w:val="20"/>
              </w:rPr>
              <w:t>1</w:t>
            </w:r>
            <w:r>
              <w:rPr>
                <w:sz w:val="20"/>
                <w:szCs w:val="20"/>
              </w:rPr>
              <w:t>5</w:t>
            </w:r>
          </w:p>
        </w:tc>
      </w:tr>
      <w:tr w:rsidR="004029C1" w:rsidRPr="00601136" w14:paraId="3F3A4D4C" w14:textId="77777777" w:rsidTr="00EA611C">
        <w:trPr>
          <w:trHeight w:val="366"/>
        </w:trPr>
        <w:tc>
          <w:tcPr>
            <w:tcW w:w="1838" w:type="dxa"/>
          </w:tcPr>
          <w:p w14:paraId="31F2AEE8" w14:textId="77777777" w:rsidR="004029C1" w:rsidRPr="00601136" w:rsidRDefault="004029C1" w:rsidP="00EA611C">
            <w:pPr>
              <w:pStyle w:val="Newparagraph"/>
              <w:spacing w:line="240" w:lineRule="auto"/>
              <w:ind w:firstLine="0"/>
              <w:rPr>
                <w:sz w:val="20"/>
                <w:szCs w:val="20"/>
              </w:rPr>
            </w:pPr>
            <w:r w:rsidRPr="00601136">
              <w:rPr>
                <w:sz w:val="20"/>
                <w:szCs w:val="20"/>
              </w:rPr>
              <w:t>2023</w:t>
            </w:r>
          </w:p>
        </w:tc>
        <w:tc>
          <w:tcPr>
            <w:tcW w:w="2268" w:type="dxa"/>
          </w:tcPr>
          <w:p w14:paraId="462CC97B" w14:textId="77777777" w:rsidR="004029C1" w:rsidRPr="00601136" w:rsidRDefault="004029C1" w:rsidP="00EA611C">
            <w:pPr>
              <w:pStyle w:val="Newparagraph"/>
              <w:spacing w:line="240" w:lineRule="auto"/>
              <w:ind w:firstLine="0"/>
              <w:jc w:val="center"/>
              <w:rPr>
                <w:sz w:val="20"/>
                <w:szCs w:val="20"/>
              </w:rPr>
            </w:pPr>
            <w:r w:rsidRPr="00601136">
              <w:rPr>
                <w:sz w:val="20"/>
                <w:szCs w:val="20"/>
              </w:rPr>
              <w:t>1</w:t>
            </w:r>
            <w:r>
              <w:rPr>
                <w:sz w:val="20"/>
                <w:szCs w:val="20"/>
              </w:rPr>
              <w:t>1</w:t>
            </w:r>
          </w:p>
        </w:tc>
      </w:tr>
    </w:tbl>
    <w:p w14:paraId="3AB43FBD" w14:textId="77777777" w:rsidR="004029C1" w:rsidRDefault="004029C1" w:rsidP="004029C1">
      <w:pPr>
        <w:pStyle w:val="Paragraph"/>
        <w:jc w:val="both"/>
      </w:pPr>
    </w:p>
    <w:p w14:paraId="09529E92" w14:textId="77777777" w:rsidR="004029C1" w:rsidRDefault="004029C1" w:rsidP="004029C1">
      <w:pPr>
        <w:pStyle w:val="Newparagraph"/>
      </w:pPr>
    </w:p>
    <w:p w14:paraId="4A3536BF" w14:textId="77777777" w:rsidR="004029C1" w:rsidRDefault="004029C1" w:rsidP="004029C1">
      <w:pPr>
        <w:pStyle w:val="Newparagraph"/>
      </w:pPr>
    </w:p>
    <w:p w14:paraId="790F4EBD" w14:textId="77777777" w:rsidR="004029C1" w:rsidRDefault="004029C1" w:rsidP="004029C1">
      <w:pPr>
        <w:pStyle w:val="Newparagraph"/>
      </w:pPr>
    </w:p>
    <w:p w14:paraId="24451712" w14:textId="77777777" w:rsidR="004029C1" w:rsidRDefault="004029C1" w:rsidP="004029C1">
      <w:pPr>
        <w:pStyle w:val="Newparagraph"/>
      </w:pPr>
    </w:p>
    <w:p w14:paraId="637B6924" w14:textId="77777777" w:rsidR="004029C1" w:rsidRDefault="004029C1" w:rsidP="004029C1">
      <w:pPr>
        <w:pStyle w:val="Newparagraph"/>
      </w:pPr>
    </w:p>
    <w:p w14:paraId="394EB36D" w14:textId="77777777" w:rsidR="004029C1" w:rsidRDefault="004029C1" w:rsidP="004029C1">
      <w:pPr>
        <w:pStyle w:val="Newparagraph"/>
      </w:pPr>
    </w:p>
    <w:p w14:paraId="6F38DD24" w14:textId="77777777" w:rsidR="004029C1" w:rsidRDefault="004029C1" w:rsidP="004029C1">
      <w:pPr>
        <w:pStyle w:val="Newparagraph"/>
      </w:pPr>
    </w:p>
    <w:p w14:paraId="5D5C3449" w14:textId="77777777" w:rsidR="004029C1" w:rsidRDefault="004029C1" w:rsidP="004029C1">
      <w:pPr>
        <w:pStyle w:val="Newparagraph"/>
      </w:pPr>
    </w:p>
    <w:p w14:paraId="26B1CF07" w14:textId="77777777" w:rsidR="004029C1" w:rsidRPr="004029C1" w:rsidRDefault="004029C1" w:rsidP="004029C1">
      <w:pPr>
        <w:pStyle w:val="Newparagraph"/>
      </w:pPr>
    </w:p>
    <w:p w14:paraId="2FFE1B6A" w14:textId="77777777" w:rsidR="004029C1" w:rsidRPr="00601136" w:rsidRDefault="004029C1" w:rsidP="004029C1">
      <w:pPr>
        <w:pStyle w:val="Newparagraph"/>
        <w:ind w:firstLine="0"/>
        <w:jc w:val="both"/>
      </w:pPr>
      <w:r w:rsidRPr="00601136">
        <w:t>Table 2. Various types of journals used for publications.</w:t>
      </w:r>
    </w:p>
    <w:tbl>
      <w:tblPr>
        <w:tblStyle w:val="TableGrid"/>
        <w:tblW w:w="0" w:type="auto"/>
        <w:tblLook w:val="04A0" w:firstRow="1" w:lastRow="0" w:firstColumn="1" w:lastColumn="0" w:noHBand="0" w:noVBand="1"/>
      </w:tblPr>
      <w:tblGrid>
        <w:gridCol w:w="3601"/>
        <w:gridCol w:w="1864"/>
      </w:tblGrid>
      <w:tr w:rsidR="004029C1" w:rsidRPr="00601136" w14:paraId="15255958" w14:textId="77777777" w:rsidTr="00EA611C">
        <w:trPr>
          <w:trHeight w:val="400"/>
        </w:trPr>
        <w:tc>
          <w:tcPr>
            <w:tcW w:w="3601" w:type="dxa"/>
          </w:tcPr>
          <w:p w14:paraId="426E7E9C" w14:textId="77777777" w:rsidR="004029C1" w:rsidRPr="00601136" w:rsidRDefault="004029C1" w:rsidP="00EA611C">
            <w:pPr>
              <w:pStyle w:val="Newparagraph"/>
              <w:spacing w:line="240" w:lineRule="auto"/>
              <w:ind w:firstLine="0"/>
              <w:rPr>
                <w:b/>
                <w:bCs/>
                <w:sz w:val="20"/>
                <w:szCs w:val="20"/>
              </w:rPr>
            </w:pPr>
            <w:r w:rsidRPr="00601136">
              <w:rPr>
                <w:b/>
                <w:bCs/>
                <w:sz w:val="20"/>
                <w:szCs w:val="20"/>
              </w:rPr>
              <w:t>Type of journal</w:t>
            </w:r>
          </w:p>
        </w:tc>
        <w:tc>
          <w:tcPr>
            <w:tcW w:w="1864" w:type="dxa"/>
          </w:tcPr>
          <w:p w14:paraId="23FBFCFE" w14:textId="77777777" w:rsidR="004029C1" w:rsidRPr="00601136" w:rsidRDefault="004029C1" w:rsidP="00EA611C">
            <w:pPr>
              <w:pStyle w:val="Bulletedlist"/>
              <w:numPr>
                <w:ilvl w:val="0"/>
                <w:numId w:val="0"/>
              </w:numPr>
              <w:spacing w:before="0" w:after="0" w:line="240" w:lineRule="auto"/>
              <w:ind w:left="720" w:hanging="360"/>
              <w:jc w:val="center"/>
              <w:rPr>
                <w:b/>
                <w:bCs/>
                <w:sz w:val="20"/>
                <w:szCs w:val="20"/>
              </w:rPr>
            </w:pPr>
            <w:r w:rsidRPr="00601136">
              <w:rPr>
                <w:b/>
                <w:bCs/>
                <w:sz w:val="20"/>
                <w:szCs w:val="20"/>
              </w:rPr>
              <w:t># of articles</w:t>
            </w:r>
          </w:p>
        </w:tc>
      </w:tr>
      <w:tr w:rsidR="004029C1" w:rsidRPr="00601136" w14:paraId="479DE44E" w14:textId="77777777" w:rsidTr="00EA611C">
        <w:trPr>
          <w:trHeight w:val="375"/>
        </w:trPr>
        <w:tc>
          <w:tcPr>
            <w:tcW w:w="3601" w:type="dxa"/>
          </w:tcPr>
          <w:p w14:paraId="54E139DE" w14:textId="77777777" w:rsidR="004029C1" w:rsidRPr="00601136" w:rsidRDefault="004029C1" w:rsidP="00EA611C">
            <w:pPr>
              <w:pStyle w:val="Newparagraph"/>
              <w:spacing w:line="240" w:lineRule="auto"/>
              <w:ind w:firstLine="0"/>
              <w:rPr>
                <w:sz w:val="20"/>
                <w:szCs w:val="20"/>
              </w:rPr>
            </w:pPr>
            <w:r w:rsidRPr="00601136">
              <w:rPr>
                <w:sz w:val="20"/>
                <w:szCs w:val="20"/>
              </w:rPr>
              <w:t>Various traditional sports law journals</w:t>
            </w:r>
          </w:p>
        </w:tc>
        <w:tc>
          <w:tcPr>
            <w:tcW w:w="1864" w:type="dxa"/>
          </w:tcPr>
          <w:p w14:paraId="5F75DCA1" w14:textId="77777777" w:rsidR="004029C1" w:rsidRPr="00601136" w:rsidRDefault="004029C1" w:rsidP="00EA611C">
            <w:pPr>
              <w:pStyle w:val="Newparagraph"/>
              <w:spacing w:line="240" w:lineRule="auto"/>
              <w:ind w:firstLine="0"/>
              <w:jc w:val="center"/>
              <w:rPr>
                <w:sz w:val="20"/>
                <w:szCs w:val="20"/>
              </w:rPr>
            </w:pPr>
            <w:r w:rsidRPr="00601136">
              <w:rPr>
                <w:sz w:val="20"/>
                <w:szCs w:val="20"/>
              </w:rPr>
              <w:t>17</w:t>
            </w:r>
          </w:p>
        </w:tc>
      </w:tr>
      <w:tr w:rsidR="004029C1" w:rsidRPr="00601136" w14:paraId="0663E5C5" w14:textId="77777777" w:rsidTr="00EA611C">
        <w:trPr>
          <w:trHeight w:val="375"/>
        </w:trPr>
        <w:tc>
          <w:tcPr>
            <w:tcW w:w="3601" w:type="dxa"/>
          </w:tcPr>
          <w:p w14:paraId="0F4C59AF" w14:textId="77777777" w:rsidR="004029C1" w:rsidRPr="00601136" w:rsidRDefault="004029C1" w:rsidP="00EA611C">
            <w:pPr>
              <w:pStyle w:val="Newparagraph"/>
              <w:spacing w:line="240" w:lineRule="auto"/>
              <w:ind w:firstLine="0"/>
              <w:rPr>
                <w:sz w:val="20"/>
                <w:szCs w:val="20"/>
              </w:rPr>
            </w:pPr>
            <w:r w:rsidRPr="00601136">
              <w:rPr>
                <w:sz w:val="20"/>
                <w:szCs w:val="20"/>
              </w:rPr>
              <w:t>Gaming law journals</w:t>
            </w:r>
          </w:p>
        </w:tc>
        <w:tc>
          <w:tcPr>
            <w:tcW w:w="1864" w:type="dxa"/>
          </w:tcPr>
          <w:p w14:paraId="7F193DC7" w14:textId="77777777" w:rsidR="004029C1" w:rsidRPr="00601136" w:rsidRDefault="004029C1" w:rsidP="00EA611C">
            <w:pPr>
              <w:pStyle w:val="Newparagraph"/>
              <w:spacing w:line="240" w:lineRule="auto"/>
              <w:ind w:firstLine="0"/>
              <w:jc w:val="center"/>
              <w:rPr>
                <w:sz w:val="20"/>
                <w:szCs w:val="20"/>
              </w:rPr>
            </w:pPr>
            <w:r w:rsidRPr="00601136">
              <w:rPr>
                <w:sz w:val="20"/>
                <w:szCs w:val="20"/>
              </w:rPr>
              <w:t>7</w:t>
            </w:r>
          </w:p>
        </w:tc>
      </w:tr>
      <w:tr w:rsidR="004029C1" w:rsidRPr="00601136" w14:paraId="021CEC2C" w14:textId="77777777" w:rsidTr="00EA611C">
        <w:trPr>
          <w:trHeight w:val="375"/>
        </w:trPr>
        <w:tc>
          <w:tcPr>
            <w:tcW w:w="3601" w:type="dxa"/>
          </w:tcPr>
          <w:p w14:paraId="41726E63" w14:textId="77777777" w:rsidR="004029C1" w:rsidRPr="00601136" w:rsidRDefault="004029C1" w:rsidP="00EA611C">
            <w:pPr>
              <w:pStyle w:val="Newparagraph"/>
              <w:spacing w:line="240" w:lineRule="auto"/>
              <w:ind w:firstLine="0"/>
              <w:rPr>
                <w:sz w:val="20"/>
                <w:szCs w:val="20"/>
              </w:rPr>
            </w:pPr>
            <w:r>
              <w:rPr>
                <w:sz w:val="20"/>
                <w:szCs w:val="20"/>
              </w:rPr>
              <w:t>Sport Management journals</w:t>
            </w:r>
          </w:p>
        </w:tc>
        <w:tc>
          <w:tcPr>
            <w:tcW w:w="1864" w:type="dxa"/>
          </w:tcPr>
          <w:p w14:paraId="5E01B22A" w14:textId="77777777" w:rsidR="004029C1" w:rsidRPr="00601136" w:rsidRDefault="004029C1" w:rsidP="00EA611C">
            <w:pPr>
              <w:pStyle w:val="Newparagraph"/>
              <w:spacing w:line="240" w:lineRule="auto"/>
              <w:ind w:firstLine="0"/>
              <w:jc w:val="center"/>
              <w:rPr>
                <w:sz w:val="20"/>
                <w:szCs w:val="20"/>
              </w:rPr>
            </w:pPr>
            <w:r>
              <w:rPr>
                <w:sz w:val="20"/>
                <w:szCs w:val="20"/>
              </w:rPr>
              <w:t>5</w:t>
            </w:r>
          </w:p>
        </w:tc>
      </w:tr>
      <w:tr w:rsidR="004029C1" w:rsidRPr="00601136" w14:paraId="3FCD74C4" w14:textId="77777777" w:rsidTr="00EA611C">
        <w:trPr>
          <w:trHeight w:val="366"/>
        </w:trPr>
        <w:tc>
          <w:tcPr>
            <w:tcW w:w="3601" w:type="dxa"/>
          </w:tcPr>
          <w:p w14:paraId="2A9D1194" w14:textId="77777777" w:rsidR="004029C1" w:rsidRPr="00601136" w:rsidRDefault="004029C1" w:rsidP="00EA611C">
            <w:pPr>
              <w:pStyle w:val="Newparagraph"/>
              <w:spacing w:line="240" w:lineRule="auto"/>
              <w:ind w:firstLine="0"/>
              <w:rPr>
                <w:sz w:val="20"/>
                <w:szCs w:val="20"/>
              </w:rPr>
            </w:pPr>
            <w:r w:rsidRPr="00601136">
              <w:rPr>
                <w:sz w:val="20"/>
                <w:szCs w:val="20"/>
              </w:rPr>
              <w:t>Sports health journals</w:t>
            </w:r>
          </w:p>
        </w:tc>
        <w:tc>
          <w:tcPr>
            <w:tcW w:w="1864" w:type="dxa"/>
          </w:tcPr>
          <w:p w14:paraId="66B81A15" w14:textId="77777777" w:rsidR="004029C1" w:rsidRPr="00601136" w:rsidRDefault="004029C1" w:rsidP="00EA611C">
            <w:pPr>
              <w:pStyle w:val="Newparagraph"/>
              <w:spacing w:line="240" w:lineRule="auto"/>
              <w:ind w:firstLine="0"/>
              <w:jc w:val="center"/>
              <w:rPr>
                <w:sz w:val="20"/>
                <w:szCs w:val="20"/>
              </w:rPr>
            </w:pPr>
            <w:r w:rsidRPr="00601136">
              <w:rPr>
                <w:sz w:val="20"/>
                <w:szCs w:val="20"/>
              </w:rPr>
              <w:t>5</w:t>
            </w:r>
          </w:p>
        </w:tc>
      </w:tr>
      <w:tr w:rsidR="004029C1" w:rsidRPr="00601136" w14:paraId="4CDBFBDD" w14:textId="77777777" w:rsidTr="00EA611C">
        <w:trPr>
          <w:trHeight w:val="375"/>
        </w:trPr>
        <w:tc>
          <w:tcPr>
            <w:tcW w:w="3601" w:type="dxa"/>
          </w:tcPr>
          <w:p w14:paraId="48055493" w14:textId="77777777" w:rsidR="004029C1" w:rsidRPr="00601136" w:rsidRDefault="004029C1" w:rsidP="00EA611C">
            <w:pPr>
              <w:pStyle w:val="Newparagraph"/>
              <w:spacing w:line="240" w:lineRule="auto"/>
              <w:ind w:firstLine="0"/>
              <w:rPr>
                <w:sz w:val="20"/>
                <w:szCs w:val="20"/>
              </w:rPr>
            </w:pPr>
            <w:r w:rsidRPr="00601136">
              <w:rPr>
                <w:sz w:val="20"/>
                <w:szCs w:val="20"/>
              </w:rPr>
              <w:t>Computer technology journals</w:t>
            </w:r>
          </w:p>
        </w:tc>
        <w:tc>
          <w:tcPr>
            <w:tcW w:w="1864" w:type="dxa"/>
          </w:tcPr>
          <w:p w14:paraId="0F8A6F49" w14:textId="77777777" w:rsidR="004029C1" w:rsidRPr="00601136" w:rsidRDefault="004029C1" w:rsidP="00EA611C">
            <w:pPr>
              <w:pStyle w:val="Newparagraph"/>
              <w:spacing w:line="240" w:lineRule="auto"/>
              <w:ind w:firstLine="0"/>
              <w:jc w:val="center"/>
              <w:rPr>
                <w:sz w:val="20"/>
                <w:szCs w:val="20"/>
              </w:rPr>
            </w:pPr>
            <w:r w:rsidRPr="00601136">
              <w:rPr>
                <w:sz w:val="20"/>
                <w:szCs w:val="20"/>
              </w:rPr>
              <w:t>4</w:t>
            </w:r>
          </w:p>
        </w:tc>
      </w:tr>
      <w:tr w:rsidR="004029C1" w:rsidRPr="00601136" w14:paraId="0DFDA3C4" w14:textId="77777777" w:rsidTr="00EA611C">
        <w:trPr>
          <w:trHeight w:val="375"/>
        </w:trPr>
        <w:tc>
          <w:tcPr>
            <w:tcW w:w="3601" w:type="dxa"/>
          </w:tcPr>
          <w:p w14:paraId="2E5A3DE7" w14:textId="77777777" w:rsidR="004029C1" w:rsidRPr="00601136" w:rsidRDefault="004029C1" w:rsidP="00EA611C">
            <w:pPr>
              <w:pStyle w:val="Newparagraph"/>
              <w:spacing w:line="240" w:lineRule="auto"/>
              <w:ind w:firstLine="0"/>
              <w:rPr>
                <w:sz w:val="20"/>
                <w:szCs w:val="20"/>
              </w:rPr>
            </w:pPr>
            <w:r w:rsidRPr="00601136">
              <w:rPr>
                <w:sz w:val="20"/>
                <w:szCs w:val="20"/>
              </w:rPr>
              <w:t>Gambling law journals</w:t>
            </w:r>
          </w:p>
        </w:tc>
        <w:tc>
          <w:tcPr>
            <w:tcW w:w="1864" w:type="dxa"/>
          </w:tcPr>
          <w:p w14:paraId="5705A0FB" w14:textId="77777777" w:rsidR="004029C1" w:rsidRPr="00601136" w:rsidRDefault="004029C1" w:rsidP="00EA611C">
            <w:pPr>
              <w:pStyle w:val="Newparagraph"/>
              <w:spacing w:line="240" w:lineRule="auto"/>
              <w:ind w:firstLine="0"/>
              <w:jc w:val="center"/>
              <w:rPr>
                <w:sz w:val="20"/>
                <w:szCs w:val="20"/>
              </w:rPr>
            </w:pPr>
            <w:r w:rsidRPr="00601136">
              <w:rPr>
                <w:sz w:val="20"/>
                <w:szCs w:val="20"/>
              </w:rPr>
              <w:t>3</w:t>
            </w:r>
          </w:p>
        </w:tc>
      </w:tr>
      <w:tr w:rsidR="004029C1" w:rsidRPr="00601136" w14:paraId="2CBD2130" w14:textId="77777777" w:rsidTr="00EA611C">
        <w:trPr>
          <w:trHeight w:val="366"/>
        </w:trPr>
        <w:tc>
          <w:tcPr>
            <w:tcW w:w="3601" w:type="dxa"/>
          </w:tcPr>
          <w:p w14:paraId="56803CDD" w14:textId="77777777" w:rsidR="004029C1" w:rsidRPr="00601136" w:rsidRDefault="004029C1" w:rsidP="00EA611C">
            <w:pPr>
              <w:pStyle w:val="Newparagraph"/>
              <w:spacing w:line="240" w:lineRule="auto"/>
              <w:ind w:firstLine="0"/>
              <w:rPr>
                <w:sz w:val="20"/>
                <w:szCs w:val="20"/>
              </w:rPr>
            </w:pPr>
            <w:r w:rsidRPr="00601136">
              <w:rPr>
                <w:sz w:val="20"/>
                <w:szCs w:val="20"/>
              </w:rPr>
              <w:t>Esports journals</w:t>
            </w:r>
          </w:p>
        </w:tc>
        <w:tc>
          <w:tcPr>
            <w:tcW w:w="1864" w:type="dxa"/>
          </w:tcPr>
          <w:p w14:paraId="10ABE000" w14:textId="77777777" w:rsidR="004029C1" w:rsidRPr="00601136" w:rsidRDefault="004029C1" w:rsidP="00EA611C">
            <w:pPr>
              <w:pStyle w:val="Newparagraph"/>
              <w:spacing w:line="240" w:lineRule="auto"/>
              <w:ind w:firstLine="0"/>
              <w:jc w:val="center"/>
              <w:rPr>
                <w:sz w:val="20"/>
                <w:szCs w:val="20"/>
              </w:rPr>
            </w:pPr>
            <w:r w:rsidRPr="00601136">
              <w:rPr>
                <w:sz w:val="20"/>
                <w:szCs w:val="20"/>
              </w:rPr>
              <w:t>3</w:t>
            </w:r>
          </w:p>
        </w:tc>
      </w:tr>
      <w:tr w:rsidR="004029C1" w:rsidRPr="00601136" w14:paraId="0E314218" w14:textId="77777777" w:rsidTr="00EA611C">
        <w:trPr>
          <w:trHeight w:val="375"/>
        </w:trPr>
        <w:tc>
          <w:tcPr>
            <w:tcW w:w="3601" w:type="dxa"/>
          </w:tcPr>
          <w:p w14:paraId="6EAF0953" w14:textId="77777777" w:rsidR="004029C1" w:rsidRPr="00601136" w:rsidRDefault="004029C1" w:rsidP="00EA611C">
            <w:pPr>
              <w:pStyle w:val="Newparagraph"/>
              <w:spacing w:line="240" w:lineRule="auto"/>
              <w:ind w:firstLine="0"/>
              <w:rPr>
                <w:sz w:val="20"/>
                <w:szCs w:val="20"/>
              </w:rPr>
            </w:pPr>
            <w:r w:rsidRPr="00601136">
              <w:rPr>
                <w:sz w:val="20"/>
                <w:szCs w:val="20"/>
              </w:rPr>
              <w:t>Sports policy and governance journals</w:t>
            </w:r>
          </w:p>
        </w:tc>
        <w:tc>
          <w:tcPr>
            <w:tcW w:w="1864" w:type="dxa"/>
          </w:tcPr>
          <w:p w14:paraId="4C059BA7" w14:textId="77777777" w:rsidR="004029C1" w:rsidRPr="00601136" w:rsidRDefault="004029C1" w:rsidP="00EA611C">
            <w:pPr>
              <w:pStyle w:val="Newparagraph"/>
              <w:spacing w:line="240" w:lineRule="auto"/>
              <w:ind w:firstLine="0"/>
              <w:jc w:val="center"/>
              <w:rPr>
                <w:sz w:val="20"/>
                <w:szCs w:val="20"/>
              </w:rPr>
            </w:pPr>
            <w:r w:rsidRPr="00601136">
              <w:rPr>
                <w:sz w:val="20"/>
                <w:szCs w:val="20"/>
              </w:rPr>
              <w:t>2</w:t>
            </w:r>
          </w:p>
        </w:tc>
      </w:tr>
    </w:tbl>
    <w:p w14:paraId="12C13FD4" w14:textId="77777777" w:rsidR="004029C1" w:rsidRDefault="004029C1" w:rsidP="004029C1">
      <w:pPr>
        <w:pStyle w:val="Newparagraph"/>
        <w:ind w:firstLine="0"/>
        <w:jc w:val="both"/>
      </w:pPr>
    </w:p>
    <w:p w14:paraId="138786A5" w14:textId="77777777" w:rsidR="004029C1" w:rsidRDefault="004029C1" w:rsidP="004029C1">
      <w:pPr>
        <w:pStyle w:val="Newparagraph"/>
        <w:ind w:firstLine="0"/>
        <w:jc w:val="both"/>
      </w:pPr>
    </w:p>
    <w:p w14:paraId="642B1EAD" w14:textId="77777777" w:rsidR="004029C1" w:rsidRDefault="004029C1" w:rsidP="004029C1">
      <w:pPr>
        <w:pStyle w:val="Newparagraph"/>
        <w:ind w:firstLine="0"/>
        <w:jc w:val="both"/>
      </w:pPr>
    </w:p>
    <w:p w14:paraId="1C2DADBA" w14:textId="77777777" w:rsidR="004029C1" w:rsidRDefault="004029C1" w:rsidP="004029C1">
      <w:pPr>
        <w:pStyle w:val="Newparagraph"/>
        <w:ind w:firstLine="0"/>
        <w:jc w:val="both"/>
      </w:pPr>
    </w:p>
    <w:p w14:paraId="69C0DF34" w14:textId="77777777" w:rsidR="004029C1" w:rsidRDefault="004029C1" w:rsidP="004029C1">
      <w:pPr>
        <w:pStyle w:val="Newparagraph"/>
        <w:ind w:firstLine="0"/>
        <w:jc w:val="both"/>
      </w:pPr>
    </w:p>
    <w:p w14:paraId="51B62FB9" w14:textId="77777777" w:rsidR="004029C1" w:rsidRDefault="004029C1" w:rsidP="004029C1">
      <w:pPr>
        <w:pStyle w:val="Newparagraph"/>
        <w:ind w:firstLine="0"/>
        <w:jc w:val="both"/>
      </w:pPr>
    </w:p>
    <w:p w14:paraId="3A1C57DB" w14:textId="77777777" w:rsidR="004029C1" w:rsidRDefault="004029C1" w:rsidP="004029C1">
      <w:pPr>
        <w:pStyle w:val="Newparagraph"/>
        <w:ind w:firstLine="0"/>
        <w:jc w:val="both"/>
      </w:pPr>
    </w:p>
    <w:p w14:paraId="565C4385" w14:textId="77777777" w:rsidR="004029C1" w:rsidRDefault="004029C1" w:rsidP="004029C1">
      <w:pPr>
        <w:pStyle w:val="Newparagraph"/>
        <w:ind w:firstLine="0"/>
        <w:jc w:val="both"/>
      </w:pPr>
    </w:p>
    <w:p w14:paraId="1ABA68D5" w14:textId="6A3348C9" w:rsidR="004029C1" w:rsidRPr="00601136" w:rsidRDefault="004029C1" w:rsidP="004029C1">
      <w:pPr>
        <w:pStyle w:val="Newparagraph"/>
        <w:ind w:firstLine="0"/>
        <w:jc w:val="both"/>
      </w:pPr>
      <w:r w:rsidRPr="00601136">
        <w:lastRenderedPageBreak/>
        <w:t>Table 3. Publications for each eSAFE category.</w:t>
      </w:r>
    </w:p>
    <w:tbl>
      <w:tblPr>
        <w:tblStyle w:val="TableGrid"/>
        <w:tblW w:w="0" w:type="auto"/>
        <w:tblLook w:val="04A0" w:firstRow="1" w:lastRow="0" w:firstColumn="1" w:lastColumn="0" w:noHBand="0" w:noVBand="1"/>
      </w:tblPr>
      <w:tblGrid>
        <w:gridCol w:w="3601"/>
        <w:gridCol w:w="1864"/>
      </w:tblGrid>
      <w:tr w:rsidR="004029C1" w:rsidRPr="00601136" w14:paraId="0F35393B" w14:textId="77777777" w:rsidTr="00EA611C">
        <w:trPr>
          <w:trHeight w:val="400"/>
        </w:trPr>
        <w:tc>
          <w:tcPr>
            <w:tcW w:w="3601" w:type="dxa"/>
          </w:tcPr>
          <w:p w14:paraId="7C546B6C" w14:textId="376D4197" w:rsidR="004029C1" w:rsidRPr="00601136" w:rsidRDefault="004029C1" w:rsidP="00EA611C">
            <w:pPr>
              <w:pStyle w:val="Newparagraph"/>
              <w:spacing w:line="240" w:lineRule="auto"/>
              <w:ind w:firstLine="0"/>
              <w:rPr>
                <w:b/>
                <w:bCs/>
                <w:sz w:val="20"/>
                <w:szCs w:val="20"/>
              </w:rPr>
            </w:pPr>
            <w:r w:rsidRPr="00601136">
              <w:rPr>
                <w:b/>
                <w:bCs/>
                <w:sz w:val="20"/>
                <w:szCs w:val="20"/>
              </w:rPr>
              <w:t>eSAFE category</w:t>
            </w:r>
          </w:p>
        </w:tc>
        <w:tc>
          <w:tcPr>
            <w:tcW w:w="1864" w:type="dxa"/>
          </w:tcPr>
          <w:p w14:paraId="4DAA0957" w14:textId="77777777" w:rsidR="004029C1" w:rsidRPr="00601136" w:rsidRDefault="004029C1" w:rsidP="00EA611C">
            <w:pPr>
              <w:pStyle w:val="Bulletedlist"/>
              <w:numPr>
                <w:ilvl w:val="0"/>
                <w:numId w:val="0"/>
              </w:numPr>
              <w:spacing w:before="0" w:after="0" w:line="240" w:lineRule="auto"/>
              <w:ind w:left="720" w:hanging="360"/>
              <w:jc w:val="center"/>
              <w:rPr>
                <w:b/>
                <w:bCs/>
                <w:sz w:val="20"/>
                <w:szCs w:val="20"/>
              </w:rPr>
            </w:pPr>
            <w:r w:rsidRPr="00601136">
              <w:rPr>
                <w:b/>
                <w:bCs/>
                <w:sz w:val="20"/>
                <w:szCs w:val="20"/>
              </w:rPr>
              <w:t># of articles</w:t>
            </w:r>
          </w:p>
        </w:tc>
      </w:tr>
      <w:tr w:rsidR="004029C1" w:rsidRPr="00601136" w14:paraId="3A8C433F" w14:textId="77777777" w:rsidTr="00EA611C">
        <w:trPr>
          <w:trHeight w:val="375"/>
        </w:trPr>
        <w:tc>
          <w:tcPr>
            <w:tcW w:w="3601" w:type="dxa"/>
          </w:tcPr>
          <w:p w14:paraId="07E1521F" w14:textId="77777777" w:rsidR="004029C1" w:rsidRPr="00601136" w:rsidRDefault="004029C1" w:rsidP="00EA611C">
            <w:pPr>
              <w:pStyle w:val="Newparagraph"/>
              <w:spacing w:line="240" w:lineRule="auto"/>
              <w:ind w:firstLine="0"/>
              <w:rPr>
                <w:sz w:val="20"/>
                <w:szCs w:val="20"/>
              </w:rPr>
            </w:pPr>
            <w:r w:rsidRPr="00601136">
              <w:rPr>
                <w:sz w:val="20"/>
                <w:szCs w:val="20"/>
              </w:rPr>
              <w:t>Doping, Addiction</w:t>
            </w:r>
          </w:p>
        </w:tc>
        <w:tc>
          <w:tcPr>
            <w:tcW w:w="1864" w:type="dxa"/>
          </w:tcPr>
          <w:p w14:paraId="6A181FE3" w14:textId="77777777" w:rsidR="004029C1" w:rsidRPr="00601136" w:rsidRDefault="004029C1" w:rsidP="00EA611C">
            <w:pPr>
              <w:pStyle w:val="Newparagraph"/>
              <w:spacing w:line="240" w:lineRule="auto"/>
              <w:ind w:firstLine="0"/>
              <w:jc w:val="center"/>
              <w:rPr>
                <w:sz w:val="20"/>
                <w:szCs w:val="20"/>
              </w:rPr>
            </w:pPr>
            <w:r w:rsidRPr="00601136">
              <w:rPr>
                <w:sz w:val="20"/>
                <w:szCs w:val="20"/>
              </w:rPr>
              <w:t>17</w:t>
            </w:r>
          </w:p>
        </w:tc>
      </w:tr>
      <w:tr w:rsidR="004029C1" w:rsidRPr="00601136" w14:paraId="6642BDFA" w14:textId="77777777" w:rsidTr="00EA611C">
        <w:trPr>
          <w:trHeight w:val="375"/>
        </w:trPr>
        <w:tc>
          <w:tcPr>
            <w:tcW w:w="3601" w:type="dxa"/>
          </w:tcPr>
          <w:p w14:paraId="31FCA46D" w14:textId="77777777" w:rsidR="004029C1" w:rsidRPr="00601136" w:rsidRDefault="004029C1" w:rsidP="00EA611C">
            <w:pPr>
              <w:pStyle w:val="Newparagraph"/>
              <w:spacing w:line="240" w:lineRule="auto"/>
              <w:ind w:firstLine="0"/>
              <w:rPr>
                <w:sz w:val="20"/>
                <w:szCs w:val="20"/>
              </w:rPr>
            </w:pPr>
            <w:r w:rsidRPr="00601136">
              <w:rPr>
                <w:sz w:val="20"/>
                <w:szCs w:val="20"/>
              </w:rPr>
              <w:t>Foul Play, Match-Fixing, Violence, Abuse</w:t>
            </w:r>
          </w:p>
        </w:tc>
        <w:tc>
          <w:tcPr>
            <w:tcW w:w="1864" w:type="dxa"/>
          </w:tcPr>
          <w:p w14:paraId="443CA996" w14:textId="77777777" w:rsidR="004029C1" w:rsidRPr="00601136" w:rsidRDefault="004029C1" w:rsidP="00EA611C">
            <w:pPr>
              <w:pStyle w:val="Newparagraph"/>
              <w:spacing w:line="240" w:lineRule="auto"/>
              <w:ind w:firstLine="0"/>
              <w:jc w:val="center"/>
              <w:rPr>
                <w:sz w:val="20"/>
                <w:szCs w:val="20"/>
              </w:rPr>
            </w:pPr>
            <w:r w:rsidRPr="00601136">
              <w:rPr>
                <w:sz w:val="20"/>
                <w:szCs w:val="20"/>
              </w:rPr>
              <w:t>12</w:t>
            </w:r>
          </w:p>
        </w:tc>
      </w:tr>
      <w:tr w:rsidR="004029C1" w:rsidRPr="00601136" w14:paraId="7FCFAED4" w14:textId="77777777" w:rsidTr="00EA611C">
        <w:trPr>
          <w:trHeight w:val="366"/>
        </w:trPr>
        <w:tc>
          <w:tcPr>
            <w:tcW w:w="3601" w:type="dxa"/>
          </w:tcPr>
          <w:p w14:paraId="297EFB89" w14:textId="77777777" w:rsidR="004029C1" w:rsidRPr="00601136" w:rsidRDefault="004029C1" w:rsidP="00EA611C">
            <w:pPr>
              <w:pStyle w:val="Newparagraph"/>
              <w:spacing w:line="240" w:lineRule="auto"/>
              <w:ind w:firstLine="0"/>
              <w:rPr>
                <w:sz w:val="20"/>
                <w:szCs w:val="20"/>
              </w:rPr>
            </w:pPr>
            <w:r w:rsidRPr="00601136">
              <w:rPr>
                <w:sz w:val="20"/>
                <w:szCs w:val="20"/>
              </w:rPr>
              <w:t>e-doping</w:t>
            </w:r>
          </w:p>
        </w:tc>
        <w:tc>
          <w:tcPr>
            <w:tcW w:w="1864" w:type="dxa"/>
          </w:tcPr>
          <w:p w14:paraId="078476D6" w14:textId="77777777" w:rsidR="004029C1" w:rsidRPr="00601136" w:rsidRDefault="004029C1" w:rsidP="00EA611C">
            <w:pPr>
              <w:pStyle w:val="Newparagraph"/>
              <w:spacing w:line="240" w:lineRule="auto"/>
              <w:ind w:firstLine="0"/>
              <w:jc w:val="center"/>
              <w:rPr>
                <w:sz w:val="20"/>
                <w:szCs w:val="20"/>
              </w:rPr>
            </w:pPr>
            <w:r w:rsidRPr="00601136">
              <w:rPr>
                <w:sz w:val="20"/>
                <w:szCs w:val="20"/>
              </w:rPr>
              <w:t>8</w:t>
            </w:r>
          </w:p>
        </w:tc>
      </w:tr>
      <w:tr w:rsidR="004029C1" w:rsidRPr="00601136" w14:paraId="331E9AFF" w14:textId="77777777" w:rsidTr="00EA611C">
        <w:trPr>
          <w:trHeight w:val="375"/>
        </w:trPr>
        <w:tc>
          <w:tcPr>
            <w:tcW w:w="3601" w:type="dxa"/>
          </w:tcPr>
          <w:p w14:paraId="5D72F8F8" w14:textId="77777777" w:rsidR="004029C1" w:rsidRPr="00601136" w:rsidRDefault="004029C1" w:rsidP="00EA611C">
            <w:pPr>
              <w:pStyle w:val="Newparagraph"/>
              <w:spacing w:line="240" w:lineRule="auto"/>
              <w:ind w:firstLine="0"/>
              <w:rPr>
                <w:sz w:val="20"/>
                <w:szCs w:val="20"/>
              </w:rPr>
            </w:pPr>
            <w:r w:rsidRPr="00601136">
              <w:rPr>
                <w:sz w:val="20"/>
                <w:szCs w:val="20"/>
              </w:rPr>
              <w:t>Lack of Ethics, Bribery, Trafficking, Poor Governance</w:t>
            </w:r>
          </w:p>
        </w:tc>
        <w:tc>
          <w:tcPr>
            <w:tcW w:w="1864" w:type="dxa"/>
          </w:tcPr>
          <w:p w14:paraId="1EC628F9" w14:textId="77777777" w:rsidR="004029C1" w:rsidRPr="00601136" w:rsidRDefault="004029C1" w:rsidP="00EA611C">
            <w:pPr>
              <w:pStyle w:val="Newparagraph"/>
              <w:spacing w:line="240" w:lineRule="auto"/>
              <w:ind w:firstLine="0"/>
              <w:jc w:val="center"/>
              <w:rPr>
                <w:sz w:val="20"/>
                <w:szCs w:val="20"/>
              </w:rPr>
            </w:pPr>
            <w:r w:rsidRPr="00601136">
              <w:rPr>
                <w:sz w:val="20"/>
                <w:szCs w:val="20"/>
              </w:rPr>
              <w:t>8</w:t>
            </w:r>
          </w:p>
        </w:tc>
      </w:tr>
      <w:tr w:rsidR="004029C1" w:rsidRPr="00601136" w14:paraId="5400A806" w14:textId="77777777" w:rsidTr="00EA611C">
        <w:trPr>
          <w:trHeight w:val="366"/>
        </w:trPr>
        <w:tc>
          <w:tcPr>
            <w:tcW w:w="3601" w:type="dxa"/>
          </w:tcPr>
          <w:p w14:paraId="382CE781" w14:textId="77777777" w:rsidR="004029C1" w:rsidRPr="00601136" w:rsidRDefault="004029C1" w:rsidP="00EA611C">
            <w:pPr>
              <w:pStyle w:val="Newparagraph"/>
              <w:spacing w:line="240" w:lineRule="auto"/>
              <w:ind w:firstLine="0"/>
              <w:rPr>
                <w:sz w:val="20"/>
                <w:szCs w:val="20"/>
              </w:rPr>
            </w:pPr>
            <w:r w:rsidRPr="00601136">
              <w:rPr>
                <w:sz w:val="20"/>
                <w:szCs w:val="20"/>
              </w:rPr>
              <w:t>Bad Sustainability, Gigantism</w:t>
            </w:r>
          </w:p>
        </w:tc>
        <w:tc>
          <w:tcPr>
            <w:tcW w:w="1864" w:type="dxa"/>
          </w:tcPr>
          <w:p w14:paraId="2DBA028D" w14:textId="77777777" w:rsidR="004029C1" w:rsidRPr="00601136" w:rsidRDefault="004029C1" w:rsidP="00EA611C">
            <w:pPr>
              <w:pStyle w:val="Newparagraph"/>
              <w:spacing w:line="240" w:lineRule="auto"/>
              <w:ind w:firstLine="0"/>
              <w:jc w:val="center"/>
              <w:rPr>
                <w:sz w:val="20"/>
                <w:szCs w:val="20"/>
              </w:rPr>
            </w:pPr>
            <w:r w:rsidRPr="00601136">
              <w:rPr>
                <w:sz w:val="20"/>
                <w:szCs w:val="20"/>
              </w:rPr>
              <w:t>2</w:t>
            </w:r>
          </w:p>
        </w:tc>
      </w:tr>
    </w:tbl>
    <w:p w14:paraId="383ACEFD" w14:textId="77777777" w:rsidR="004029C1" w:rsidRDefault="004029C1" w:rsidP="004029C1">
      <w:pPr>
        <w:rPr>
          <w:rFonts w:ascii="Times New Roman" w:hAnsi="Times New Roman" w:cs="Times New Roman"/>
          <w:sz w:val="22"/>
          <w:szCs w:val="22"/>
        </w:rPr>
      </w:pPr>
    </w:p>
    <w:p w14:paraId="3B6DE065" w14:textId="77777777" w:rsidR="004029C1" w:rsidRDefault="004029C1" w:rsidP="004029C1">
      <w:pPr>
        <w:rPr>
          <w:rFonts w:ascii="Times New Roman" w:hAnsi="Times New Roman" w:cs="Times New Roman"/>
          <w:sz w:val="22"/>
          <w:szCs w:val="22"/>
        </w:rPr>
      </w:pPr>
    </w:p>
    <w:p w14:paraId="030822B4" w14:textId="77777777" w:rsidR="004029C1" w:rsidRDefault="004029C1" w:rsidP="004029C1">
      <w:pPr>
        <w:rPr>
          <w:rFonts w:ascii="Times New Roman" w:hAnsi="Times New Roman" w:cs="Times New Roman"/>
          <w:sz w:val="22"/>
          <w:szCs w:val="22"/>
        </w:rPr>
      </w:pPr>
    </w:p>
    <w:p w14:paraId="1C969015" w14:textId="77777777" w:rsidR="004029C1" w:rsidRDefault="004029C1" w:rsidP="004029C1">
      <w:pPr>
        <w:rPr>
          <w:rFonts w:ascii="Times New Roman" w:hAnsi="Times New Roman" w:cs="Times New Roman"/>
          <w:sz w:val="22"/>
          <w:szCs w:val="22"/>
        </w:rPr>
      </w:pPr>
    </w:p>
    <w:p w14:paraId="547BA363" w14:textId="77777777" w:rsidR="004029C1" w:rsidRDefault="004029C1" w:rsidP="004029C1">
      <w:pPr>
        <w:rPr>
          <w:rFonts w:ascii="Times New Roman" w:hAnsi="Times New Roman" w:cs="Times New Roman"/>
          <w:sz w:val="22"/>
          <w:szCs w:val="22"/>
        </w:rPr>
      </w:pPr>
    </w:p>
    <w:p w14:paraId="481FEFB5" w14:textId="77777777" w:rsidR="004029C1" w:rsidRDefault="004029C1" w:rsidP="004029C1">
      <w:pPr>
        <w:rPr>
          <w:rFonts w:ascii="Times New Roman" w:hAnsi="Times New Roman" w:cs="Times New Roman"/>
          <w:sz w:val="22"/>
          <w:szCs w:val="22"/>
        </w:rPr>
      </w:pPr>
    </w:p>
    <w:p w14:paraId="6EBA02A7" w14:textId="77777777" w:rsidR="004029C1" w:rsidRDefault="004029C1" w:rsidP="004029C1">
      <w:pPr>
        <w:rPr>
          <w:rFonts w:ascii="Times New Roman" w:hAnsi="Times New Roman" w:cs="Times New Roman"/>
          <w:sz w:val="22"/>
          <w:szCs w:val="22"/>
        </w:rPr>
      </w:pPr>
    </w:p>
    <w:p w14:paraId="5D7F274F" w14:textId="77777777" w:rsidR="004029C1" w:rsidRDefault="004029C1" w:rsidP="004029C1">
      <w:pPr>
        <w:rPr>
          <w:rFonts w:ascii="Times New Roman" w:hAnsi="Times New Roman" w:cs="Times New Roman"/>
          <w:sz w:val="22"/>
          <w:szCs w:val="22"/>
        </w:rPr>
      </w:pPr>
    </w:p>
    <w:p w14:paraId="7F2A8B2E" w14:textId="77777777" w:rsidR="004029C1" w:rsidRDefault="004029C1" w:rsidP="004029C1">
      <w:pPr>
        <w:rPr>
          <w:rFonts w:ascii="Times New Roman" w:hAnsi="Times New Roman" w:cs="Times New Roman"/>
          <w:sz w:val="22"/>
          <w:szCs w:val="22"/>
        </w:rPr>
      </w:pPr>
    </w:p>
    <w:p w14:paraId="5B30DACA" w14:textId="77777777" w:rsidR="004029C1" w:rsidRDefault="004029C1" w:rsidP="004029C1">
      <w:pPr>
        <w:rPr>
          <w:rFonts w:ascii="Times New Roman" w:hAnsi="Times New Roman" w:cs="Times New Roman"/>
          <w:sz w:val="22"/>
          <w:szCs w:val="22"/>
        </w:rPr>
      </w:pPr>
    </w:p>
    <w:p w14:paraId="30D1E771" w14:textId="77777777" w:rsidR="004029C1" w:rsidRDefault="004029C1" w:rsidP="004029C1">
      <w:pPr>
        <w:rPr>
          <w:rFonts w:ascii="Times New Roman" w:hAnsi="Times New Roman" w:cs="Times New Roman"/>
          <w:sz w:val="22"/>
          <w:szCs w:val="22"/>
        </w:rPr>
      </w:pPr>
    </w:p>
    <w:p w14:paraId="0277ECA1" w14:textId="77777777" w:rsidR="004029C1" w:rsidRDefault="004029C1" w:rsidP="004029C1">
      <w:pPr>
        <w:rPr>
          <w:rFonts w:ascii="Times New Roman" w:hAnsi="Times New Roman" w:cs="Times New Roman"/>
          <w:sz w:val="22"/>
          <w:szCs w:val="22"/>
        </w:rPr>
      </w:pPr>
    </w:p>
    <w:p w14:paraId="7D233E93" w14:textId="77777777" w:rsidR="004029C1" w:rsidRDefault="004029C1" w:rsidP="004029C1">
      <w:pPr>
        <w:rPr>
          <w:rFonts w:ascii="Times New Roman" w:hAnsi="Times New Roman" w:cs="Times New Roman"/>
          <w:sz w:val="22"/>
          <w:szCs w:val="22"/>
        </w:rPr>
      </w:pPr>
    </w:p>
    <w:p w14:paraId="2E094B22" w14:textId="77777777" w:rsidR="004029C1" w:rsidRDefault="004029C1" w:rsidP="004029C1">
      <w:pPr>
        <w:rPr>
          <w:rFonts w:ascii="Times New Roman" w:hAnsi="Times New Roman" w:cs="Times New Roman"/>
          <w:sz w:val="22"/>
          <w:szCs w:val="22"/>
        </w:rPr>
      </w:pPr>
    </w:p>
    <w:p w14:paraId="0F55ABD1" w14:textId="77777777" w:rsidR="004029C1" w:rsidRDefault="004029C1" w:rsidP="004029C1">
      <w:pPr>
        <w:rPr>
          <w:rFonts w:ascii="Times New Roman" w:hAnsi="Times New Roman" w:cs="Times New Roman"/>
          <w:sz w:val="22"/>
          <w:szCs w:val="22"/>
        </w:rPr>
      </w:pPr>
    </w:p>
    <w:p w14:paraId="5FB3C819" w14:textId="77777777" w:rsidR="004029C1" w:rsidRDefault="004029C1" w:rsidP="004029C1">
      <w:pPr>
        <w:rPr>
          <w:rFonts w:ascii="Times New Roman" w:hAnsi="Times New Roman" w:cs="Times New Roman"/>
          <w:sz w:val="22"/>
          <w:szCs w:val="22"/>
        </w:rPr>
      </w:pPr>
    </w:p>
    <w:p w14:paraId="02125BCF" w14:textId="77777777" w:rsidR="004029C1" w:rsidRDefault="004029C1" w:rsidP="004029C1">
      <w:pPr>
        <w:rPr>
          <w:rFonts w:ascii="Times New Roman" w:hAnsi="Times New Roman" w:cs="Times New Roman"/>
          <w:sz w:val="22"/>
          <w:szCs w:val="22"/>
        </w:rPr>
      </w:pPr>
    </w:p>
    <w:p w14:paraId="0AABE11F" w14:textId="77777777" w:rsidR="004029C1" w:rsidRDefault="004029C1" w:rsidP="004029C1">
      <w:pPr>
        <w:rPr>
          <w:rFonts w:ascii="Times New Roman" w:hAnsi="Times New Roman" w:cs="Times New Roman"/>
          <w:sz w:val="22"/>
          <w:szCs w:val="22"/>
        </w:rPr>
      </w:pPr>
    </w:p>
    <w:p w14:paraId="26521F75" w14:textId="77777777" w:rsidR="004029C1" w:rsidRDefault="004029C1" w:rsidP="004029C1">
      <w:pPr>
        <w:rPr>
          <w:rFonts w:ascii="Times New Roman" w:hAnsi="Times New Roman" w:cs="Times New Roman"/>
          <w:sz w:val="22"/>
          <w:szCs w:val="22"/>
        </w:rPr>
      </w:pPr>
    </w:p>
    <w:p w14:paraId="4E410755" w14:textId="77777777" w:rsidR="004029C1" w:rsidRDefault="004029C1" w:rsidP="004029C1">
      <w:pPr>
        <w:rPr>
          <w:rFonts w:ascii="Times New Roman" w:hAnsi="Times New Roman" w:cs="Times New Roman"/>
          <w:sz w:val="22"/>
          <w:szCs w:val="22"/>
        </w:rPr>
      </w:pPr>
    </w:p>
    <w:p w14:paraId="6CF415E0" w14:textId="77777777" w:rsidR="004029C1" w:rsidRDefault="004029C1" w:rsidP="004029C1">
      <w:pPr>
        <w:rPr>
          <w:rFonts w:ascii="Times New Roman" w:hAnsi="Times New Roman" w:cs="Times New Roman"/>
          <w:sz w:val="22"/>
          <w:szCs w:val="22"/>
        </w:rPr>
      </w:pPr>
    </w:p>
    <w:p w14:paraId="4AD0D684" w14:textId="77777777" w:rsidR="004029C1" w:rsidRDefault="004029C1" w:rsidP="004029C1">
      <w:pPr>
        <w:rPr>
          <w:rFonts w:ascii="Times New Roman" w:hAnsi="Times New Roman" w:cs="Times New Roman"/>
          <w:sz w:val="22"/>
          <w:szCs w:val="22"/>
        </w:rPr>
      </w:pPr>
    </w:p>
    <w:p w14:paraId="67121BB0" w14:textId="77777777" w:rsidR="004029C1" w:rsidRDefault="004029C1" w:rsidP="004029C1">
      <w:pPr>
        <w:rPr>
          <w:rFonts w:ascii="Times New Roman" w:hAnsi="Times New Roman" w:cs="Times New Roman"/>
          <w:sz w:val="22"/>
          <w:szCs w:val="22"/>
        </w:rPr>
      </w:pPr>
    </w:p>
    <w:p w14:paraId="43238D76" w14:textId="77777777" w:rsidR="004029C1" w:rsidRPr="00601136" w:rsidRDefault="004029C1" w:rsidP="004029C1">
      <w:pPr>
        <w:pStyle w:val="Paragraph"/>
      </w:pPr>
      <w:r w:rsidRPr="00793FA5">
        <w:lastRenderedPageBreak/>
        <w:t>Table 4: Key features of articles with general integrity in esports focus</w:t>
      </w:r>
    </w:p>
    <w:tbl>
      <w:tblPr>
        <w:tblStyle w:val="TableGrid"/>
        <w:tblW w:w="14029" w:type="dxa"/>
        <w:tblLayout w:type="fixed"/>
        <w:tblLook w:val="04A0" w:firstRow="1" w:lastRow="0" w:firstColumn="1" w:lastColumn="0" w:noHBand="0" w:noVBand="1"/>
      </w:tblPr>
      <w:tblGrid>
        <w:gridCol w:w="1776"/>
        <w:gridCol w:w="2755"/>
        <w:gridCol w:w="1701"/>
        <w:gridCol w:w="1560"/>
        <w:gridCol w:w="6237"/>
      </w:tblGrid>
      <w:tr w:rsidR="004029C1" w:rsidRPr="00601136" w14:paraId="2EADF2AA" w14:textId="77777777" w:rsidTr="00EA611C">
        <w:tc>
          <w:tcPr>
            <w:tcW w:w="1776" w:type="dxa"/>
          </w:tcPr>
          <w:p w14:paraId="45F6C1A2"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Author/Year</w:t>
            </w:r>
          </w:p>
        </w:tc>
        <w:tc>
          <w:tcPr>
            <w:tcW w:w="2755" w:type="dxa"/>
          </w:tcPr>
          <w:p w14:paraId="266F2E8F"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Publication</w:t>
            </w:r>
          </w:p>
        </w:tc>
        <w:tc>
          <w:tcPr>
            <w:tcW w:w="1701" w:type="dxa"/>
          </w:tcPr>
          <w:p w14:paraId="1259DB19"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Theme</w:t>
            </w:r>
          </w:p>
        </w:tc>
        <w:tc>
          <w:tcPr>
            <w:tcW w:w="1560" w:type="dxa"/>
          </w:tcPr>
          <w:p w14:paraId="1C371BEF"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Method</w:t>
            </w:r>
          </w:p>
        </w:tc>
        <w:tc>
          <w:tcPr>
            <w:tcW w:w="6237" w:type="dxa"/>
          </w:tcPr>
          <w:p w14:paraId="09376F1A"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Key findings</w:t>
            </w:r>
          </w:p>
        </w:tc>
      </w:tr>
      <w:tr w:rsidR="004029C1" w:rsidRPr="00601136" w14:paraId="71666031" w14:textId="77777777" w:rsidTr="00EA611C">
        <w:tc>
          <w:tcPr>
            <w:tcW w:w="1776" w:type="dxa"/>
          </w:tcPr>
          <w:p w14:paraId="624342C4"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Toomey (2019)</w:t>
            </w:r>
          </w:p>
        </w:tc>
        <w:tc>
          <w:tcPr>
            <w:tcW w:w="2755" w:type="dxa"/>
          </w:tcPr>
          <w:p w14:paraId="49653F55"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GLR</w:t>
            </w:r>
          </w:p>
        </w:tc>
        <w:tc>
          <w:tcPr>
            <w:tcW w:w="1701" w:type="dxa"/>
          </w:tcPr>
          <w:p w14:paraId="4C3B6975"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Integrity threats</w:t>
            </w:r>
          </w:p>
        </w:tc>
        <w:tc>
          <w:tcPr>
            <w:tcW w:w="1560" w:type="dxa"/>
          </w:tcPr>
          <w:p w14:paraId="1E499595"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07FC3413"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Suggests measures to protect the integrity of esports.</w:t>
            </w:r>
          </w:p>
        </w:tc>
      </w:tr>
      <w:tr w:rsidR="004029C1" w:rsidRPr="00601136" w14:paraId="5F996F09" w14:textId="77777777" w:rsidTr="00EA611C">
        <w:tc>
          <w:tcPr>
            <w:tcW w:w="1776" w:type="dxa"/>
          </w:tcPr>
          <w:p w14:paraId="7F8526D7"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Czegledy (2021)</w:t>
            </w:r>
          </w:p>
        </w:tc>
        <w:tc>
          <w:tcPr>
            <w:tcW w:w="2755" w:type="dxa"/>
          </w:tcPr>
          <w:p w14:paraId="32300DC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GLR</w:t>
            </w:r>
          </w:p>
        </w:tc>
        <w:tc>
          <w:tcPr>
            <w:tcW w:w="1701" w:type="dxa"/>
          </w:tcPr>
          <w:p w14:paraId="788E498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Integrity policies</w:t>
            </w:r>
          </w:p>
        </w:tc>
        <w:tc>
          <w:tcPr>
            <w:tcW w:w="1560" w:type="dxa"/>
          </w:tcPr>
          <w:p w14:paraId="05A710D8"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753DD175"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A wide distribution of integrity policies in terms of both the subject matter addressed and the approach taken.</w:t>
            </w:r>
          </w:p>
        </w:tc>
      </w:tr>
      <w:tr w:rsidR="004029C1" w:rsidRPr="00601136" w14:paraId="5B114EFC" w14:textId="77777777" w:rsidTr="00EA611C">
        <w:tc>
          <w:tcPr>
            <w:tcW w:w="1776" w:type="dxa"/>
          </w:tcPr>
          <w:p w14:paraId="1C459E17"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Czako et al. (2023)</w:t>
            </w:r>
          </w:p>
        </w:tc>
        <w:tc>
          <w:tcPr>
            <w:tcW w:w="2755" w:type="dxa"/>
          </w:tcPr>
          <w:p w14:paraId="35CE8876"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Journal of Behavioral Addictions</w:t>
            </w:r>
          </w:p>
        </w:tc>
        <w:tc>
          <w:tcPr>
            <w:tcW w:w="1701" w:type="dxa"/>
          </w:tcPr>
          <w:p w14:paraId="4F55E1DF"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Issues and policy recommendations</w:t>
            </w:r>
          </w:p>
        </w:tc>
        <w:tc>
          <w:tcPr>
            <w:tcW w:w="1560" w:type="dxa"/>
          </w:tcPr>
          <w:p w14:paraId="2CC6FB09"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689945A2"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Provides integrity policy recommendations, and suggests policy makers to work together with researchers.</w:t>
            </w:r>
          </w:p>
        </w:tc>
      </w:tr>
      <w:tr w:rsidR="004029C1" w:rsidRPr="00601136" w14:paraId="50CD98D0" w14:textId="77777777" w:rsidTr="00EA611C">
        <w:tc>
          <w:tcPr>
            <w:tcW w:w="1776" w:type="dxa"/>
          </w:tcPr>
          <w:p w14:paraId="42101268"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Brickell (2017)</w:t>
            </w:r>
          </w:p>
        </w:tc>
        <w:tc>
          <w:tcPr>
            <w:tcW w:w="2755" w:type="dxa"/>
          </w:tcPr>
          <w:p w14:paraId="7D9EF918"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GLR</w:t>
            </w:r>
          </w:p>
        </w:tc>
        <w:tc>
          <w:tcPr>
            <w:tcW w:w="1701" w:type="dxa"/>
          </w:tcPr>
          <w:p w14:paraId="56C6FB56"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 xml:space="preserve">Integrity and regulatory risks </w:t>
            </w:r>
          </w:p>
        </w:tc>
        <w:tc>
          <w:tcPr>
            <w:tcW w:w="1560" w:type="dxa"/>
          </w:tcPr>
          <w:p w14:paraId="2AA5088E"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18460229"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Addresses integrity and regulatory risks in esports.</w:t>
            </w:r>
          </w:p>
        </w:tc>
      </w:tr>
      <w:tr w:rsidR="004029C1" w:rsidRPr="00601136" w14:paraId="32736116" w14:textId="77777777" w:rsidTr="00EA611C">
        <w:tc>
          <w:tcPr>
            <w:tcW w:w="1776" w:type="dxa"/>
          </w:tcPr>
          <w:p w14:paraId="7A6C4D0F"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Johri (2020)</w:t>
            </w:r>
          </w:p>
        </w:tc>
        <w:tc>
          <w:tcPr>
            <w:tcW w:w="2755" w:type="dxa"/>
          </w:tcPr>
          <w:p w14:paraId="27D52F10"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Journal of Sports Law, Policy and Governance</w:t>
            </w:r>
          </w:p>
        </w:tc>
        <w:tc>
          <w:tcPr>
            <w:tcW w:w="1701" w:type="dxa"/>
          </w:tcPr>
          <w:p w14:paraId="387B40F8"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 xml:space="preserve">Integrity threats and governance </w:t>
            </w:r>
          </w:p>
        </w:tc>
        <w:tc>
          <w:tcPr>
            <w:tcW w:w="1560" w:type="dxa"/>
          </w:tcPr>
          <w:p w14:paraId="6B7840DC"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7F5D1ECB"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Provides policy recommendations on integrity threats and governance issues in esports.</w:t>
            </w:r>
          </w:p>
        </w:tc>
      </w:tr>
      <w:tr w:rsidR="004029C1" w:rsidRPr="00601136" w14:paraId="57F6C51F" w14:textId="77777777" w:rsidTr="00EA611C">
        <w:tc>
          <w:tcPr>
            <w:tcW w:w="1776" w:type="dxa"/>
          </w:tcPr>
          <w:p w14:paraId="0F604EE7"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Gurav (2021)</w:t>
            </w:r>
          </w:p>
        </w:tc>
        <w:tc>
          <w:tcPr>
            <w:tcW w:w="2755" w:type="dxa"/>
          </w:tcPr>
          <w:p w14:paraId="7CBFB973"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International Journal of Law Management &amp; Humanities</w:t>
            </w:r>
          </w:p>
        </w:tc>
        <w:tc>
          <w:tcPr>
            <w:tcW w:w="1701" w:type="dxa"/>
          </w:tcPr>
          <w:p w14:paraId="623A6032"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 xml:space="preserve">Integrity threats and regulatory issues </w:t>
            </w:r>
          </w:p>
        </w:tc>
        <w:tc>
          <w:tcPr>
            <w:tcW w:w="1560" w:type="dxa"/>
          </w:tcPr>
          <w:p w14:paraId="74893BE5"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4FCBC94F"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Recommends regulations to combat integrity threats and regulatory issues; suggests arbitration as dispute resolution mechanisms in esports.</w:t>
            </w:r>
          </w:p>
        </w:tc>
      </w:tr>
      <w:tr w:rsidR="004029C1" w:rsidRPr="00601136" w14:paraId="7FF902FF" w14:textId="77777777" w:rsidTr="00EA611C">
        <w:tc>
          <w:tcPr>
            <w:tcW w:w="1776" w:type="dxa"/>
          </w:tcPr>
          <w:p w14:paraId="30F525E8"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Sahin (2023)</w:t>
            </w:r>
          </w:p>
        </w:tc>
        <w:tc>
          <w:tcPr>
            <w:tcW w:w="2755" w:type="dxa"/>
          </w:tcPr>
          <w:p w14:paraId="47BC017C"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Journal of ROL Sports Sciences</w:t>
            </w:r>
          </w:p>
        </w:tc>
        <w:tc>
          <w:tcPr>
            <w:tcW w:w="1701" w:type="dxa"/>
          </w:tcPr>
          <w:p w14:paraId="1291C179"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Esports growth, revenue streams and threats</w:t>
            </w:r>
          </w:p>
        </w:tc>
        <w:tc>
          <w:tcPr>
            <w:tcW w:w="1560" w:type="dxa"/>
          </w:tcPr>
          <w:p w14:paraId="7CB8071C"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237" w:type="dxa"/>
          </w:tcPr>
          <w:p w14:paraId="3AF5BA4E"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Lack of regulations to be considered as a weakness, and integrity issues to be considered both as a weakness and as a threat following SWOT analysis.</w:t>
            </w:r>
          </w:p>
        </w:tc>
      </w:tr>
      <w:tr w:rsidR="004029C1" w:rsidRPr="00601136" w14:paraId="1374B35B" w14:textId="77777777" w:rsidTr="00EA611C">
        <w:tc>
          <w:tcPr>
            <w:tcW w:w="1776" w:type="dxa"/>
          </w:tcPr>
          <w:p w14:paraId="0EF4E77A"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Ghoshal (2019)</w:t>
            </w:r>
          </w:p>
        </w:tc>
        <w:tc>
          <w:tcPr>
            <w:tcW w:w="2755" w:type="dxa"/>
          </w:tcPr>
          <w:p w14:paraId="6460EA17"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GLR</w:t>
            </w:r>
          </w:p>
        </w:tc>
        <w:tc>
          <w:tcPr>
            <w:tcW w:w="1701" w:type="dxa"/>
          </w:tcPr>
          <w:p w14:paraId="75016C17"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Ethics in esports</w:t>
            </w:r>
          </w:p>
        </w:tc>
        <w:tc>
          <w:tcPr>
            <w:tcW w:w="1560" w:type="dxa"/>
          </w:tcPr>
          <w:p w14:paraId="529C923C"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5BA2E694"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Reforms are necessary, and governments should recognise esports as sports for the existing sports regulatory regime to apply.</w:t>
            </w:r>
          </w:p>
        </w:tc>
      </w:tr>
      <w:tr w:rsidR="004029C1" w:rsidRPr="00601136" w14:paraId="6F16F1D9" w14:textId="77777777" w:rsidTr="00EA611C">
        <w:tc>
          <w:tcPr>
            <w:tcW w:w="1776" w:type="dxa"/>
          </w:tcPr>
          <w:p w14:paraId="7F1159A2"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Deller </w:t>
            </w:r>
            <w:r>
              <w:rPr>
                <w:rFonts w:ascii="Times New Roman" w:eastAsiaTheme="minorHAnsi" w:hAnsi="Times New Roman" w:cs="Times New Roman"/>
                <w:kern w:val="0"/>
                <w:sz w:val="20"/>
                <w:szCs w:val="20"/>
              </w:rPr>
              <w:t>&amp;</w:t>
            </w:r>
            <w:r w:rsidRPr="00601136">
              <w:rPr>
                <w:rFonts w:ascii="Times New Roman" w:eastAsiaTheme="minorHAnsi" w:hAnsi="Times New Roman" w:cs="Times New Roman"/>
                <w:kern w:val="0"/>
                <w:sz w:val="20"/>
                <w:szCs w:val="20"/>
              </w:rPr>
              <w:t xml:space="preserve"> Bush (2021)</w:t>
            </w:r>
          </w:p>
        </w:tc>
        <w:tc>
          <w:tcPr>
            <w:tcW w:w="2755" w:type="dxa"/>
          </w:tcPr>
          <w:p w14:paraId="57A8A92A"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Book chapter – Sport: Law and Practice</w:t>
            </w:r>
          </w:p>
        </w:tc>
        <w:tc>
          <w:tcPr>
            <w:tcW w:w="1701" w:type="dxa"/>
          </w:tcPr>
          <w:p w14:paraId="7C6EA046"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Esports Law</w:t>
            </w:r>
          </w:p>
        </w:tc>
        <w:tc>
          <w:tcPr>
            <w:tcW w:w="1560" w:type="dxa"/>
          </w:tcPr>
          <w:p w14:paraId="3B078C79"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237" w:type="dxa"/>
          </w:tcPr>
          <w:p w14:paraId="2BA4DF4A"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Description of the esports industry from a legal and regulatory perspective, including integrity threats and issues. </w:t>
            </w:r>
          </w:p>
        </w:tc>
      </w:tr>
      <w:tr w:rsidR="004029C1" w:rsidRPr="00601136" w14:paraId="37CE38D3" w14:textId="77777777" w:rsidTr="00EA611C">
        <w:tc>
          <w:tcPr>
            <w:tcW w:w="1776" w:type="dxa"/>
          </w:tcPr>
          <w:p w14:paraId="5E48F51C"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Schöber </w:t>
            </w:r>
            <w:r>
              <w:rPr>
                <w:rFonts w:ascii="Times New Roman" w:eastAsiaTheme="minorHAnsi" w:hAnsi="Times New Roman" w:cs="Times New Roman"/>
                <w:kern w:val="0"/>
                <w:sz w:val="20"/>
                <w:szCs w:val="20"/>
              </w:rPr>
              <w:t xml:space="preserve">&amp; </w:t>
            </w:r>
            <w:r w:rsidRPr="00601136">
              <w:rPr>
                <w:rFonts w:ascii="Times New Roman" w:eastAsiaTheme="minorHAnsi" w:hAnsi="Times New Roman" w:cs="Times New Roman"/>
                <w:kern w:val="0"/>
                <w:sz w:val="20"/>
                <w:szCs w:val="20"/>
              </w:rPr>
              <w:t>Stadtmann (2022)</w:t>
            </w:r>
          </w:p>
        </w:tc>
        <w:tc>
          <w:tcPr>
            <w:tcW w:w="2755" w:type="dxa"/>
          </w:tcPr>
          <w:p w14:paraId="2FF026F0"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Journal article – International Journal of Esports</w:t>
            </w:r>
          </w:p>
        </w:tc>
        <w:tc>
          <w:tcPr>
            <w:tcW w:w="1701" w:type="dxa"/>
          </w:tcPr>
          <w:p w14:paraId="2B129104" w14:textId="77777777" w:rsidR="004029C1" w:rsidRPr="00601136"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Integrity threats</w:t>
            </w:r>
          </w:p>
        </w:tc>
        <w:tc>
          <w:tcPr>
            <w:tcW w:w="1560" w:type="dxa"/>
          </w:tcPr>
          <w:p w14:paraId="02521967" w14:textId="77777777" w:rsidR="004029C1" w:rsidRPr="00601136" w:rsidRDefault="004029C1" w:rsidP="00EA611C">
            <w:pPr>
              <w:rPr>
                <w:rFonts w:ascii="Times New Roman" w:hAnsi="Times New Roman" w:cs="Times New Roman"/>
                <w:sz w:val="20"/>
                <w:szCs w:val="20"/>
              </w:rPr>
            </w:pPr>
            <w:r>
              <w:rPr>
                <w:rFonts w:ascii="Times New Roman" w:hAnsi="Times New Roman" w:cs="Times New Roman"/>
                <w:sz w:val="20"/>
                <w:szCs w:val="20"/>
              </w:rPr>
              <w:t>Mixed Methods</w:t>
            </w:r>
          </w:p>
        </w:tc>
        <w:tc>
          <w:tcPr>
            <w:tcW w:w="6237" w:type="dxa"/>
          </w:tcPr>
          <w:p w14:paraId="22A53AD1"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Presents an overview of cheating, doping, and match-fixing in esports. </w:t>
            </w:r>
          </w:p>
        </w:tc>
      </w:tr>
    </w:tbl>
    <w:p w14:paraId="7D66B969" w14:textId="77777777" w:rsidR="004029C1" w:rsidRDefault="004029C1" w:rsidP="004029C1">
      <w:pPr>
        <w:pStyle w:val="Paragraph"/>
      </w:pPr>
    </w:p>
    <w:p w14:paraId="3DC9AC27" w14:textId="77777777" w:rsidR="004029C1" w:rsidRDefault="004029C1" w:rsidP="004029C1">
      <w:pPr>
        <w:pStyle w:val="Newparagraph"/>
      </w:pPr>
    </w:p>
    <w:p w14:paraId="7013F15D" w14:textId="77777777" w:rsidR="004029C1" w:rsidRDefault="004029C1" w:rsidP="004029C1">
      <w:pPr>
        <w:pStyle w:val="Newparagraph"/>
      </w:pPr>
    </w:p>
    <w:p w14:paraId="7B5B4408" w14:textId="77777777" w:rsidR="004029C1" w:rsidRDefault="004029C1" w:rsidP="004029C1">
      <w:pPr>
        <w:pStyle w:val="Newparagraph"/>
      </w:pPr>
    </w:p>
    <w:p w14:paraId="03968443" w14:textId="77777777" w:rsidR="004029C1" w:rsidRPr="004029C1" w:rsidRDefault="004029C1" w:rsidP="004029C1">
      <w:pPr>
        <w:pStyle w:val="Newparagraph"/>
      </w:pPr>
    </w:p>
    <w:p w14:paraId="68E3EB47" w14:textId="77777777" w:rsidR="004029C1" w:rsidRPr="00601136" w:rsidRDefault="004029C1" w:rsidP="004029C1">
      <w:pPr>
        <w:pStyle w:val="Paragraph"/>
      </w:pPr>
      <w:r w:rsidRPr="00601136">
        <w:lastRenderedPageBreak/>
        <w:t xml:space="preserve">Table </w:t>
      </w:r>
      <w:r>
        <w:t>5</w:t>
      </w:r>
      <w:r w:rsidRPr="00601136">
        <w:t xml:space="preserve">: Key features of articles with an anti-doping focus </w:t>
      </w:r>
    </w:p>
    <w:tbl>
      <w:tblPr>
        <w:tblStyle w:val="TableGrid"/>
        <w:tblW w:w="14029" w:type="dxa"/>
        <w:tblLayout w:type="fixed"/>
        <w:tblLook w:val="04A0" w:firstRow="1" w:lastRow="0" w:firstColumn="1" w:lastColumn="0" w:noHBand="0" w:noVBand="1"/>
      </w:tblPr>
      <w:tblGrid>
        <w:gridCol w:w="1532"/>
        <w:gridCol w:w="2403"/>
        <w:gridCol w:w="1730"/>
        <w:gridCol w:w="1468"/>
        <w:gridCol w:w="6896"/>
      </w:tblGrid>
      <w:tr w:rsidR="004029C1" w:rsidRPr="00601136" w14:paraId="0CA6A33E" w14:textId="77777777" w:rsidTr="00EA611C">
        <w:tc>
          <w:tcPr>
            <w:tcW w:w="1532" w:type="dxa"/>
          </w:tcPr>
          <w:p w14:paraId="0AC5DFA2"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Author/Year</w:t>
            </w:r>
          </w:p>
        </w:tc>
        <w:tc>
          <w:tcPr>
            <w:tcW w:w="2403" w:type="dxa"/>
          </w:tcPr>
          <w:p w14:paraId="6420FF59"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Publication</w:t>
            </w:r>
          </w:p>
        </w:tc>
        <w:tc>
          <w:tcPr>
            <w:tcW w:w="1730" w:type="dxa"/>
          </w:tcPr>
          <w:p w14:paraId="60F0EDB2"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Theme</w:t>
            </w:r>
          </w:p>
        </w:tc>
        <w:tc>
          <w:tcPr>
            <w:tcW w:w="1468" w:type="dxa"/>
          </w:tcPr>
          <w:p w14:paraId="15DBA2E1"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Method</w:t>
            </w:r>
          </w:p>
        </w:tc>
        <w:tc>
          <w:tcPr>
            <w:tcW w:w="6896" w:type="dxa"/>
          </w:tcPr>
          <w:p w14:paraId="260443B8"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Key findings</w:t>
            </w:r>
          </w:p>
        </w:tc>
      </w:tr>
      <w:tr w:rsidR="004029C1" w:rsidRPr="00601136" w14:paraId="48B4499E" w14:textId="77777777" w:rsidTr="00EA611C">
        <w:tc>
          <w:tcPr>
            <w:tcW w:w="14029" w:type="dxa"/>
            <w:gridSpan w:val="5"/>
          </w:tcPr>
          <w:p w14:paraId="6FD13A3E" w14:textId="77777777" w:rsidR="004029C1" w:rsidRPr="00601136" w:rsidRDefault="004029C1" w:rsidP="00EA611C">
            <w:pPr>
              <w:jc w:val="both"/>
              <w:rPr>
                <w:rFonts w:ascii="Times New Roman" w:hAnsi="Times New Roman" w:cs="Times New Roman"/>
                <w:b/>
                <w:bCs/>
                <w:kern w:val="0"/>
                <w:sz w:val="20"/>
                <w:szCs w:val="20"/>
              </w:rPr>
            </w:pPr>
            <w:r w:rsidRPr="00601136">
              <w:rPr>
                <w:rFonts w:ascii="Times New Roman" w:hAnsi="Times New Roman" w:cs="Times New Roman"/>
                <w:b/>
                <w:bCs/>
                <w:kern w:val="0"/>
                <w:sz w:val="20"/>
                <w:szCs w:val="20"/>
              </w:rPr>
              <w:t>Doping prevalence</w:t>
            </w:r>
          </w:p>
        </w:tc>
      </w:tr>
      <w:tr w:rsidR="004029C1" w:rsidRPr="00601136" w14:paraId="5BBBEF45" w14:textId="77777777" w:rsidTr="00EA611C">
        <w:tc>
          <w:tcPr>
            <w:tcW w:w="1532" w:type="dxa"/>
          </w:tcPr>
          <w:p w14:paraId="47791E38"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Friehs et al. (2022)</w:t>
            </w:r>
          </w:p>
        </w:tc>
        <w:tc>
          <w:tcPr>
            <w:tcW w:w="2403" w:type="dxa"/>
          </w:tcPr>
          <w:p w14:paraId="0C8932CC" w14:textId="77777777" w:rsidR="004029C1" w:rsidRPr="00A31CE0" w:rsidRDefault="004029C1" w:rsidP="00EA611C">
            <w:pPr>
              <w:rPr>
                <w:rFonts w:ascii="Times New Roman" w:hAnsi="Times New Roman" w:cs="Times New Roman"/>
                <w:sz w:val="20"/>
                <w:szCs w:val="20"/>
                <w:lang w:val="fr-CH"/>
              </w:rPr>
            </w:pPr>
            <w:r w:rsidRPr="00A31CE0">
              <w:rPr>
                <w:rFonts w:ascii="Times New Roman" w:hAnsi="Times New Roman" w:cs="Times New Roman"/>
                <w:sz w:val="20"/>
                <w:szCs w:val="20"/>
                <w:lang w:val="fr-CH"/>
              </w:rPr>
              <w:t>Journal article - Proc. ACM</w:t>
            </w:r>
          </w:p>
          <w:p w14:paraId="066E7788" w14:textId="77777777" w:rsidR="004029C1" w:rsidRPr="003B076E" w:rsidRDefault="004029C1" w:rsidP="00EA611C">
            <w:pPr>
              <w:rPr>
                <w:rFonts w:ascii="Times New Roman" w:hAnsi="Times New Roman" w:cs="Times New Roman"/>
                <w:sz w:val="20"/>
                <w:szCs w:val="20"/>
                <w:lang w:val="fr-FR"/>
              </w:rPr>
            </w:pPr>
            <w:r w:rsidRPr="00A31CE0">
              <w:rPr>
                <w:rFonts w:ascii="Times New Roman" w:hAnsi="Times New Roman" w:cs="Times New Roman"/>
                <w:sz w:val="20"/>
                <w:szCs w:val="20"/>
                <w:lang w:val="fr-CH"/>
              </w:rPr>
              <w:t xml:space="preserve">Hum.-Comput. </w:t>
            </w:r>
            <w:r w:rsidRPr="003B076E">
              <w:rPr>
                <w:rFonts w:ascii="Times New Roman" w:hAnsi="Times New Roman" w:cs="Times New Roman"/>
                <w:sz w:val="20"/>
                <w:szCs w:val="20"/>
                <w:lang w:val="fr-FR"/>
              </w:rPr>
              <w:t>Interact.</w:t>
            </w:r>
          </w:p>
        </w:tc>
        <w:tc>
          <w:tcPr>
            <w:tcW w:w="1730" w:type="dxa"/>
          </w:tcPr>
          <w:p w14:paraId="56EC5174"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Community perspective on performance enhancers </w:t>
            </w:r>
          </w:p>
        </w:tc>
        <w:tc>
          <w:tcPr>
            <w:tcW w:w="1468" w:type="dxa"/>
          </w:tcPr>
          <w:p w14:paraId="42FDC00F"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Mixed Methods</w:t>
            </w:r>
          </w:p>
        </w:tc>
        <w:tc>
          <w:tcPr>
            <w:tcW w:w="6896" w:type="dxa"/>
          </w:tcPr>
          <w:p w14:paraId="1BBDCF07"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 xml:space="preserve">Provides </w:t>
            </w:r>
            <w:r w:rsidRPr="003B076E">
              <w:rPr>
                <w:rFonts w:ascii="Times New Roman" w:hAnsi="Times New Roman" w:cs="Times New Roman"/>
                <w:sz w:val="20"/>
                <w:szCs w:val="20"/>
              </w:rPr>
              <w:t>understanding of how online communities discuss performance enhancers</w:t>
            </w:r>
            <w:r w:rsidRPr="00601136">
              <w:rPr>
                <w:rFonts w:ascii="Times New Roman" w:hAnsi="Times New Roman" w:cs="Times New Roman"/>
                <w:sz w:val="20"/>
                <w:szCs w:val="20"/>
              </w:rPr>
              <w:t>, its use and reasons for use, its prevalence, and disclosure of use.</w:t>
            </w:r>
            <w:r w:rsidRPr="003B076E">
              <w:rPr>
                <w:rFonts w:ascii="Times New Roman" w:hAnsi="Times New Roman" w:cs="Times New Roman"/>
                <w:sz w:val="20"/>
                <w:szCs w:val="20"/>
              </w:rPr>
              <w:t xml:space="preserve"> </w:t>
            </w:r>
          </w:p>
        </w:tc>
      </w:tr>
      <w:tr w:rsidR="004029C1" w:rsidRPr="00601136" w14:paraId="0D628212" w14:textId="77777777" w:rsidTr="00EA611C">
        <w:tc>
          <w:tcPr>
            <w:tcW w:w="1532" w:type="dxa"/>
          </w:tcPr>
          <w:p w14:paraId="53D71EF4"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Gupta et al. (2022)</w:t>
            </w:r>
          </w:p>
          <w:p w14:paraId="7ECB5E43" w14:textId="77777777" w:rsidR="004029C1" w:rsidRPr="003B076E" w:rsidRDefault="004029C1" w:rsidP="00EA611C">
            <w:pPr>
              <w:rPr>
                <w:rFonts w:ascii="Times New Roman" w:hAnsi="Times New Roman" w:cs="Times New Roman"/>
                <w:sz w:val="20"/>
                <w:szCs w:val="20"/>
              </w:rPr>
            </w:pPr>
          </w:p>
        </w:tc>
        <w:tc>
          <w:tcPr>
            <w:tcW w:w="2403" w:type="dxa"/>
          </w:tcPr>
          <w:p w14:paraId="5AEC388F"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International Journal of Sports Marketing and Sponsorship</w:t>
            </w:r>
          </w:p>
        </w:tc>
        <w:tc>
          <w:tcPr>
            <w:tcW w:w="1730" w:type="dxa"/>
          </w:tcPr>
          <w:p w14:paraId="3342A87B"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Doping </w:t>
            </w:r>
          </w:p>
        </w:tc>
        <w:tc>
          <w:tcPr>
            <w:tcW w:w="1468" w:type="dxa"/>
          </w:tcPr>
          <w:p w14:paraId="1F464B0E"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Qualitative</w:t>
            </w:r>
          </w:p>
        </w:tc>
        <w:tc>
          <w:tcPr>
            <w:tcW w:w="6896" w:type="dxa"/>
          </w:tcPr>
          <w:p w14:paraId="66BA1FCA" w14:textId="77777777" w:rsidR="004029C1" w:rsidRPr="003B076E" w:rsidRDefault="004029C1" w:rsidP="00EA611C">
            <w:pPr>
              <w:rPr>
                <w:rFonts w:ascii="Times New Roman" w:hAnsi="Times New Roman" w:cs="Times New Roman"/>
                <w:sz w:val="20"/>
                <w:szCs w:val="20"/>
              </w:rPr>
            </w:pPr>
            <w:r w:rsidRPr="00601136">
              <w:rPr>
                <w:rFonts w:ascii="Times New Roman" w:hAnsi="Times New Roman" w:cs="Times New Roman"/>
                <w:sz w:val="20"/>
                <w:szCs w:val="20"/>
              </w:rPr>
              <w:t>Study confirms</w:t>
            </w:r>
            <w:r w:rsidRPr="003B076E">
              <w:rPr>
                <w:rFonts w:ascii="Times New Roman" w:hAnsi="Times New Roman" w:cs="Times New Roman"/>
                <w:sz w:val="20"/>
                <w:szCs w:val="20"/>
              </w:rPr>
              <w:t xml:space="preserve"> that doping and match-fixing serve as the primary viable methods of cheating within tournaments that have not been adequately addressed.</w:t>
            </w:r>
          </w:p>
        </w:tc>
      </w:tr>
      <w:tr w:rsidR="004029C1" w:rsidRPr="00601136" w14:paraId="21935B59" w14:textId="77777777" w:rsidTr="00EA611C">
        <w:tc>
          <w:tcPr>
            <w:tcW w:w="1532" w:type="dxa"/>
          </w:tcPr>
          <w:p w14:paraId="17249F6B" w14:textId="77777777" w:rsidR="004029C1" w:rsidRPr="00601136" w:rsidRDefault="004029C1" w:rsidP="00EA611C">
            <w:pPr>
              <w:rPr>
                <w:rFonts w:ascii="Times New Roman" w:hAnsi="Times New Roman" w:cs="Times New Roman"/>
                <w:kern w:val="0"/>
                <w:sz w:val="20"/>
                <w:szCs w:val="20"/>
              </w:rPr>
            </w:pPr>
            <w:r w:rsidRPr="00601136">
              <w:rPr>
                <w:rFonts w:ascii="Times New Roman" w:hAnsi="Times New Roman" w:cs="Times New Roman"/>
                <w:kern w:val="0"/>
                <w:sz w:val="20"/>
                <w:szCs w:val="20"/>
              </w:rPr>
              <w:t>Jasny (2020)</w:t>
            </w:r>
          </w:p>
        </w:tc>
        <w:tc>
          <w:tcPr>
            <w:tcW w:w="2403" w:type="dxa"/>
          </w:tcPr>
          <w:p w14:paraId="73048C28" w14:textId="77777777" w:rsidR="004029C1" w:rsidRPr="003B076E" w:rsidRDefault="004029C1" w:rsidP="00EA611C">
            <w:pPr>
              <w:rPr>
                <w:rFonts w:ascii="Times New Roman" w:hAnsi="Times New Roman" w:cs="Times New Roman"/>
                <w:sz w:val="20"/>
                <w:szCs w:val="20"/>
                <w:lang w:val="fr-FR"/>
              </w:rPr>
            </w:pPr>
            <w:r w:rsidRPr="003B076E">
              <w:rPr>
                <w:rFonts w:ascii="Times New Roman" w:hAnsi="Times New Roman" w:cs="Times New Roman"/>
                <w:sz w:val="20"/>
                <w:szCs w:val="20"/>
                <w:lang w:val="fr-FR"/>
              </w:rPr>
              <w:t>Journal article - Acta Universitatis Lodziensis Folia Sociologica</w:t>
            </w:r>
          </w:p>
        </w:tc>
        <w:tc>
          <w:tcPr>
            <w:tcW w:w="1730" w:type="dxa"/>
          </w:tcPr>
          <w:p w14:paraId="1081D4E4"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Prohibited substances</w:t>
            </w:r>
          </w:p>
        </w:tc>
        <w:tc>
          <w:tcPr>
            <w:tcW w:w="1468" w:type="dxa"/>
          </w:tcPr>
          <w:p w14:paraId="5FD0FA21"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Qualitative</w:t>
            </w:r>
          </w:p>
        </w:tc>
        <w:tc>
          <w:tcPr>
            <w:tcW w:w="6896" w:type="dxa"/>
          </w:tcPr>
          <w:p w14:paraId="6F18B2E1"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An explorative study of allowed substances and prohibited substances in esports with participants comprising of fans, esports players and e-sports activists in Poland.</w:t>
            </w:r>
          </w:p>
        </w:tc>
      </w:tr>
      <w:tr w:rsidR="004029C1" w:rsidRPr="00601136" w14:paraId="1A449E19" w14:textId="77777777" w:rsidTr="00EA611C">
        <w:tc>
          <w:tcPr>
            <w:tcW w:w="1532" w:type="dxa"/>
          </w:tcPr>
          <w:p w14:paraId="2D2437A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Frias (2022)</w:t>
            </w:r>
          </w:p>
        </w:tc>
        <w:tc>
          <w:tcPr>
            <w:tcW w:w="2403" w:type="dxa"/>
          </w:tcPr>
          <w:p w14:paraId="6178D996"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Performance Enhancement &amp; Health</w:t>
            </w:r>
          </w:p>
        </w:tc>
        <w:tc>
          <w:tcPr>
            <w:tcW w:w="1730" w:type="dxa"/>
          </w:tcPr>
          <w:p w14:paraId="7440455A"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Anti-doping and energy drinks</w:t>
            </w:r>
          </w:p>
        </w:tc>
        <w:tc>
          <w:tcPr>
            <w:tcW w:w="1468" w:type="dxa"/>
          </w:tcPr>
          <w:p w14:paraId="60B1832E"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150274B9"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Esports organisations that partner with energy drink companies while advocating for introducing anti-doping regulations to protect the professional players’ health hardly qualify as coherent.</w:t>
            </w:r>
          </w:p>
        </w:tc>
      </w:tr>
      <w:tr w:rsidR="004029C1" w:rsidRPr="00601136" w14:paraId="2080B4FC" w14:textId="77777777" w:rsidTr="00EA611C">
        <w:tc>
          <w:tcPr>
            <w:tcW w:w="1532" w:type="dxa"/>
          </w:tcPr>
          <w:p w14:paraId="5571E419" w14:textId="77777777" w:rsidR="004029C1" w:rsidRPr="00601136" w:rsidRDefault="004029C1" w:rsidP="00EA611C">
            <w:pPr>
              <w:rPr>
                <w:rFonts w:ascii="Times New Roman" w:hAnsi="Times New Roman" w:cs="Times New Roman"/>
                <w:kern w:val="0"/>
                <w:sz w:val="20"/>
                <w:szCs w:val="20"/>
              </w:rPr>
            </w:pPr>
            <w:r w:rsidRPr="003B076E">
              <w:rPr>
                <w:rFonts w:ascii="Times New Roman" w:hAnsi="Times New Roman" w:cs="Times New Roman"/>
                <w:sz w:val="20"/>
                <w:szCs w:val="20"/>
              </w:rPr>
              <w:t>Frias (2022)</w:t>
            </w:r>
          </w:p>
        </w:tc>
        <w:tc>
          <w:tcPr>
            <w:tcW w:w="2403" w:type="dxa"/>
          </w:tcPr>
          <w:p w14:paraId="0D4863B5"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Performance Enhancement &amp; Health</w:t>
            </w:r>
          </w:p>
        </w:tc>
        <w:tc>
          <w:tcPr>
            <w:tcW w:w="1730" w:type="dxa"/>
          </w:tcPr>
          <w:p w14:paraId="2D25DB5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Anti-doping and energy drinks</w:t>
            </w:r>
          </w:p>
        </w:tc>
        <w:tc>
          <w:tcPr>
            <w:tcW w:w="1468" w:type="dxa"/>
          </w:tcPr>
          <w:p w14:paraId="205B6D9F"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6E893344"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Energy drinks fall within</w:t>
            </w:r>
            <w:r w:rsidRPr="003B076E">
              <w:rPr>
                <w:rFonts w:ascii="Times New Roman" w:hAnsi="Times New Roman" w:cs="Times New Roman"/>
                <w:sz w:val="20"/>
                <w:szCs w:val="20"/>
              </w:rPr>
              <w:t xml:space="preserve"> sport ethics or the ethics of anti-doping</w:t>
            </w:r>
            <w:r w:rsidRPr="00601136">
              <w:rPr>
                <w:rFonts w:ascii="Times New Roman" w:hAnsi="Times New Roman" w:cs="Times New Roman"/>
                <w:sz w:val="20"/>
                <w:szCs w:val="20"/>
              </w:rPr>
              <w:t>.</w:t>
            </w:r>
          </w:p>
        </w:tc>
      </w:tr>
      <w:tr w:rsidR="004029C1" w:rsidRPr="00601136" w14:paraId="193037E1" w14:textId="77777777" w:rsidTr="00EA611C">
        <w:tc>
          <w:tcPr>
            <w:tcW w:w="1532" w:type="dxa"/>
          </w:tcPr>
          <w:p w14:paraId="04ABF60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Machado et al. (2021)</w:t>
            </w:r>
          </w:p>
        </w:tc>
        <w:tc>
          <w:tcPr>
            <w:tcW w:w="2403" w:type="dxa"/>
          </w:tcPr>
          <w:p w14:paraId="5409184B"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International Journal of Environmental Research and Public Health</w:t>
            </w:r>
          </w:p>
        </w:tc>
        <w:tc>
          <w:tcPr>
            <w:tcW w:w="1730" w:type="dxa"/>
          </w:tcPr>
          <w:p w14:paraId="7BF5DB38"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Transcranial direct current stimulation (tDCS) </w:t>
            </w:r>
          </w:p>
        </w:tc>
        <w:tc>
          <w:tcPr>
            <w:tcW w:w="1468" w:type="dxa"/>
          </w:tcPr>
          <w:p w14:paraId="21E7FBB7"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5BB0656F"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 xml:space="preserve">tDCS applied over the left dorsolateral prefrontal cortex (DLPFC) </w:t>
            </w:r>
            <w:r w:rsidRPr="00601136">
              <w:rPr>
                <w:rFonts w:ascii="Times New Roman" w:hAnsi="Times New Roman" w:cs="Times New Roman"/>
                <w:sz w:val="20"/>
                <w:szCs w:val="20"/>
              </w:rPr>
              <w:t>is</w:t>
            </w:r>
            <w:r w:rsidRPr="003B076E">
              <w:rPr>
                <w:rFonts w:ascii="Times New Roman" w:hAnsi="Times New Roman" w:cs="Times New Roman"/>
                <w:sz w:val="20"/>
                <w:szCs w:val="20"/>
              </w:rPr>
              <w:t xml:space="preserve"> a potential performance-enhancing tool for neurocognition in </w:t>
            </w:r>
            <w:r w:rsidRPr="00601136">
              <w:rPr>
                <w:rFonts w:ascii="Times New Roman" w:hAnsi="Times New Roman" w:cs="Times New Roman"/>
                <w:sz w:val="20"/>
                <w:szCs w:val="20"/>
              </w:rPr>
              <w:t>esports.</w:t>
            </w:r>
          </w:p>
        </w:tc>
      </w:tr>
      <w:tr w:rsidR="004029C1" w:rsidRPr="00601136" w14:paraId="75A2F30C" w14:textId="77777777" w:rsidTr="00EA611C">
        <w:tc>
          <w:tcPr>
            <w:tcW w:w="1532" w:type="dxa"/>
          </w:tcPr>
          <w:p w14:paraId="69DC836F" w14:textId="77777777" w:rsidR="004029C1" w:rsidRPr="003B076E" w:rsidRDefault="004029C1" w:rsidP="00EA611C">
            <w:pPr>
              <w:rPr>
                <w:rFonts w:ascii="Times New Roman" w:hAnsi="Times New Roman" w:cs="Times New Roman"/>
                <w:kern w:val="0"/>
                <w:sz w:val="20"/>
                <w:szCs w:val="20"/>
              </w:rPr>
            </w:pPr>
            <w:r w:rsidRPr="003B076E">
              <w:rPr>
                <w:rFonts w:ascii="Times New Roman" w:hAnsi="Times New Roman" w:cs="Times New Roman"/>
                <w:kern w:val="0"/>
                <w:sz w:val="20"/>
                <w:szCs w:val="20"/>
              </w:rPr>
              <w:t>Schubert et al. (2022)</w:t>
            </w:r>
          </w:p>
        </w:tc>
        <w:tc>
          <w:tcPr>
            <w:tcW w:w="2403" w:type="dxa"/>
          </w:tcPr>
          <w:p w14:paraId="4BAB2B37" w14:textId="77777777" w:rsidR="004029C1" w:rsidRPr="00601136" w:rsidRDefault="004029C1" w:rsidP="00EA611C">
            <w:pPr>
              <w:pStyle w:val="Default"/>
            </w:pPr>
            <w:r w:rsidRPr="003B076E">
              <w:rPr>
                <w:rFonts w:ascii="Times New Roman" w:hAnsi="Times New Roman" w:cs="Times New Roman"/>
                <w:sz w:val="20"/>
                <w:szCs w:val="20"/>
              </w:rPr>
              <w:t>Journal article - Performance Enhancement &amp; Health</w:t>
            </w:r>
          </w:p>
        </w:tc>
        <w:tc>
          <w:tcPr>
            <w:tcW w:w="1730" w:type="dxa"/>
          </w:tcPr>
          <w:p w14:paraId="00A5BA6C"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Perceptions on performance-enhancing substances </w:t>
            </w:r>
          </w:p>
        </w:tc>
        <w:tc>
          <w:tcPr>
            <w:tcW w:w="1468" w:type="dxa"/>
          </w:tcPr>
          <w:p w14:paraId="70ED61C0"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Qualitative</w:t>
            </w:r>
          </w:p>
        </w:tc>
        <w:tc>
          <w:tcPr>
            <w:tcW w:w="6896" w:type="dxa"/>
          </w:tcPr>
          <w:p w14:paraId="5DCBFC82"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 xml:space="preserve">Study </w:t>
            </w:r>
            <w:r w:rsidRPr="003B076E">
              <w:rPr>
                <w:rFonts w:ascii="Times New Roman" w:hAnsi="Times New Roman" w:cs="Times New Roman"/>
                <w:sz w:val="20"/>
                <w:szCs w:val="20"/>
              </w:rPr>
              <w:t>found that besides energy drinks and gaming boosters, also the use of oral tobacco Snus seems widespread and is believed to have performance-enhancing effects</w:t>
            </w:r>
            <w:r w:rsidRPr="00601136">
              <w:rPr>
                <w:rFonts w:ascii="Times New Roman" w:hAnsi="Times New Roman" w:cs="Times New Roman"/>
                <w:sz w:val="20"/>
                <w:szCs w:val="20"/>
              </w:rPr>
              <w:t>.</w:t>
            </w:r>
          </w:p>
        </w:tc>
      </w:tr>
      <w:tr w:rsidR="004029C1" w:rsidRPr="00601136" w14:paraId="6A23A6B6" w14:textId="77777777" w:rsidTr="00EA611C">
        <w:tc>
          <w:tcPr>
            <w:tcW w:w="1532" w:type="dxa"/>
          </w:tcPr>
          <w:p w14:paraId="0752FBD0" w14:textId="77777777" w:rsidR="004029C1" w:rsidRPr="003B076E" w:rsidRDefault="004029C1" w:rsidP="00EA611C">
            <w:pPr>
              <w:rPr>
                <w:rFonts w:ascii="Times New Roman" w:hAnsi="Times New Roman" w:cs="Times New Roman"/>
                <w:sz w:val="20"/>
                <w:szCs w:val="20"/>
              </w:rPr>
            </w:pPr>
            <w:r w:rsidRPr="00601136">
              <w:rPr>
                <w:rFonts w:ascii="Times New Roman" w:hAnsi="Times New Roman" w:cs="Times New Roman"/>
                <w:kern w:val="0"/>
                <w:sz w:val="20"/>
                <w:szCs w:val="20"/>
              </w:rPr>
              <w:t>Wall Tweedie (2022)</w:t>
            </w:r>
          </w:p>
        </w:tc>
        <w:tc>
          <w:tcPr>
            <w:tcW w:w="2403" w:type="dxa"/>
          </w:tcPr>
          <w:p w14:paraId="1593162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Performance Enhancement &amp; Health</w:t>
            </w:r>
          </w:p>
        </w:tc>
        <w:tc>
          <w:tcPr>
            <w:tcW w:w="1730" w:type="dxa"/>
          </w:tcPr>
          <w:p w14:paraId="46C4D956"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Anti-doping and energy drinks</w:t>
            </w:r>
          </w:p>
        </w:tc>
        <w:tc>
          <w:tcPr>
            <w:tcW w:w="1468" w:type="dxa"/>
          </w:tcPr>
          <w:p w14:paraId="08D2A0EC"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137427B3"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To blanketly group energy drink consumption with the abuse of prescription drugs, like Adderall, is a stretch and inconsistent with WADA and</w:t>
            </w:r>
            <w:r>
              <w:rPr>
                <w:rFonts w:ascii="Times New Roman" w:hAnsi="Times New Roman" w:cs="Times New Roman"/>
                <w:sz w:val="20"/>
                <w:szCs w:val="20"/>
              </w:rPr>
              <w:t xml:space="preserve"> </w:t>
            </w:r>
            <w:r w:rsidRPr="003B076E">
              <w:rPr>
                <w:rFonts w:ascii="Times New Roman" w:hAnsi="Times New Roman" w:cs="Times New Roman"/>
                <w:sz w:val="20"/>
                <w:szCs w:val="20"/>
              </w:rPr>
              <w:t xml:space="preserve">anti-doping policies in </w:t>
            </w:r>
            <w:r>
              <w:rPr>
                <w:rFonts w:ascii="Times New Roman" w:hAnsi="Times New Roman" w:cs="Times New Roman"/>
                <w:sz w:val="20"/>
                <w:szCs w:val="20"/>
              </w:rPr>
              <w:t>traditional</w:t>
            </w:r>
            <w:r w:rsidRPr="003B076E">
              <w:rPr>
                <w:rFonts w:ascii="Times New Roman" w:hAnsi="Times New Roman" w:cs="Times New Roman"/>
                <w:sz w:val="20"/>
                <w:szCs w:val="20"/>
              </w:rPr>
              <w:t xml:space="preserve"> sport. </w:t>
            </w:r>
          </w:p>
        </w:tc>
      </w:tr>
      <w:tr w:rsidR="004029C1" w:rsidRPr="00601136" w14:paraId="728A97E7" w14:textId="77777777" w:rsidTr="00EA611C">
        <w:tc>
          <w:tcPr>
            <w:tcW w:w="14029" w:type="dxa"/>
            <w:gridSpan w:val="5"/>
          </w:tcPr>
          <w:p w14:paraId="74BF8628"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Anti-Doping policies and regulations</w:t>
            </w:r>
          </w:p>
        </w:tc>
      </w:tr>
      <w:tr w:rsidR="004029C1" w:rsidRPr="00601136" w14:paraId="1EEB3825" w14:textId="77777777" w:rsidTr="00EA611C">
        <w:tc>
          <w:tcPr>
            <w:tcW w:w="1532" w:type="dxa"/>
          </w:tcPr>
          <w:p w14:paraId="49F25DFF" w14:textId="77777777" w:rsidR="004029C1" w:rsidRPr="00601136" w:rsidRDefault="004029C1" w:rsidP="00EA611C">
            <w:pPr>
              <w:rPr>
                <w:rFonts w:ascii="Times New Roman" w:hAnsi="Times New Roman" w:cs="Times New Roman"/>
                <w:kern w:val="0"/>
                <w:sz w:val="20"/>
                <w:szCs w:val="20"/>
              </w:rPr>
            </w:pPr>
            <w:r w:rsidRPr="00601136">
              <w:rPr>
                <w:rFonts w:ascii="Times New Roman" w:eastAsiaTheme="minorHAnsi" w:hAnsi="Times New Roman" w:cs="Times New Roman"/>
                <w:kern w:val="0"/>
                <w:sz w:val="20"/>
                <w:szCs w:val="20"/>
              </w:rPr>
              <w:t>Bafna (2020)</w:t>
            </w:r>
          </w:p>
        </w:tc>
        <w:tc>
          <w:tcPr>
            <w:tcW w:w="2403" w:type="dxa"/>
          </w:tcPr>
          <w:p w14:paraId="720CDAD2" w14:textId="77777777" w:rsidR="004029C1" w:rsidRPr="003B076E" w:rsidRDefault="004029C1" w:rsidP="00EA611C">
            <w:pPr>
              <w:autoSpaceDE w:val="0"/>
              <w:autoSpaceDN w:val="0"/>
              <w:adjustRightInd w:val="0"/>
              <w:rPr>
                <w:rFonts w:ascii="Times New Roman" w:hAnsi="Times New Roman" w:cs="Times New Roman"/>
                <w:sz w:val="20"/>
                <w:szCs w:val="20"/>
              </w:rPr>
            </w:pPr>
            <w:r w:rsidRPr="003B076E">
              <w:rPr>
                <w:rFonts w:ascii="Times New Roman" w:hAnsi="Times New Roman" w:cs="Times New Roman"/>
                <w:sz w:val="20"/>
                <w:szCs w:val="20"/>
              </w:rPr>
              <w:t>Journal article - Journal</w:t>
            </w:r>
          </w:p>
          <w:p w14:paraId="7233ACA9"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of Sports Law, Policy and Governance</w:t>
            </w:r>
          </w:p>
        </w:tc>
        <w:tc>
          <w:tcPr>
            <w:tcW w:w="1730" w:type="dxa"/>
          </w:tcPr>
          <w:p w14:paraId="4373D1B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Challenges to anti-doping policies</w:t>
            </w:r>
          </w:p>
        </w:tc>
        <w:tc>
          <w:tcPr>
            <w:tcW w:w="1468" w:type="dxa"/>
          </w:tcPr>
          <w:p w14:paraId="4D406EB5"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896" w:type="dxa"/>
          </w:tcPr>
          <w:p w14:paraId="3BE3F5D0" w14:textId="77777777" w:rsidR="004029C1" w:rsidRPr="003B076E" w:rsidRDefault="004029C1" w:rsidP="00EA611C">
            <w:pPr>
              <w:autoSpaceDE w:val="0"/>
              <w:autoSpaceDN w:val="0"/>
              <w:adjustRightInd w:val="0"/>
              <w:jc w:val="both"/>
              <w:rPr>
                <w:rFonts w:ascii="Times New Roman" w:hAnsi="Times New Roman" w:cs="Times New Roman"/>
                <w:sz w:val="20"/>
                <w:szCs w:val="20"/>
              </w:rPr>
            </w:pPr>
            <w:r w:rsidRPr="00601136">
              <w:rPr>
                <w:rFonts w:ascii="Times New Roman" w:hAnsi="Times New Roman" w:cs="Times New Roman"/>
                <w:sz w:val="20"/>
                <w:szCs w:val="20"/>
              </w:rPr>
              <w:t>Finds</w:t>
            </w:r>
            <w:r w:rsidRPr="003B076E">
              <w:rPr>
                <w:rFonts w:ascii="Times New Roman" w:hAnsi="Times New Roman" w:cs="Times New Roman"/>
                <w:sz w:val="20"/>
                <w:szCs w:val="20"/>
              </w:rPr>
              <w:t xml:space="preserve"> three shortcomings that significantly hamper the implementation of the ESIC Anti-Doping Regulations.</w:t>
            </w:r>
          </w:p>
          <w:p w14:paraId="335A0128" w14:textId="77777777" w:rsidR="004029C1" w:rsidRPr="003B076E" w:rsidRDefault="004029C1" w:rsidP="00EA611C">
            <w:pPr>
              <w:autoSpaceDE w:val="0"/>
              <w:autoSpaceDN w:val="0"/>
              <w:adjustRightInd w:val="0"/>
              <w:jc w:val="both"/>
              <w:rPr>
                <w:rFonts w:ascii="Times New Roman" w:hAnsi="Times New Roman" w:cs="Times New Roman"/>
                <w:sz w:val="20"/>
                <w:szCs w:val="20"/>
              </w:rPr>
            </w:pPr>
          </w:p>
        </w:tc>
      </w:tr>
      <w:tr w:rsidR="004029C1" w:rsidRPr="00601136" w14:paraId="0483343E" w14:textId="77777777" w:rsidTr="00EA611C">
        <w:tc>
          <w:tcPr>
            <w:tcW w:w="1532" w:type="dxa"/>
          </w:tcPr>
          <w:p w14:paraId="40D5AA66" w14:textId="77777777" w:rsidR="004029C1" w:rsidRPr="003B076E" w:rsidRDefault="004029C1" w:rsidP="00EA611C">
            <w:pPr>
              <w:rPr>
                <w:rFonts w:ascii="Times New Roman" w:hAnsi="Times New Roman" w:cs="Times New Roman"/>
                <w:kern w:val="0"/>
                <w:sz w:val="20"/>
                <w:szCs w:val="20"/>
              </w:rPr>
            </w:pPr>
            <w:r w:rsidRPr="00601136">
              <w:rPr>
                <w:rFonts w:ascii="Times New Roman" w:eastAsiaTheme="minorHAnsi" w:hAnsi="Times New Roman" w:cs="Times New Roman"/>
                <w:kern w:val="0"/>
                <w:sz w:val="20"/>
                <w:szCs w:val="20"/>
              </w:rPr>
              <w:lastRenderedPageBreak/>
              <w:t>Bennett (2023)</w:t>
            </w:r>
          </w:p>
        </w:tc>
        <w:tc>
          <w:tcPr>
            <w:tcW w:w="2403" w:type="dxa"/>
          </w:tcPr>
          <w:p w14:paraId="5FF6E56B"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Loyola Consumer Law Review</w:t>
            </w:r>
          </w:p>
        </w:tc>
        <w:tc>
          <w:tcPr>
            <w:tcW w:w="1730" w:type="dxa"/>
          </w:tcPr>
          <w:p w14:paraId="1DCC15F6"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Regulatory need for anti-doping policies</w:t>
            </w:r>
          </w:p>
        </w:tc>
        <w:tc>
          <w:tcPr>
            <w:tcW w:w="1468" w:type="dxa"/>
          </w:tcPr>
          <w:p w14:paraId="39733AE9"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896" w:type="dxa"/>
          </w:tcPr>
          <w:p w14:paraId="14A7CD7F"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 xml:space="preserve">Discusses </w:t>
            </w:r>
            <w:r w:rsidRPr="003B076E">
              <w:rPr>
                <w:rFonts w:ascii="Times New Roman" w:hAnsi="Times New Roman" w:cs="Times New Roman"/>
                <w:sz w:val="20"/>
                <w:szCs w:val="20"/>
              </w:rPr>
              <w:t xml:space="preserve">the regulatory need and benefits for a future anti-doping policy in competitive </w:t>
            </w:r>
            <w:r w:rsidRPr="003B076E">
              <w:rPr>
                <w:rFonts w:ascii="Times New Roman" w:hAnsi="Times New Roman" w:cs="Times New Roman"/>
                <w:i/>
                <w:iCs/>
                <w:sz w:val="20"/>
                <w:szCs w:val="20"/>
              </w:rPr>
              <w:t>Call of Duty.</w:t>
            </w:r>
          </w:p>
        </w:tc>
      </w:tr>
      <w:tr w:rsidR="004029C1" w:rsidRPr="00601136" w14:paraId="418BFACE" w14:textId="77777777" w:rsidTr="00EA611C">
        <w:tc>
          <w:tcPr>
            <w:tcW w:w="1532" w:type="dxa"/>
          </w:tcPr>
          <w:p w14:paraId="3877DD5B" w14:textId="77777777" w:rsidR="004029C1" w:rsidRPr="00601136" w:rsidRDefault="004029C1" w:rsidP="00EA611C">
            <w:pPr>
              <w:rPr>
                <w:rFonts w:ascii="Times New Roman" w:hAnsi="Times New Roman" w:cs="Times New Roman"/>
                <w:kern w:val="0"/>
                <w:sz w:val="20"/>
                <w:szCs w:val="20"/>
              </w:rPr>
            </w:pPr>
            <w:r w:rsidRPr="00601136">
              <w:rPr>
                <w:rFonts w:ascii="Times New Roman" w:hAnsi="Times New Roman" w:cs="Times New Roman"/>
                <w:kern w:val="0"/>
                <w:sz w:val="20"/>
                <w:szCs w:val="20"/>
              </w:rPr>
              <w:t>Fashina (2021)</w:t>
            </w:r>
          </w:p>
        </w:tc>
        <w:tc>
          <w:tcPr>
            <w:tcW w:w="2403" w:type="dxa"/>
          </w:tcPr>
          <w:p w14:paraId="6973B3B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Sports Lawyers Journal</w:t>
            </w:r>
          </w:p>
        </w:tc>
        <w:tc>
          <w:tcPr>
            <w:tcW w:w="1730" w:type="dxa"/>
          </w:tcPr>
          <w:p w14:paraId="16C159A8"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Doping </w:t>
            </w:r>
          </w:p>
        </w:tc>
        <w:tc>
          <w:tcPr>
            <w:tcW w:w="1468" w:type="dxa"/>
          </w:tcPr>
          <w:p w14:paraId="12993908"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1B2DA7D3" w14:textId="77777777" w:rsidR="004029C1" w:rsidRPr="00601136" w:rsidRDefault="004029C1" w:rsidP="00EA611C">
            <w:pPr>
              <w:autoSpaceDE w:val="0"/>
              <w:autoSpaceDN w:val="0"/>
              <w:adjustRightInd w:val="0"/>
              <w:jc w:val="both"/>
              <w:rPr>
                <w:rFonts w:ascii="Times New Roman" w:hAnsi="Times New Roman" w:cs="Times New Roman"/>
                <w:sz w:val="20"/>
                <w:szCs w:val="20"/>
              </w:rPr>
            </w:pPr>
            <w:r w:rsidRPr="00601136">
              <w:rPr>
                <w:rFonts w:ascii="Times New Roman" w:hAnsi="Times New Roman" w:cs="Times New Roman"/>
                <w:sz w:val="20"/>
                <w:szCs w:val="20"/>
              </w:rPr>
              <w:t xml:space="preserve">Suggests that ESIC would be in a position to drive a dynamic anti-doping movement across the esports industry by becoming a WADA signatory. </w:t>
            </w:r>
          </w:p>
        </w:tc>
      </w:tr>
      <w:tr w:rsidR="004029C1" w:rsidRPr="00601136" w14:paraId="30260F5F" w14:textId="77777777" w:rsidTr="00EA611C">
        <w:tc>
          <w:tcPr>
            <w:tcW w:w="1532" w:type="dxa"/>
          </w:tcPr>
          <w:p w14:paraId="322190AC" w14:textId="77777777" w:rsidR="004029C1" w:rsidRPr="003B076E" w:rsidRDefault="004029C1" w:rsidP="00EA611C">
            <w:pPr>
              <w:rPr>
                <w:rFonts w:ascii="Times New Roman" w:hAnsi="Times New Roman" w:cs="Times New Roman"/>
                <w:kern w:val="0"/>
                <w:sz w:val="20"/>
                <w:szCs w:val="20"/>
              </w:rPr>
            </w:pPr>
            <w:r w:rsidRPr="003B076E">
              <w:rPr>
                <w:rFonts w:ascii="Times New Roman" w:hAnsi="Times New Roman" w:cs="Times New Roman"/>
                <w:sz w:val="20"/>
                <w:szCs w:val="20"/>
              </w:rPr>
              <w:t>Holden et al. (2019)</w:t>
            </w:r>
          </w:p>
        </w:tc>
        <w:tc>
          <w:tcPr>
            <w:tcW w:w="2403" w:type="dxa"/>
          </w:tcPr>
          <w:p w14:paraId="4CB7D62C" w14:textId="77777777" w:rsidR="004029C1" w:rsidRPr="00601136" w:rsidRDefault="004029C1" w:rsidP="00EA611C">
            <w:pPr>
              <w:autoSpaceDE w:val="0"/>
              <w:autoSpaceDN w:val="0"/>
              <w:adjustRightInd w:val="0"/>
              <w:rPr>
                <w:rFonts w:ascii="Times New Roman" w:eastAsiaTheme="minorHAnsi" w:hAnsi="Times New Roman" w:cs="Times New Roman"/>
                <w:kern w:val="0"/>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Sport, Ethics and Philosophy</w:t>
            </w:r>
          </w:p>
          <w:p w14:paraId="43A03EF6" w14:textId="77777777" w:rsidR="004029C1" w:rsidRPr="003B076E" w:rsidRDefault="004029C1" w:rsidP="00EA611C">
            <w:pPr>
              <w:rPr>
                <w:rFonts w:ascii="Times New Roman" w:hAnsi="Times New Roman" w:cs="Times New Roman"/>
                <w:sz w:val="20"/>
                <w:szCs w:val="20"/>
              </w:rPr>
            </w:pPr>
          </w:p>
        </w:tc>
        <w:tc>
          <w:tcPr>
            <w:tcW w:w="1730" w:type="dxa"/>
          </w:tcPr>
          <w:p w14:paraId="759C293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Substance use</w:t>
            </w:r>
          </w:p>
        </w:tc>
        <w:tc>
          <w:tcPr>
            <w:tcW w:w="1468" w:type="dxa"/>
          </w:tcPr>
          <w:p w14:paraId="02E56E76"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36CB4BC2" w14:textId="77777777" w:rsidR="004029C1" w:rsidRPr="00601136" w:rsidRDefault="004029C1" w:rsidP="00EA611C">
            <w:pPr>
              <w:autoSpaceDE w:val="0"/>
              <w:autoSpaceDN w:val="0"/>
              <w:adjustRightInd w:val="0"/>
              <w:jc w:val="both"/>
              <w:rPr>
                <w:rFonts w:ascii="Times New Roman" w:hAnsi="Times New Roman" w:cs="Times New Roman"/>
                <w:color w:val="000000"/>
                <w:kern w:val="0"/>
                <w:sz w:val="20"/>
                <w:szCs w:val="20"/>
              </w:rPr>
            </w:pPr>
            <w:r w:rsidRPr="00601136">
              <w:rPr>
                <w:rFonts w:ascii="Times New Roman" w:hAnsi="Times New Roman" w:cs="Times New Roman"/>
                <w:color w:val="000000"/>
                <w:kern w:val="0"/>
                <w:sz w:val="20"/>
                <w:szCs w:val="20"/>
              </w:rPr>
              <w:t xml:space="preserve">The existing policies of ESIC, or the advocacy for adoption of WADA’s prohibited list fail to serve the needs of esports athletes and risk throttling the growth of the burgeoning industry. </w:t>
            </w:r>
          </w:p>
        </w:tc>
      </w:tr>
      <w:tr w:rsidR="004029C1" w:rsidRPr="00601136" w14:paraId="71FB3539" w14:textId="77777777" w:rsidTr="00EA611C">
        <w:tc>
          <w:tcPr>
            <w:tcW w:w="1532" w:type="dxa"/>
          </w:tcPr>
          <w:p w14:paraId="3F287B57" w14:textId="77777777" w:rsidR="004029C1" w:rsidRPr="00601136" w:rsidRDefault="004029C1" w:rsidP="00EA611C">
            <w:pPr>
              <w:autoSpaceDE w:val="0"/>
              <w:autoSpaceDN w:val="0"/>
              <w:adjustRightInd w:val="0"/>
              <w:jc w:val="both"/>
              <w:rPr>
                <w:rFonts w:ascii="Times New Roman" w:hAnsi="Times New Roman" w:cs="Times New Roman"/>
                <w:sz w:val="20"/>
                <w:szCs w:val="20"/>
              </w:rPr>
            </w:pPr>
            <w:r w:rsidRPr="00601136">
              <w:rPr>
                <w:rFonts w:ascii="Times New Roman" w:hAnsi="Times New Roman" w:cs="Times New Roman"/>
                <w:sz w:val="20"/>
                <w:szCs w:val="20"/>
              </w:rPr>
              <w:t xml:space="preserve">Rana </w:t>
            </w:r>
            <w:r>
              <w:rPr>
                <w:rFonts w:ascii="Times New Roman" w:hAnsi="Times New Roman" w:cs="Times New Roman"/>
                <w:sz w:val="20"/>
                <w:szCs w:val="20"/>
              </w:rPr>
              <w:t>and</w:t>
            </w:r>
            <w:r w:rsidRPr="00601136">
              <w:rPr>
                <w:rFonts w:ascii="Times New Roman" w:hAnsi="Times New Roman" w:cs="Times New Roman"/>
                <w:sz w:val="20"/>
                <w:szCs w:val="20"/>
              </w:rPr>
              <w:t xml:space="preserve"> Parsai (2023)</w:t>
            </w:r>
          </w:p>
          <w:p w14:paraId="0F108B8E" w14:textId="77777777" w:rsidR="004029C1" w:rsidRPr="00601136" w:rsidRDefault="004029C1" w:rsidP="00EA611C">
            <w:pPr>
              <w:rPr>
                <w:rFonts w:ascii="Times New Roman" w:hAnsi="Times New Roman" w:cs="Times New Roman"/>
                <w:kern w:val="0"/>
                <w:sz w:val="20"/>
                <w:szCs w:val="20"/>
              </w:rPr>
            </w:pPr>
          </w:p>
        </w:tc>
        <w:tc>
          <w:tcPr>
            <w:tcW w:w="2403" w:type="dxa"/>
          </w:tcPr>
          <w:p w14:paraId="08C67CF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International Sports Law Journal</w:t>
            </w:r>
          </w:p>
        </w:tc>
        <w:tc>
          <w:tcPr>
            <w:tcW w:w="1730" w:type="dxa"/>
          </w:tcPr>
          <w:p w14:paraId="41B5A47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Doping and e-doping </w:t>
            </w:r>
          </w:p>
        </w:tc>
        <w:tc>
          <w:tcPr>
            <w:tcW w:w="1468" w:type="dxa"/>
          </w:tcPr>
          <w:p w14:paraId="7072552B"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6D3A55D1"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Suggests the</w:t>
            </w:r>
            <w:r w:rsidRPr="003B076E">
              <w:rPr>
                <w:rFonts w:ascii="Times New Roman" w:hAnsi="Times New Roman" w:cs="Times New Roman"/>
                <w:sz w:val="20"/>
                <w:szCs w:val="20"/>
              </w:rPr>
              <w:t xml:space="preserve"> need for a single International eSports Regulatory authority/federation for which inspiration can be drawn from other regulatory authorities like FIDE or FIFA.</w:t>
            </w:r>
          </w:p>
        </w:tc>
      </w:tr>
      <w:tr w:rsidR="004029C1" w:rsidRPr="00601136" w14:paraId="0856F512" w14:textId="77777777" w:rsidTr="00EA611C">
        <w:tc>
          <w:tcPr>
            <w:tcW w:w="1532" w:type="dxa"/>
          </w:tcPr>
          <w:p w14:paraId="4D35C71D" w14:textId="77777777" w:rsidR="004029C1" w:rsidRPr="003B076E" w:rsidRDefault="004029C1" w:rsidP="00EA611C">
            <w:pPr>
              <w:rPr>
                <w:rFonts w:ascii="Times New Roman" w:hAnsi="Times New Roman" w:cs="Times New Roman"/>
                <w:sz w:val="20"/>
                <w:szCs w:val="20"/>
              </w:rPr>
            </w:pPr>
            <w:r w:rsidRPr="00601136">
              <w:rPr>
                <w:rFonts w:ascii="Times New Roman" w:eastAsiaTheme="minorHAnsi" w:hAnsi="Times New Roman" w:cs="Times New Roman"/>
                <w:kern w:val="0"/>
                <w:sz w:val="20"/>
                <w:szCs w:val="20"/>
              </w:rPr>
              <w:t>Rosenthal (2021)</w:t>
            </w:r>
          </w:p>
        </w:tc>
        <w:tc>
          <w:tcPr>
            <w:tcW w:w="2403" w:type="dxa"/>
          </w:tcPr>
          <w:p w14:paraId="232483AC"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Virginia Sports and Entertainment Law Journal</w:t>
            </w:r>
          </w:p>
        </w:tc>
        <w:tc>
          <w:tcPr>
            <w:tcW w:w="1730" w:type="dxa"/>
          </w:tcPr>
          <w:p w14:paraId="4ADC12AF"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Anti-doping regulations and policies </w:t>
            </w:r>
          </w:p>
        </w:tc>
        <w:tc>
          <w:tcPr>
            <w:tcW w:w="1468" w:type="dxa"/>
          </w:tcPr>
          <w:p w14:paraId="77C59C10"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7300FF81" w14:textId="77777777" w:rsidR="004029C1" w:rsidRPr="003B076E" w:rsidRDefault="004029C1" w:rsidP="00EA611C">
            <w:pPr>
              <w:autoSpaceDE w:val="0"/>
              <w:autoSpaceDN w:val="0"/>
              <w:adjustRightInd w:val="0"/>
              <w:jc w:val="both"/>
              <w:rPr>
                <w:rFonts w:ascii="Times New Roman" w:hAnsi="Times New Roman" w:cs="Times New Roman"/>
                <w:sz w:val="20"/>
                <w:szCs w:val="20"/>
              </w:rPr>
            </w:pPr>
            <w:r w:rsidRPr="003B076E">
              <w:rPr>
                <w:rFonts w:ascii="Times New Roman" w:hAnsi="Times New Roman" w:cs="Times New Roman"/>
                <w:sz w:val="20"/>
                <w:szCs w:val="20"/>
              </w:rPr>
              <w:t xml:space="preserve">Implementing rigid regulations surrounding study drugs and TUEs will allow esports leagues to better provide the reasonable accommodation of a TUE to players whose disabilities necessitate it. </w:t>
            </w:r>
          </w:p>
        </w:tc>
      </w:tr>
      <w:tr w:rsidR="004029C1" w:rsidRPr="00601136" w14:paraId="1FDC4EA3" w14:textId="77777777" w:rsidTr="00EA611C">
        <w:tc>
          <w:tcPr>
            <w:tcW w:w="1532" w:type="dxa"/>
          </w:tcPr>
          <w:p w14:paraId="0B047B19" w14:textId="77777777" w:rsidR="004029C1" w:rsidRPr="003B076E" w:rsidRDefault="004029C1" w:rsidP="00EA611C">
            <w:pPr>
              <w:rPr>
                <w:rFonts w:ascii="Times New Roman" w:hAnsi="Times New Roman" w:cs="Times New Roman"/>
                <w:kern w:val="0"/>
                <w:sz w:val="20"/>
                <w:szCs w:val="20"/>
              </w:rPr>
            </w:pPr>
            <w:r w:rsidRPr="00601136">
              <w:rPr>
                <w:rFonts w:ascii="Times New Roman" w:eastAsiaTheme="minorHAnsi" w:hAnsi="Times New Roman" w:cs="Times New Roman"/>
                <w:kern w:val="0"/>
                <w:sz w:val="20"/>
                <w:szCs w:val="20"/>
              </w:rPr>
              <w:t>Shinohara (2021)</w:t>
            </w:r>
          </w:p>
        </w:tc>
        <w:tc>
          <w:tcPr>
            <w:tcW w:w="2403" w:type="dxa"/>
          </w:tcPr>
          <w:p w14:paraId="45F33377"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International Journal of Esports</w:t>
            </w:r>
          </w:p>
        </w:tc>
        <w:tc>
          <w:tcPr>
            <w:tcW w:w="1730" w:type="dxa"/>
          </w:tcPr>
          <w:p w14:paraId="1E0A3DB7"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Anti-doping regime and human rights</w:t>
            </w:r>
          </w:p>
        </w:tc>
        <w:tc>
          <w:tcPr>
            <w:tcW w:w="1468" w:type="dxa"/>
          </w:tcPr>
          <w:p w14:paraId="09EE5506"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896" w:type="dxa"/>
          </w:tcPr>
          <w:p w14:paraId="17407BDB"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Considers</w:t>
            </w:r>
            <w:r w:rsidRPr="003B076E">
              <w:rPr>
                <w:rFonts w:ascii="Times New Roman" w:hAnsi="Times New Roman" w:cs="Times New Roman"/>
                <w:sz w:val="20"/>
                <w:szCs w:val="20"/>
              </w:rPr>
              <w:t xml:space="preserve"> whether the anti-doping regime in esports can be considered as a sufficient system to ensure esports players’ rights under the ECHR and of how the esports federations should take necessary measures to protect the esports players in Switzerland.</w:t>
            </w:r>
          </w:p>
        </w:tc>
      </w:tr>
      <w:tr w:rsidR="004029C1" w:rsidRPr="00601136" w14:paraId="150EE3F6" w14:textId="77777777" w:rsidTr="00EA611C">
        <w:tc>
          <w:tcPr>
            <w:tcW w:w="1532" w:type="dxa"/>
          </w:tcPr>
          <w:p w14:paraId="61C18107" w14:textId="77777777" w:rsidR="004029C1" w:rsidRPr="003B076E" w:rsidRDefault="004029C1" w:rsidP="00EA611C">
            <w:pPr>
              <w:rPr>
                <w:rFonts w:ascii="Times New Roman" w:hAnsi="Times New Roman" w:cs="Times New Roman"/>
                <w:kern w:val="0"/>
                <w:sz w:val="20"/>
                <w:szCs w:val="20"/>
              </w:rPr>
            </w:pPr>
            <w:r w:rsidRPr="00601136">
              <w:rPr>
                <w:rFonts w:ascii="Times New Roman" w:eastAsiaTheme="minorHAnsi" w:hAnsi="Times New Roman" w:cs="Times New Roman"/>
                <w:kern w:val="0"/>
                <w:sz w:val="20"/>
                <w:szCs w:val="20"/>
              </w:rPr>
              <w:t>Stivers (2017)</w:t>
            </w:r>
          </w:p>
        </w:tc>
        <w:tc>
          <w:tcPr>
            <w:tcW w:w="2403" w:type="dxa"/>
          </w:tcPr>
          <w:p w14:paraId="577FE42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San Diego International Law Journal</w:t>
            </w:r>
          </w:p>
        </w:tc>
        <w:tc>
          <w:tcPr>
            <w:tcW w:w="1730" w:type="dxa"/>
          </w:tcPr>
          <w:p w14:paraId="605F7FC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ESL anti-doping regime and international law</w:t>
            </w:r>
          </w:p>
        </w:tc>
        <w:tc>
          <w:tcPr>
            <w:tcW w:w="1468" w:type="dxa"/>
          </w:tcPr>
          <w:p w14:paraId="4AB5110A"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896" w:type="dxa"/>
          </w:tcPr>
          <w:p w14:paraId="1F5B8520"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I</w:t>
            </w:r>
            <w:r w:rsidRPr="003B076E">
              <w:rPr>
                <w:rFonts w:ascii="Times New Roman" w:hAnsi="Times New Roman" w:cs="Times New Roman"/>
                <w:sz w:val="20"/>
                <w:szCs w:val="20"/>
              </w:rPr>
              <w:t>dentifies the deficiencies of the ESL anti-doping regime and proposes solutions for compliance with international law.</w:t>
            </w:r>
          </w:p>
        </w:tc>
      </w:tr>
      <w:tr w:rsidR="004029C1" w:rsidRPr="00601136" w14:paraId="07F5C3DE" w14:textId="77777777" w:rsidTr="00EA611C">
        <w:tc>
          <w:tcPr>
            <w:tcW w:w="1532" w:type="dxa"/>
          </w:tcPr>
          <w:p w14:paraId="774C04D8" w14:textId="77777777" w:rsidR="004029C1" w:rsidRPr="00601136" w:rsidRDefault="004029C1" w:rsidP="00EA611C">
            <w:pPr>
              <w:rPr>
                <w:rFonts w:ascii="Times New Roman" w:hAnsi="Times New Roman" w:cs="Times New Roman"/>
                <w:kern w:val="0"/>
                <w:sz w:val="20"/>
                <w:szCs w:val="20"/>
              </w:rPr>
            </w:pPr>
            <w:r w:rsidRPr="00601136">
              <w:rPr>
                <w:rFonts w:ascii="Times New Roman" w:hAnsi="Times New Roman" w:cs="Times New Roman"/>
                <w:kern w:val="0"/>
                <w:sz w:val="20"/>
                <w:szCs w:val="20"/>
              </w:rPr>
              <w:t>Tweedie et al. (2022)</w:t>
            </w:r>
          </w:p>
        </w:tc>
        <w:tc>
          <w:tcPr>
            <w:tcW w:w="2403" w:type="dxa"/>
          </w:tcPr>
          <w:p w14:paraId="3A62C05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Book chapter – Social Issues in Esports</w:t>
            </w:r>
          </w:p>
        </w:tc>
        <w:tc>
          <w:tcPr>
            <w:tcW w:w="1730" w:type="dxa"/>
          </w:tcPr>
          <w:p w14:paraId="7978A1F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Doping </w:t>
            </w:r>
          </w:p>
        </w:tc>
        <w:tc>
          <w:tcPr>
            <w:tcW w:w="1468" w:type="dxa"/>
          </w:tcPr>
          <w:p w14:paraId="23EB5A74"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896" w:type="dxa"/>
          </w:tcPr>
          <w:p w14:paraId="16F9CB37"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 xml:space="preserve">The widespread use of performance-enhancing drugs is one of the greatest threats to the integrity of the professional esports industry. If esports </w:t>
            </w:r>
            <w:r w:rsidRPr="00601136">
              <w:rPr>
                <w:rFonts w:ascii="Times New Roman" w:hAnsi="Times New Roman" w:cs="Times New Roman"/>
                <w:sz w:val="20"/>
                <w:szCs w:val="20"/>
              </w:rPr>
              <w:t>are</w:t>
            </w:r>
            <w:r w:rsidRPr="003B076E">
              <w:rPr>
                <w:rFonts w:ascii="Times New Roman" w:hAnsi="Times New Roman" w:cs="Times New Roman"/>
                <w:sz w:val="20"/>
                <w:szCs w:val="20"/>
              </w:rPr>
              <w:t xml:space="preserve"> to achieve legitimacy in the broader sports world, embracing anti-doping policies will be essential.</w:t>
            </w:r>
          </w:p>
        </w:tc>
      </w:tr>
    </w:tbl>
    <w:p w14:paraId="7A67C8AD" w14:textId="77777777" w:rsidR="004029C1" w:rsidRDefault="004029C1" w:rsidP="004029C1">
      <w:pPr>
        <w:rPr>
          <w:rFonts w:ascii="Times New Roman" w:hAnsi="Times New Roman" w:cs="Times New Roman"/>
          <w:sz w:val="22"/>
          <w:szCs w:val="22"/>
        </w:rPr>
      </w:pPr>
    </w:p>
    <w:p w14:paraId="7A8A9B6A" w14:textId="77777777" w:rsidR="004029C1" w:rsidRDefault="004029C1" w:rsidP="004029C1">
      <w:pPr>
        <w:rPr>
          <w:rFonts w:ascii="Times New Roman" w:hAnsi="Times New Roman" w:cs="Times New Roman"/>
          <w:sz w:val="22"/>
          <w:szCs w:val="22"/>
        </w:rPr>
      </w:pPr>
    </w:p>
    <w:p w14:paraId="32793A67" w14:textId="77777777" w:rsidR="004029C1" w:rsidRDefault="004029C1" w:rsidP="004029C1">
      <w:pPr>
        <w:rPr>
          <w:rFonts w:ascii="Times New Roman" w:hAnsi="Times New Roman" w:cs="Times New Roman"/>
          <w:sz w:val="22"/>
          <w:szCs w:val="22"/>
        </w:rPr>
      </w:pPr>
    </w:p>
    <w:p w14:paraId="6FC255DC" w14:textId="77777777" w:rsidR="004029C1" w:rsidRDefault="004029C1" w:rsidP="004029C1">
      <w:pPr>
        <w:rPr>
          <w:rFonts w:ascii="Times New Roman" w:hAnsi="Times New Roman" w:cs="Times New Roman"/>
          <w:sz w:val="22"/>
          <w:szCs w:val="22"/>
        </w:rPr>
      </w:pPr>
    </w:p>
    <w:p w14:paraId="41A253A1" w14:textId="77777777" w:rsidR="004029C1" w:rsidRDefault="004029C1" w:rsidP="004029C1">
      <w:pPr>
        <w:rPr>
          <w:rFonts w:ascii="Times New Roman" w:hAnsi="Times New Roman" w:cs="Times New Roman"/>
          <w:sz w:val="22"/>
          <w:szCs w:val="22"/>
        </w:rPr>
      </w:pPr>
    </w:p>
    <w:p w14:paraId="40F12A1A" w14:textId="77777777" w:rsidR="004029C1" w:rsidRDefault="004029C1" w:rsidP="004029C1">
      <w:pPr>
        <w:rPr>
          <w:rFonts w:ascii="Times New Roman" w:hAnsi="Times New Roman" w:cs="Times New Roman"/>
          <w:sz w:val="22"/>
          <w:szCs w:val="22"/>
        </w:rPr>
      </w:pPr>
    </w:p>
    <w:p w14:paraId="4C4A9A89" w14:textId="77777777" w:rsidR="004029C1" w:rsidRDefault="004029C1" w:rsidP="004029C1">
      <w:pPr>
        <w:rPr>
          <w:rFonts w:ascii="Times New Roman" w:hAnsi="Times New Roman" w:cs="Times New Roman"/>
          <w:sz w:val="22"/>
          <w:szCs w:val="22"/>
        </w:rPr>
      </w:pPr>
    </w:p>
    <w:p w14:paraId="4BA75111" w14:textId="77777777" w:rsidR="004029C1" w:rsidRDefault="004029C1" w:rsidP="004029C1">
      <w:pPr>
        <w:rPr>
          <w:rFonts w:ascii="Times New Roman" w:hAnsi="Times New Roman" w:cs="Times New Roman"/>
          <w:sz w:val="22"/>
          <w:szCs w:val="22"/>
        </w:rPr>
      </w:pPr>
    </w:p>
    <w:p w14:paraId="159BCAA1" w14:textId="77777777" w:rsidR="004029C1" w:rsidRDefault="004029C1" w:rsidP="004029C1">
      <w:pPr>
        <w:rPr>
          <w:rFonts w:ascii="Times New Roman" w:hAnsi="Times New Roman" w:cs="Times New Roman"/>
          <w:sz w:val="22"/>
          <w:szCs w:val="22"/>
        </w:rPr>
      </w:pPr>
    </w:p>
    <w:p w14:paraId="1EF3A671" w14:textId="77777777" w:rsidR="004029C1" w:rsidRDefault="004029C1" w:rsidP="004029C1">
      <w:pPr>
        <w:rPr>
          <w:rFonts w:ascii="Times New Roman" w:hAnsi="Times New Roman" w:cs="Times New Roman"/>
          <w:sz w:val="22"/>
          <w:szCs w:val="22"/>
        </w:rPr>
      </w:pPr>
    </w:p>
    <w:p w14:paraId="65926848" w14:textId="77777777" w:rsidR="004029C1" w:rsidRDefault="004029C1" w:rsidP="004029C1">
      <w:pPr>
        <w:rPr>
          <w:rFonts w:ascii="Times New Roman" w:hAnsi="Times New Roman" w:cs="Times New Roman"/>
          <w:sz w:val="22"/>
          <w:szCs w:val="22"/>
        </w:rPr>
      </w:pPr>
    </w:p>
    <w:p w14:paraId="0D64CDF7" w14:textId="77777777" w:rsidR="004029C1" w:rsidRDefault="004029C1" w:rsidP="004029C1">
      <w:pPr>
        <w:rPr>
          <w:rFonts w:ascii="Times New Roman" w:hAnsi="Times New Roman" w:cs="Times New Roman"/>
          <w:sz w:val="22"/>
          <w:szCs w:val="22"/>
        </w:rPr>
      </w:pPr>
    </w:p>
    <w:p w14:paraId="6F3E25B7" w14:textId="77777777" w:rsidR="004029C1" w:rsidRPr="00601136" w:rsidRDefault="004029C1" w:rsidP="004029C1">
      <w:pPr>
        <w:pStyle w:val="Paragraph"/>
      </w:pPr>
      <w:r w:rsidRPr="00601136">
        <w:lastRenderedPageBreak/>
        <w:t xml:space="preserve">Table </w:t>
      </w:r>
      <w:r>
        <w:t>6</w:t>
      </w:r>
      <w:r w:rsidRPr="00601136">
        <w:t xml:space="preserve">: Key features of articles with an e-doping focus </w:t>
      </w:r>
    </w:p>
    <w:tbl>
      <w:tblPr>
        <w:tblStyle w:val="TableGrid"/>
        <w:tblW w:w="14029" w:type="dxa"/>
        <w:tblLook w:val="04A0" w:firstRow="1" w:lastRow="0" w:firstColumn="1" w:lastColumn="0" w:noHBand="0" w:noVBand="1"/>
      </w:tblPr>
      <w:tblGrid>
        <w:gridCol w:w="1623"/>
        <w:gridCol w:w="2665"/>
        <w:gridCol w:w="1583"/>
        <w:gridCol w:w="1850"/>
        <w:gridCol w:w="6308"/>
      </w:tblGrid>
      <w:tr w:rsidR="004029C1" w:rsidRPr="00601136" w14:paraId="15827D8B" w14:textId="77777777" w:rsidTr="00EA611C">
        <w:tc>
          <w:tcPr>
            <w:tcW w:w="1644" w:type="dxa"/>
          </w:tcPr>
          <w:p w14:paraId="3E39C508"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Author/Year</w:t>
            </w:r>
          </w:p>
        </w:tc>
        <w:tc>
          <w:tcPr>
            <w:tcW w:w="2746" w:type="dxa"/>
          </w:tcPr>
          <w:p w14:paraId="49489EF2"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Publication</w:t>
            </w:r>
          </w:p>
        </w:tc>
        <w:tc>
          <w:tcPr>
            <w:tcW w:w="1151" w:type="dxa"/>
          </w:tcPr>
          <w:p w14:paraId="020677FE"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Theme</w:t>
            </w:r>
          </w:p>
        </w:tc>
        <w:tc>
          <w:tcPr>
            <w:tcW w:w="1894" w:type="dxa"/>
          </w:tcPr>
          <w:p w14:paraId="4D360917"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Method</w:t>
            </w:r>
          </w:p>
        </w:tc>
        <w:tc>
          <w:tcPr>
            <w:tcW w:w="6594" w:type="dxa"/>
          </w:tcPr>
          <w:p w14:paraId="2D078B94"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Key findings</w:t>
            </w:r>
          </w:p>
        </w:tc>
      </w:tr>
      <w:tr w:rsidR="004029C1" w:rsidRPr="00601136" w14:paraId="06EEB496" w14:textId="77777777" w:rsidTr="00EA611C">
        <w:tc>
          <w:tcPr>
            <w:tcW w:w="1644" w:type="dxa"/>
          </w:tcPr>
          <w:p w14:paraId="4A16E9A1" w14:textId="77777777" w:rsidR="004029C1" w:rsidRPr="003B076E" w:rsidRDefault="004029C1" w:rsidP="00EA611C">
            <w:pPr>
              <w:rPr>
                <w:rFonts w:ascii="Times New Roman" w:hAnsi="Times New Roman" w:cs="Times New Roman"/>
                <w:kern w:val="0"/>
                <w:sz w:val="20"/>
                <w:szCs w:val="20"/>
              </w:rPr>
            </w:pPr>
            <w:r w:rsidRPr="003B076E">
              <w:rPr>
                <w:rFonts w:ascii="Times New Roman" w:hAnsi="Times New Roman" w:cs="Times New Roman"/>
                <w:sz w:val="20"/>
                <w:szCs w:val="20"/>
              </w:rPr>
              <w:t>Richardson et al. (2022)</w:t>
            </w:r>
          </w:p>
        </w:tc>
        <w:tc>
          <w:tcPr>
            <w:tcW w:w="2746" w:type="dxa"/>
          </w:tcPr>
          <w:p w14:paraId="6C0D9EC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International Journal of Esports</w:t>
            </w:r>
          </w:p>
        </w:tc>
        <w:tc>
          <w:tcPr>
            <w:tcW w:w="1151" w:type="dxa"/>
          </w:tcPr>
          <w:p w14:paraId="61920C17"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Doping and e-doping in virtual cycling</w:t>
            </w:r>
          </w:p>
        </w:tc>
        <w:tc>
          <w:tcPr>
            <w:tcW w:w="1894" w:type="dxa"/>
          </w:tcPr>
          <w:p w14:paraId="3AE6C4AB"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594" w:type="dxa"/>
          </w:tcPr>
          <w:p w14:paraId="4213A6B1" w14:textId="77777777" w:rsidR="004029C1" w:rsidRPr="003B076E" w:rsidRDefault="004029C1" w:rsidP="00EA611C">
            <w:pPr>
              <w:jc w:val="both"/>
              <w:rPr>
                <w:rFonts w:ascii="Times New Roman" w:hAnsi="Times New Roman" w:cs="Times New Roman"/>
                <w:sz w:val="20"/>
                <w:szCs w:val="20"/>
              </w:rPr>
            </w:pPr>
            <w:r w:rsidRPr="00601136">
              <w:rPr>
                <w:rFonts w:ascii="Times New Roman" w:hAnsi="Times New Roman" w:cs="Times New Roman"/>
                <w:sz w:val="20"/>
                <w:szCs w:val="20"/>
              </w:rPr>
              <w:t>O</w:t>
            </w:r>
            <w:r w:rsidRPr="003B076E">
              <w:rPr>
                <w:rFonts w:ascii="Times New Roman" w:hAnsi="Times New Roman" w:cs="Times New Roman"/>
                <w:sz w:val="20"/>
                <w:szCs w:val="20"/>
              </w:rPr>
              <w:t>utlines Zwift’s anti-doping policy, its limitations, and how Zwift has been exploited by dopers and cheaters</w:t>
            </w:r>
            <w:r w:rsidRPr="00601136">
              <w:rPr>
                <w:rFonts w:ascii="Times New Roman" w:hAnsi="Times New Roman" w:cs="Times New Roman"/>
                <w:sz w:val="20"/>
                <w:szCs w:val="20"/>
              </w:rPr>
              <w:t>, and offers recommendations.</w:t>
            </w:r>
            <w:r w:rsidRPr="003B076E">
              <w:rPr>
                <w:rFonts w:ascii="Times New Roman" w:hAnsi="Times New Roman" w:cs="Times New Roman"/>
                <w:sz w:val="20"/>
                <w:szCs w:val="20"/>
              </w:rPr>
              <w:t xml:space="preserve"> </w:t>
            </w:r>
          </w:p>
        </w:tc>
      </w:tr>
      <w:tr w:rsidR="004029C1" w:rsidRPr="00601136" w14:paraId="484BD70B" w14:textId="77777777" w:rsidTr="00EA611C">
        <w:tc>
          <w:tcPr>
            <w:tcW w:w="1644" w:type="dxa"/>
          </w:tcPr>
          <w:p w14:paraId="0E92A1A2"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Dyer (202</w:t>
            </w:r>
            <w:r>
              <w:rPr>
                <w:rFonts w:ascii="Times New Roman" w:eastAsiaTheme="minorHAnsi" w:hAnsi="Times New Roman" w:cs="Times New Roman"/>
                <w:kern w:val="0"/>
                <w:sz w:val="20"/>
                <w:szCs w:val="20"/>
              </w:rPr>
              <w:t>3</w:t>
            </w:r>
            <w:r w:rsidRPr="00601136">
              <w:rPr>
                <w:rFonts w:ascii="Times New Roman" w:eastAsiaTheme="minorHAnsi" w:hAnsi="Times New Roman" w:cs="Times New Roman"/>
                <w:kern w:val="0"/>
                <w:sz w:val="20"/>
                <w:szCs w:val="20"/>
              </w:rPr>
              <w:t>)</w:t>
            </w:r>
          </w:p>
        </w:tc>
        <w:tc>
          <w:tcPr>
            <w:tcW w:w="2746" w:type="dxa"/>
          </w:tcPr>
          <w:p w14:paraId="2A4F6DB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Book chapter – Social issues in esports</w:t>
            </w:r>
          </w:p>
        </w:tc>
        <w:tc>
          <w:tcPr>
            <w:tcW w:w="1151" w:type="dxa"/>
          </w:tcPr>
          <w:p w14:paraId="4431B3B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e-doping in virtual cycling</w:t>
            </w:r>
          </w:p>
        </w:tc>
        <w:tc>
          <w:tcPr>
            <w:tcW w:w="1894" w:type="dxa"/>
          </w:tcPr>
          <w:p w14:paraId="41C94FD3"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594" w:type="dxa"/>
          </w:tcPr>
          <w:p w14:paraId="63081649"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hAnsi="Times New Roman" w:cs="Times New Roman"/>
                <w:kern w:val="0"/>
                <w:sz w:val="20"/>
                <w:szCs w:val="20"/>
              </w:rPr>
              <w:t>A ‘digital performance passports’ is proposed as long-term solution of cyber doping.</w:t>
            </w:r>
          </w:p>
        </w:tc>
      </w:tr>
      <w:tr w:rsidR="004029C1" w:rsidRPr="00601136" w14:paraId="71B6575F" w14:textId="77777777" w:rsidTr="00EA611C">
        <w:tc>
          <w:tcPr>
            <w:tcW w:w="1644" w:type="dxa"/>
          </w:tcPr>
          <w:p w14:paraId="2085A9C0"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 xml:space="preserve">Conroy </w:t>
            </w:r>
            <w:r>
              <w:rPr>
                <w:rFonts w:ascii="Times New Roman" w:eastAsiaTheme="minorHAnsi" w:hAnsi="Times New Roman" w:cs="Times New Roman"/>
                <w:kern w:val="0"/>
                <w:sz w:val="20"/>
                <w:szCs w:val="20"/>
              </w:rPr>
              <w:t>et al.</w:t>
            </w:r>
            <w:r w:rsidRPr="003B076E">
              <w:rPr>
                <w:rFonts w:ascii="Times New Roman" w:eastAsiaTheme="minorHAnsi" w:hAnsi="Times New Roman" w:cs="Times New Roman"/>
                <w:kern w:val="0"/>
                <w:sz w:val="20"/>
                <w:szCs w:val="20"/>
              </w:rPr>
              <w:t xml:space="preserve"> (202</w:t>
            </w:r>
            <w:r>
              <w:rPr>
                <w:rFonts w:ascii="Times New Roman" w:eastAsiaTheme="minorHAnsi" w:hAnsi="Times New Roman" w:cs="Times New Roman"/>
                <w:kern w:val="0"/>
                <w:sz w:val="20"/>
                <w:szCs w:val="20"/>
              </w:rPr>
              <w:t>1</w:t>
            </w:r>
            <w:r w:rsidRPr="003B076E">
              <w:rPr>
                <w:rFonts w:ascii="Times New Roman" w:eastAsiaTheme="minorHAnsi" w:hAnsi="Times New Roman" w:cs="Times New Roman"/>
                <w:kern w:val="0"/>
                <w:sz w:val="20"/>
                <w:szCs w:val="20"/>
              </w:rPr>
              <w:t>)</w:t>
            </w:r>
          </w:p>
        </w:tc>
        <w:tc>
          <w:tcPr>
            <w:tcW w:w="2746" w:type="dxa"/>
          </w:tcPr>
          <w:p w14:paraId="42CDDBA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Entertainment Computing</w:t>
            </w:r>
          </w:p>
        </w:tc>
        <w:tc>
          <w:tcPr>
            <w:tcW w:w="1151" w:type="dxa"/>
          </w:tcPr>
          <w:p w14:paraId="6E716D2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Boosting in esports</w:t>
            </w:r>
          </w:p>
        </w:tc>
        <w:tc>
          <w:tcPr>
            <w:tcW w:w="1894" w:type="dxa"/>
          </w:tcPr>
          <w:p w14:paraId="1074CA22"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6594" w:type="dxa"/>
          </w:tcPr>
          <w:p w14:paraId="6B7B3BE9"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hAnsi="Times New Roman" w:cs="Times New Roman"/>
                <w:kern w:val="0"/>
                <w:sz w:val="20"/>
                <w:szCs w:val="20"/>
              </w:rPr>
              <w:t>The estimated potential boosting industry revenue in three games (LoL</w:t>
            </w:r>
            <w:r>
              <w:rPr>
                <w:rFonts w:ascii="Times New Roman" w:hAnsi="Times New Roman" w:cs="Times New Roman"/>
                <w:kern w:val="0"/>
                <w:sz w:val="20"/>
                <w:szCs w:val="20"/>
              </w:rPr>
              <w:t xml:space="preserve">, </w:t>
            </w:r>
            <w:r w:rsidRPr="00601136">
              <w:rPr>
                <w:rFonts w:ascii="Times New Roman" w:hAnsi="Times New Roman" w:cs="Times New Roman"/>
                <w:kern w:val="0"/>
                <w:sz w:val="20"/>
                <w:szCs w:val="20"/>
              </w:rPr>
              <w:t>Overwatch</w:t>
            </w:r>
            <w:r>
              <w:rPr>
                <w:rFonts w:ascii="Times New Roman" w:hAnsi="Times New Roman" w:cs="Times New Roman"/>
                <w:kern w:val="0"/>
                <w:sz w:val="20"/>
                <w:szCs w:val="20"/>
              </w:rPr>
              <w:t>,</w:t>
            </w:r>
            <w:r w:rsidRPr="00601136">
              <w:rPr>
                <w:rFonts w:ascii="Times New Roman" w:hAnsi="Times New Roman" w:cs="Times New Roman"/>
                <w:kern w:val="0"/>
                <w:sz w:val="20"/>
                <w:szCs w:val="20"/>
              </w:rPr>
              <w:t xml:space="preserve"> Dota 2)</w:t>
            </w:r>
            <w:r>
              <w:rPr>
                <w:rFonts w:ascii="Times New Roman" w:hAnsi="Times New Roman" w:cs="Times New Roman"/>
                <w:kern w:val="0"/>
                <w:sz w:val="20"/>
                <w:szCs w:val="20"/>
              </w:rPr>
              <w:t xml:space="preserve"> </w:t>
            </w:r>
            <w:r w:rsidRPr="00601136">
              <w:rPr>
                <w:rFonts w:ascii="Times New Roman" w:hAnsi="Times New Roman" w:cs="Times New Roman"/>
                <w:kern w:val="0"/>
                <w:sz w:val="20"/>
                <w:szCs w:val="20"/>
              </w:rPr>
              <w:t>combined is approximately €111,566,660</w:t>
            </w:r>
            <w:r>
              <w:rPr>
                <w:rFonts w:ascii="Times New Roman" w:hAnsi="Times New Roman" w:cs="Times New Roman"/>
                <w:kern w:val="0"/>
                <w:sz w:val="20"/>
                <w:szCs w:val="20"/>
              </w:rPr>
              <w:t>.</w:t>
            </w:r>
          </w:p>
        </w:tc>
      </w:tr>
      <w:tr w:rsidR="004029C1" w:rsidRPr="00601136" w14:paraId="466C06CD" w14:textId="77777777" w:rsidTr="00EA611C">
        <w:tc>
          <w:tcPr>
            <w:tcW w:w="1644" w:type="dxa"/>
          </w:tcPr>
          <w:p w14:paraId="7B42CFEB" w14:textId="77777777" w:rsidR="004029C1" w:rsidRPr="003B076E"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Hwang (2022)</w:t>
            </w:r>
          </w:p>
        </w:tc>
        <w:tc>
          <w:tcPr>
            <w:tcW w:w="2746" w:type="dxa"/>
          </w:tcPr>
          <w:p w14:paraId="4D2F66A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Northwestern University Law Review</w:t>
            </w:r>
          </w:p>
        </w:tc>
        <w:tc>
          <w:tcPr>
            <w:tcW w:w="1151" w:type="dxa"/>
          </w:tcPr>
          <w:p w14:paraId="2E82E1E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Regulating e-doping</w:t>
            </w:r>
          </w:p>
        </w:tc>
        <w:tc>
          <w:tcPr>
            <w:tcW w:w="1894" w:type="dxa"/>
          </w:tcPr>
          <w:p w14:paraId="6E201ED8"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594" w:type="dxa"/>
          </w:tcPr>
          <w:p w14:paraId="614C47D1"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hAnsi="Times New Roman" w:cs="Times New Roman"/>
                <w:kern w:val="0"/>
                <w:sz w:val="20"/>
                <w:szCs w:val="20"/>
              </w:rPr>
              <w:t>Suggests that the e-sports industry adapt the UCI model with regard to technological doping.</w:t>
            </w:r>
          </w:p>
        </w:tc>
      </w:tr>
      <w:tr w:rsidR="004029C1" w:rsidRPr="00601136" w14:paraId="6896D638" w14:textId="77777777" w:rsidTr="00EA611C">
        <w:tc>
          <w:tcPr>
            <w:tcW w:w="1644" w:type="dxa"/>
          </w:tcPr>
          <w:p w14:paraId="394DB333"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Thorne (2022)</w:t>
            </w:r>
          </w:p>
        </w:tc>
        <w:tc>
          <w:tcPr>
            <w:tcW w:w="2746" w:type="dxa"/>
          </w:tcPr>
          <w:p w14:paraId="74E0855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Eracle Journal of Sport and Social Sciences</w:t>
            </w:r>
          </w:p>
        </w:tc>
        <w:tc>
          <w:tcPr>
            <w:tcW w:w="1151" w:type="dxa"/>
          </w:tcPr>
          <w:p w14:paraId="646938D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e-doping in virtual cycling</w:t>
            </w:r>
          </w:p>
        </w:tc>
        <w:tc>
          <w:tcPr>
            <w:tcW w:w="1894" w:type="dxa"/>
          </w:tcPr>
          <w:p w14:paraId="33B5A9D4"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594" w:type="dxa"/>
          </w:tcPr>
          <w:p w14:paraId="5B41062D"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Suggests that Zwift modifies its mechanics and gameplay to both reduce the effects of weight-doping and diminish the risks of developing disordered eating that is associated with weight-sensitive sports.</w:t>
            </w:r>
          </w:p>
        </w:tc>
      </w:tr>
      <w:tr w:rsidR="004029C1" w:rsidRPr="00601136" w14:paraId="01285432" w14:textId="77777777" w:rsidTr="00EA611C">
        <w:tc>
          <w:tcPr>
            <w:tcW w:w="1644" w:type="dxa"/>
          </w:tcPr>
          <w:p w14:paraId="7DA5156E"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Naweed et al. (2023)</w:t>
            </w:r>
          </w:p>
        </w:tc>
        <w:tc>
          <w:tcPr>
            <w:tcW w:w="2746" w:type="dxa"/>
          </w:tcPr>
          <w:p w14:paraId="41341D2A"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Journal of Global Sport Management</w:t>
            </w:r>
          </w:p>
        </w:tc>
        <w:tc>
          <w:tcPr>
            <w:tcW w:w="1151" w:type="dxa"/>
          </w:tcPr>
          <w:p w14:paraId="074FA60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Unsportsmanlike </w:t>
            </w:r>
            <w:r w:rsidRPr="00601136">
              <w:rPr>
                <w:rFonts w:ascii="Times New Roman" w:hAnsi="Times New Roman" w:cs="Times New Roman"/>
                <w:sz w:val="20"/>
                <w:szCs w:val="20"/>
              </w:rPr>
              <w:t>behaviours</w:t>
            </w:r>
            <w:r w:rsidRPr="003B076E">
              <w:rPr>
                <w:rFonts w:ascii="Times New Roman" w:hAnsi="Times New Roman" w:cs="Times New Roman"/>
                <w:sz w:val="20"/>
                <w:szCs w:val="20"/>
              </w:rPr>
              <w:t xml:space="preserve"> </w:t>
            </w:r>
          </w:p>
        </w:tc>
        <w:tc>
          <w:tcPr>
            <w:tcW w:w="1894" w:type="dxa"/>
          </w:tcPr>
          <w:p w14:paraId="15A054B9" w14:textId="77777777" w:rsidR="004029C1" w:rsidRPr="00601136" w:rsidRDefault="004029C1" w:rsidP="00EA611C">
            <w:pPr>
              <w:rPr>
                <w:rFonts w:ascii="Times New Roman" w:eastAsiaTheme="minorHAnsi" w:hAnsi="Times New Roman" w:cs="Times New Roman"/>
                <w:kern w:val="0"/>
                <w:sz w:val="20"/>
                <w:szCs w:val="20"/>
              </w:rPr>
            </w:pPr>
            <w:r>
              <w:rPr>
                <w:rFonts w:ascii="Times New Roman" w:hAnsi="Times New Roman" w:cs="Times New Roman"/>
                <w:sz w:val="20"/>
                <w:szCs w:val="20"/>
              </w:rPr>
              <w:t>Mixed Methods</w:t>
            </w:r>
          </w:p>
        </w:tc>
        <w:tc>
          <w:tcPr>
            <w:tcW w:w="6594" w:type="dxa"/>
          </w:tcPr>
          <w:p w14:paraId="42DF0750"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The complexity in the interpretation of sportsmanship in esport gaming contexts </w:t>
            </w:r>
            <w:r>
              <w:rPr>
                <w:rFonts w:ascii="Times New Roman" w:eastAsiaTheme="minorHAnsi" w:hAnsi="Times New Roman" w:cs="Times New Roman"/>
                <w:kern w:val="0"/>
                <w:sz w:val="20"/>
                <w:szCs w:val="20"/>
              </w:rPr>
              <w:t>sets</w:t>
            </w:r>
            <w:r w:rsidRPr="00601136">
              <w:rPr>
                <w:rFonts w:ascii="Times New Roman" w:eastAsiaTheme="minorHAnsi" w:hAnsi="Times New Roman" w:cs="Times New Roman"/>
                <w:kern w:val="0"/>
                <w:sz w:val="20"/>
                <w:szCs w:val="20"/>
              </w:rPr>
              <w:t xml:space="preserve"> it far enough apart from traditional sports to potentially paint a specific picture of ‘esportsmanship’.</w:t>
            </w:r>
          </w:p>
        </w:tc>
      </w:tr>
      <w:tr w:rsidR="004029C1" w:rsidRPr="00601136" w14:paraId="40723B2D" w14:textId="77777777" w:rsidTr="00EA611C">
        <w:tc>
          <w:tcPr>
            <w:tcW w:w="1644" w:type="dxa"/>
          </w:tcPr>
          <w:p w14:paraId="0332A443" w14:textId="77777777" w:rsidR="004029C1" w:rsidRPr="003B076E"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Irwin </w:t>
            </w:r>
            <w:r>
              <w:rPr>
                <w:rFonts w:ascii="Times New Roman" w:eastAsiaTheme="minorHAnsi" w:hAnsi="Times New Roman" w:cs="Times New Roman"/>
                <w:kern w:val="0"/>
                <w:sz w:val="20"/>
                <w:szCs w:val="20"/>
              </w:rPr>
              <w:t xml:space="preserve">and </w:t>
            </w:r>
            <w:r w:rsidRPr="00601136">
              <w:rPr>
                <w:rFonts w:ascii="Times New Roman" w:eastAsiaTheme="minorHAnsi" w:hAnsi="Times New Roman" w:cs="Times New Roman"/>
                <w:kern w:val="0"/>
                <w:sz w:val="20"/>
                <w:szCs w:val="20"/>
              </w:rPr>
              <w:t>Naweed (2020)</w:t>
            </w:r>
          </w:p>
        </w:tc>
        <w:tc>
          <w:tcPr>
            <w:tcW w:w="2746" w:type="dxa"/>
          </w:tcPr>
          <w:p w14:paraId="48D4444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Games and Culture</w:t>
            </w:r>
          </w:p>
        </w:tc>
        <w:tc>
          <w:tcPr>
            <w:tcW w:w="1151" w:type="dxa"/>
          </w:tcPr>
          <w:p w14:paraId="124B538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Unsportsmanlike </w:t>
            </w:r>
            <w:r w:rsidRPr="00601136">
              <w:rPr>
                <w:rFonts w:ascii="Times New Roman" w:hAnsi="Times New Roman" w:cs="Times New Roman"/>
                <w:sz w:val="20"/>
                <w:szCs w:val="20"/>
              </w:rPr>
              <w:t>behaviours</w:t>
            </w:r>
          </w:p>
        </w:tc>
        <w:tc>
          <w:tcPr>
            <w:tcW w:w="1894" w:type="dxa"/>
          </w:tcPr>
          <w:p w14:paraId="6ECF5DF1"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Mixed Methods</w:t>
            </w:r>
          </w:p>
        </w:tc>
        <w:tc>
          <w:tcPr>
            <w:tcW w:w="6594" w:type="dxa"/>
          </w:tcPr>
          <w:p w14:paraId="2453DDD7"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Some unsportsmanlike behaviors are a peculiarity of esports</w:t>
            </w:r>
            <w:r>
              <w:rPr>
                <w:rFonts w:ascii="Times New Roman" w:eastAsiaTheme="minorHAnsi" w:hAnsi="Times New Roman" w:cs="Times New Roman"/>
                <w:kern w:val="0"/>
                <w:sz w:val="20"/>
                <w:szCs w:val="20"/>
              </w:rPr>
              <w:t xml:space="preserve">. </w:t>
            </w:r>
            <w:r w:rsidRPr="00601136">
              <w:rPr>
                <w:rFonts w:ascii="Times New Roman" w:eastAsiaTheme="minorHAnsi" w:hAnsi="Times New Roman" w:cs="Times New Roman"/>
                <w:kern w:val="0"/>
                <w:sz w:val="20"/>
                <w:szCs w:val="20"/>
              </w:rPr>
              <w:t>“</w:t>
            </w:r>
            <w:r>
              <w:rPr>
                <w:rFonts w:ascii="Times New Roman" w:eastAsiaTheme="minorHAnsi" w:hAnsi="Times New Roman" w:cs="Times New Roman"/>
                <w:kern w:val="0"/>
                <w:sz w:val="20"/>
                <w:szCs w:val="20"/>
              </w:rPr>
              <w:t>B</w:t>
            </w:r>
            <w:r w:rsidRPr="00601136">
              <w:rPr>
                <w:rFonts w:ascii="Times New Roman" w:eastAsiaTheme="minorHAnsi" w:hAnsi="Times New Roman" w:cs="Times New Roman"/>
                <w:kern w:val="0"/>
                <w:sz w:val="20"/>
                <w:szCs w:val="20"/>
              </w:rPr>
              <w:t xml:space="preserve">ug exploiting” </w:t>
            </w:r>
            <w:r>
              <w:rPr>
                <w:rFonts w:ascii="Times New Roman" w:eastAsiaTheme="minorHAnsi" w:hAnsi="Times New Roman" w:cs="Times New Roman"/>
                <w:kern w:val="0"/>
                <w:sz w:val="20"/>
                <w:szCs w:val="20"/>
              </w:rPr>
              <w:t>sparks a</w:t>
            </w:r>
            <w:r w:rsidRPr="00601136">
              <w:rPr>
                <w:rFonts w:ascii="Times New Roman" w:eastAsiaTheme="minorHAnsi" w:hAnsi="Times New Roman" w:cs="Times New Roman"/>
                <w:kern w:val="0"/>
                <w:sz w:val="20"/>
                <w:szCs w:val="20"/>
              </w:rPr>
              <w:t xml:space="preserve"> debate about whether such methods are tactical or create an unfair advantage. Here, spectator perspectives of sportsmanship appear to underwrite the contextual circumstances over the rules of the game. </w:t>
            </w:r>
          </w:p>
        </w:tc>
      </w:tr>
      <w:tr w:rsidR="004029C1" w:rsidRPr="00601136" w14:paraId="218A9898" w14:textId="77777777" w:rsidTr="00EA611C">
        <w:tc>
          <w:tcPr>
            <w:tcW w:w="1644" w:type="dxa"/>
          </w:tcPr>
          <w:p w14:paraId="7954FE6B" w14:textId="77777777" w:rsidR="004029C1" w:rsidRPr="003B076E"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Chanda et al. (2021)</w:t>
            </w:r>
          </w:p>
        </w:tc>
        <w:tc>
          <w:tcPr>
            <w:tcW w:w="2746" w:type="dxa"/>
          </w:tcPr>
          <w:p w14:paraId="4CB13D3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Turkish Online Journal of Qualitative Inquiry</w:t>
            </w:r>
          </w:p>
        </w:tc>
        <w:tc>
          <w:tcPr>
            <w:tcW w:w="1151" w:type="dxa"/>
          </w:tcPr>
          <w:p w14:paraId="46873C6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e-doping</w:t>
            </w:r>
          </w:p>
        </w:tc>
        <w:tc>
          <w:tcPr>
            <w:tcW w:w="1894" w:type="dxa"/>
          </w:tcPr>
          <w:p w14:paraId="4D2617AF"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594" w:type="dxa"/>
          </w:tcPr>
          <w:p w14:paraId="4967789A" w14:textId="77777777" w:rsidR="004029C1" w:rsidRPr="003B076E"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hAnsi="Times New Roman" w:cs="Times New Roman"/>
                <w:sz w:val="20"/>
                <w:szCs w:val="20"/>
              </w:rPr>
              <w:t>A central authority introducing a set of homogenous laws and regulations</w:t>
            </w:r>
            <w:r w:rsidRPr="00601136" w:rsidDel="00C32C61">
              <w:rPr>
                <w:rFonts w:ascii="Times New Roman" w:hAnsi="Times New Roman" w:cs="Times New Roman"/>
                <w:sz w:val="20"/>
                <w:szCs w:val="20"/>
              </w:rPr>
              <w:t xml:space="preserve"> </w:t>
            </w:r>
            <w:r w:rsidRPr="00601136">
              <w:rPr>
                <w:rFonts w:ascii="Times New Roman" w:hAnsi="Times New Roman" w:cs="Times New Roman"/>
                <w:sz w:val="20"/>
                <w:szCs w:val="20"/>
              </w:rPr>
              <w:t xml:space="preserve">would allow international leagues and competitions to standardise their regulatory anti-doping structure, which would be beneficial for competing athletes. </w:t>
            </w:r>
          </w:p>
        </w:tc>
      </w:tr>
    </w:tbl>
    <w:p w14:paraId="5D0CC13B" w14:textId="77777777" w:rsidR="004029C1" w:rsidRDefault="004029C1" w:rsidP="004029C1">
      <w:pPr>
        <w:rPr>
          <w:rFonts w:ascii="Times New Roman" w:hAnsi="Times New Roman" w:cs="Times New Roman"/>
          <w:sz w:val="22"/>
          <w:szCs w:val="22"/>
        </w:rPr>
      </w:pPr>
    </w:p>
    <w:p w14:paraId="4D5DCF3F" w14:textId="77777777" w:rsidR="004029C1" w:rsidRDefault="004029C1" w:rsidP="004029C1">
      <w:pPr>
        <w:rPr>
          <w:rFonts w:ascii="Times New Roman" w:hAnsi="Times New Roman" w:cs="Times New Roman"/>
          <w:sz w:val="22"/>
          <w:szCs w:val="22"/>
        </w:rPr>
      </w:pPr>
    </w:p>
    <w:p w14:paraId="22E4836C" w14:textId="77777777" w:rsidR="004029C1" w:rsidRDefault="004029C1" w:rsidP="004029C1">
      <w:pPr>
        <w:rPr>
          <w:rFonts w:ascii="Times New Roman" w:hAnsi="Times New Roman" w:cs="Times New Roman"/>
          <w:sz w:val="22"/>
          <w:szCs w:val="22"/>
        </w:rPr>
      </w:pPr>
    </w:p>
    <w:p w14:paraId="3392906A" w14:textId="77777777" w:rsidR="004029C1" w:rsidRDefault="004029C1" w:rsidP="004029C1">
      <w:pPr>
        <w:rPr>
          <w:rFonts w:ascii="Times New Roman" w:hAnsi="Times New Roman" w:cs="Times New Roman"/>
          <w:sz w:val="22"/>
          <w:szCs w:val="22"/>
        </w:rPr>
      </w:pPr>
    </w:p>
    <w:p w14:paraId="18BB059B" w14:textId="77777777" w:rsidR="004029C1" w:rsidRDefault="004029C1" w:rsidP="004029C1">
      <w:pPr>
        <w:rPr>
          <w:rFonts w:ascii="Times New Roman" w:hAnsi="Times New Roman" w:cs="Times New Roman"/>
          <w:sz w:val="22"/>
          <w:szCs w:val="22"/>
        </w:rPr>
      </w:pPr>
    </w:p>
    <w:p w14:paraId="59D2CFA4" w14:textId="77777777" w:rsidR="004029C1" w:rsidRDefault="004029C1" w:rsidP="004029C1">
      <w:pPr>
        <w:rPr>
          <w:rFonts w:ascii="Times New Roman" w:hAnsi="Times New Roman" w:cs="Times New Roman"/>
          <w:sz w:val="22"/>
          <w:szCs w:val="22"/>
        </w:rPr>
      </w:pPr>
    </w:p>
    <w:p w14:paraId="0774B999" w14:textId="77777777" w:rsidR="004029C1" w:rsidRDefault="004029C1" w:rsidP="004029C1">
      <w:pPr>
        <w:rPr>
          <w:rFonts w:ascii="Times New Roman" w:hAnsi="Times New Roman" w:cs="Times New Roman"/>
          <w:sz w:val="22"/>
          <w:szCs w:val="22"/>
        </w:rPr>
      </w:pPr>
    </w:p>
    <w:p w14:paraId="2400CF17" w14:textId="77777777" w:rsidR="004029C1" w:rsidRDefault="004029C1" w:rsidP="004029C1">
      <w:pPr>
        <w:rPr>
          <w:rFonts w:ascii="Times New Roman" w:hAnsi="Times New Roman" w:cs="Times New Roman"/>
          <w:sz w:val="22"/>
          <w:szCs w:val="22"/>
        </w:rPr>
      </w:pPr>
    </w:p>
    <w:p w14:paraId="4E157B26" w14:textId="77777777" w:rsidR="004029C1" w:rsidRDefault="004029C1" w:rsidP="004029C1">
      <w:pPr>
        <w:rPr>
          <w:rFonts w:ascii="Times New Roman" w:hAnsi="Times New Roman" w:cs="Times New Roman"/>
          <w:sz w:val="22"/>
          <w:szCs w:val="22"/>
        </w:rPr>
      </w:pPr>
    </w:p>
    <w:p w14:paraId="292239D2" w14:textId="77777777" w:rsidR="004029C1" w:rsidRDefault="004029C1" w:rsidP="004029C1">
      <w:pPr>
        <w:rPr>
          <w:rFonts w:ascii="Times New Roman" w:hAnsi="Times New Roman" w:cs="Times New Roman"/>
          <w:sz w:val="22"/>
          <w:szCs w:val="22"/>
        </w:rPr>
      </w:pPr>
    </w:p>
    <w:p w14:paraId="2110FF0A" w14:textId="77777777" w:rsidR="004029C1" w:rsidRPr="00601136" w:rsidRDefault="004029C1" w:rsidP="004029C1">
      <w:pPr>
        <w:pStyle w:val="Paragraph"/>
      </w:pPr>
      <w:r w:rsidRPr="00601136">
        <w:lastRenderedPageBreak/>
        <w:t xml:space="preserve">Table </w:t>
      </w:r>
      <w:r>
        <w:t>7</w:t>
      </w:r>
      <w:r w:rsidRPr="00601136">
        <w:t xml:space="preserve">: Key features of articles with a Foul Play, Match-Fixing, Violence and Abuse focus </w:t>
      </w:r>
    </w:p>
    <w:tbl>
      <w:tblPr>
        <w:tblStyle w:val="TableGrid"/>
        <w:tblW w:w="14029" w:type="dxa"/>
        <w:tblLook w:val="04A0" w:firstRow="1" w:lastRow="0" w:firstColumn="1" w:lastColumn="0" w:noHBand="0" w:noVBand="1"/>
      </w:tblPr>
      <w:tblGrid>
        <w:gridCol w:w="1413"/>
        <w:gridCol w:w="2126"/>
        <w:gridCol w:w="1985"/>
        <w:gridCol w:w="1186"/>
        <w:gridCol w:w="7319"/>
      </w:tblGrid>
      <w:tr w:rsidR="004029C1" w:rsidRPr="00601136" w14:paraId="4FAB79C9" w14:textId="77777777" w:rsidTr="00EA611C">
        <w:tc>
          <w:tcPr>
            <w:tcW w:w="1413" w:type="dxa"/>
          </w:tcPr>
          <w:p w14:paraId="2414DCA1"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Author/Year</w:t>
            </w:r>
          </w:p>
        </w:tc>
        <w:tc>
          <w:tcPr>
            <w:tcW w:w="2126" w:type="dxa"/>
          </w:tcPr>
          <w:p w14:paraId="4F60D697"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Publication</w:t>
            </w:r>
          </w:p>
        </w:tc>
        <w:tc>
          <w:tcPr>
            <w:tcW w:w="1985" w:type="dxa"/>
          </w:tcPr>
          <w:p w14:paraId="51155158"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Theme</w:t>
            </w:r>
          </w:p>
        </w:tc>
        <w:tc>
          <w:tcPr>
            <w:tcW w:w="1186" w:type="dxa"/>
          </w:tcPr>
          <w:p w14:paraId="39DE8BCA"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Method</w:t>
            </w:r>
          </w:p>
        </w:tc>
        <w:tc>
          <w:tcPr>
            <w:tcW w:w="7319" w:type="dxa"/>
          </w:tcPr>
          <w:p w14:paraId="29A590A9"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Key findings</w:t>
            </w:r>
          </w:p>
        </w:tc>
      </w:tr>
      <w:tr w:rsidR="004029C1" w:rsidRPr="00601136" w14:paraId="4A0C2603" w14:textId="77777777" w:rsidTr="00EA611C">
        <w:tc>
          <w:tcPr>
            <w:tcW w:w="14029" w:type="dxa"/>
            <w:gridSpan w:val="5"/>
          </w:tcPr>
          <w:p w14:paraId="006BFE6C" w14:textId="77777777" w:rsidR="004029C1" w:rsidRPr="00601136" w:rsidRDefault="004029C1" w:rsidP="00EA611C">
            <w:pPr>
              <w:autoSpaceDE w:val="0"/>
              <w:autoSpaceDN w:val="0"/>
              <w:adjustRightInd w:val="0"/>
              <w:jc w:val="both"/>
              <w:rPr>
                <w:rFonts w:ascii="Times New Roman" w:hAnsi="Times New Roman" w:cs="Times New Roman"/>
                <w:b/>
                <w:bCs/>
                <w:kern w:val="0"/>
                <w:sz w:val="20"/>
                <w:szCs w:val="20"/>
              </w:rPr>
            </w:pPr>
            <w:r w:rsidRPr="00601136">
              <w:rPr>
                <w:rFonts w:ascii="Times New Roman" w:hAnsi="Times New Roman" w:cs="Times New Roman"/>
                <w:b/>
                <w:bCs/>
                <w:kern w:val="0"/>
                <w:sz w:val="20"/>
                <w:szCs w:val="20"/>
              </w:rPr>
              <w:t>Regulatory environment of esports gambling</w:t>
            </w:r>
          </w:p>
        </w:tc>
      </w:tr>
      <w:tr w:rsidR="004029C1" w:rsidRPr="00601136" w14:paraId="1DDA93FE" w14:textId="77777777" w:rsidTr="00EA611C">
        <w:tc>
          <w:tcPr>
            <w:tcW w:w="1413" w:type="dxa"/>
          </w:tcPr>
          <w:p w14:paraId="4F1B2472"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 xml:space="preserve">Holden </w:t>
            </w:r>
            <w:r>
              <w:rPr>
                <w:rFonts w:ascii="Times New Roman" w:eastAsiaTheme="minorHAnsi" w:hAnsi="Times New Roman" w:cs="Times New Roman"/>
                <w:kern w:val="0"/>
                <w:sz w:val="20"/>
                <w:szCs w:val="20"/>
              </w:rPr>
              <w:t xml:space="preserve">and </w:t>
            </w:r>
            <w:r w:rsidRPr="003B076E">
              <w:rPr>
                <w:rFonts w:ascii="Times New Roman" w:eastAsiaTheme="minorHAnsi" w:hAnsi="Times New Roman" w:cs="Times New Roman"/>
                <w:kern w:val="0"/>
                <w:sz w:val="20"/>
                <w:szCs w:val="20"/>
              </w:rPr>
              <w:t>Ehrlich (2017)</w:t>
            </w:r>
          </w:p>
        </w:tc>
        <w:tc>
          <w:tcPr>
            <w:tcW w:w="2126" w:type="dxa"/>
          </w:tcPr>
          <w:p w14:paraId="5F52092C"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GLR</w:t>
            </w:r>
          </w:p>
        </w:tc>
        <w:tc>
          <w:tcPr>
            <w:tcW w:w="1985" w:type="dxa"/>
          </w:tcPr>
          <w:p w14:paraId="6936BC1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The wire fraud statute in the US and its application to skin betting in esports</w:t>
            </w:r>
          </w:p>
        </w:tc>
        <w:tc>
          <w:tcPr>
            <w:tcW w:w="1186" w:type="dxa"/>
          </w:tcPr>
          <w:p w14:paraId="73D9C545"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0471D3E4"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The “Swiss army knife” nature of the mail and wire fraud statutes may give prosecutors their best shot at curbing skins betting and other bad actors associated with the unsettled frontier of the esports virtual currency-based betting markets.</w:t>
            </w:r>
          </w:p>
        </w:tc>
      </w:tr>
      <w:tr w:rsidR="004029C1" w:rsidRPr="00601136" w14:paraId="47E28B23" w14:textId="77777777" w:rsidTr="00EA611C">
        <w:tc>
          <w:tcPr>
            <w:tcW w:w="1413" w:type="dxa"/>
          </w:tcPr>
          <w:p w14:paraId="656C39A8" w14:textId="77777777" w:rsidR="004029C1" w:rsidRPr="003B076E" w:rsidRDefault="004029C1" w:rsidP="00EA611C">
            <w:pPr>
              <w:rPr>
                <w:rFonts w:ascii="Times New Roman" w:hAnsi="Times New Roman" w:cs="Times New Roman"/>
                <w:kern w:val="0"/>
                <w:sz w:val="20"/>
                <w:szCs w:val="20"/>
              </w:rPr>
            </w:pPr>
            <w:r w:rsidRPr="003B076E">
              <w:rPr>
                <w:rFonts w:ascii="Times New Roman" w:hAnsi="Times New Roman" w:cs="Times New Roman"/>
                <w:kern w:val="0"/>
                <w:sz w:val="20"/>
                <w:szCs w:val="20"/>
              </w:rPr>
              <w:t>Holden et al. (2017)</w:t>
            </w:r>
          </w:p>
        </w:tc>
        <w:tc>
          <w:tcPr>
            <w:tcW w:w="2126" w:type="dxa"/>
          </w:tcPr>
          <w:p w14:paraId="03ECDFB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Maryland Journal of International Law</w:t>
            </w:r>
          </w:p>
        </w:tc>
        <w:tc>
          <w:tcPr>
            <w:tcW w:w="1985" w:type="dxa"/>
          </w:tcPr>
          <w:p w14:paraId="314E2DD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Regulatory landscape concerning gambling in esports</w:t>
            </w:r>
          </w:p>
        </w:tc>
        <w:tc>
          <w:tcPr>
            <w:tcW w:w="1186" w:type="dxa"/>
          </w:tcPr>
          <w:p w14:paraId="1F4269B4"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51DDDFE1"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Necessary efforts to pre-empt esports corruption begin with international cooperation, given the portability and intangibility of the emerging gambling markets that have fuelled nefarious behaviour.</w:t>
            </w:r>
          </w:p>
        </w:tc>
      </w:tr>
      <w:tr w:rsidR="004029C1" w:rsidRPr="00601136" w14:paraId="5659373C" w14:textId="77777777" w:rsidTr="00EA611C">
        <w:tc>
          <w:tcPr>
            <w:tcW w:w="1413" w:type="dxa"/>
          </w:tcPr>
          <w:p w14:paraId="590093BB"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Lu (2022)</w:t>
            </w:r>
          </w:p>
        </w:tc>
        <w:tc>
          <w:tcPr>
            <w:tcW w:w="2126" w:type="dxa"/>
          </w:tcPr>
          <w:p w14:paraId="06305ADB"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Houston Law Review</w:t>
            </w:r>
          </w:p>
        </w:tc>
        <w:tc>
          <w:tcPr>
            <w:tcW w:w="1985" w:type="dxa"/>
          </w:tcPr>
          <w:p w14:paraId="081A48F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Criminal law and match-fixing</w:t>
            </w:r>
          </w:p>
        </w:tc>
        <w:tc>
          <w:tcPr>
            <w:tcW w:w="1186" w:type="dxa"/>
          </w:tcPr>
          <w:p w14:paraId="736D2708"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3D7F43CF"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eastAsiaTheme="minorHAnsi" w:hAnsi="Times New Roman" w:cs="Times New Roman"/>
                <w:kern w:val="0"/>
                <w:sz w:val="20"/>
                <w:szCs w:val="20"/>
              </w:rPr>
              <w:t xml:space="preserve">The author </w:t>
            </w:r>
            <w:r w:rsidRPr="003B076E">
              <w:rPr>
                <w:rFonts w:ascii="Times New Roman" w:eastAsiaTheme="minorHAnsi" w:hAnsi="Times New Roman" w:cs="Times New Roman"/>
                <w:kern w:val="0"/>
                <w:sz w:val="20"/>
                <w:szCs w:val="20"/>
              </w:rPr>
              <w:t xml:space="preserve">applies criminal sentencing theories to two different responses by countries and game developers to match-fixing incidents, and in essence suggests that the US should adopt an approach like the South Korean </w:t>
            </w:r>
            <w:r>
              <w:rPr>
                <w:rFonts w:ascii="Times New Roman" w:eastAsiaTheme="minorHAnsi" w:hAnsi="Times New Roman" w:cs="Times New Roman"/>
                <w:kern w:val="0"/>
                <w:sz w:val="20"/>
                <w:szCs w:val="20"/>
              </w:rPr>
              <w:t>m</w:t>
            </w:r>
            <w:r w:rsidRPr="003B076E">
              <w:rPr>
                <w:rFonts w:ascii="Times New Roman" w:eastAsiaTheme="minorHAnsi" w:hAnsi="Times New Roman" w:cs="Times New Roman"/>
                <w:kern w:val="0"/>
                <w:sz w:val="20"/>
                <w:szCs w:val="20"/>
              </w:rPr>
              <w:t>odel with a minimum sentencing period for wrongdoers, and for game developers to enforce permanent bans on players, which should extend also to other games.</w:t>
            </w:r>
          </w:p>
        </w:tc>
      </w:tr>
      <w:tr w:rsidR="004029C1" w:rsidRPr="00601136" w14:paraId="52F25190" w14:textId="77777777" w:rsidTr="00EA611C">
        <w:tc>
          <w:tcPr>
            <w:tcW w:w="1413" w:type="dxa"/>
          </w:tcPr>
          <w:p w14:paraId="37A8ED3C"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hAnsi="Times New Roman" w:cs="Times New Roman"/>
                <w:sz w:val="20"/>
                <w:szCs w:val="20"/>
              </w:rPr>
              <w:t xml:space="preserve">Østergaard </w:t>
            </w:r>
            <w:r>
              <w:rPr>
                <w:rFonts w:ascii="Times New Roman" w:hAnsi="Times New Roman" w:cs="Times New Roman"/>
                <w:sz w:val="20"/>
                <w:szCs w:val="20"/>
              </w:rPr>
              <w:t xml:space="preserve">and </w:t>
            </w:r>
            <w:r w:rsidRPr="003B076E">
              <w:rPr>
                <w:rFonts w:ascii="Times New Roman" w:hAnsi="Times New Roman" w:cs="Times New Roman"/>
                <w:sz w:val="20"/>
                <w:szCs w:val="20"/>
              </w:rPr>
              <w:t>Ronde (2021)</w:t>
            </w:r>
          </w:p>
        </w:tc>
        <w:tc>
          <w:tcPr>
            <w:tcW w:w="2126" w:type="dxa"/>
          </w:tcPr>
          <w:p w14:paraId="66A1FAF9"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GLR</w:t>
            </w:r>
          </w:p>
        </w:tc>
        <w:tc>
          <w:tcPr>
            <w:tcW w:w="1985" w:type="dxa"/>
          </w:tcPr>
          <w:p w14:paraId="6F261D0A"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Skin betting in esports in Denmark</w:t>
            </w:r>
          </w:p>
        </w:tc>
        <w:tc>
          <w:tcPr>
            <w:tcW w:w="1186" w:type="dxa"/>
          </w:tcPr>
          <w:p w14:paraId="2434E8C5"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1CD282D8" w14:textId="77777777" w:rsidR="004029C1" w:rsidRPr="003B076E" w:rsidRDefault="004029C1" w:rsidP="00EA611C">
            <w:pPr>
              <w:autoSpaceDE w:val="0"/>
              <w:autoSpaceDN w:val="0"/>
              <w:adjustRightInd w:val="0"/>
              <w:jc w:val="both"/>
              <w:rPr>
                <w:rFonts w:ascii="Times New Roman" w:hAnsi="Times New Roman" w:cs="Times New Roman"/>
                <w:kern w:val="0"/>
                <w:sz w:val="20"/>
                <w:szCs w:val="20"/>
              </w:rPr>
            </w:pPr>
            <w:r w:rsidRPr="003B076E">
              <w:rPr>
                <w:rFonts w:ascii="Times New Roman" w:hAnsi="Times New Roman" w:cs="Times New Roman"/>
                <w:kern w:val="0"/>
                <w:sz w:val="20"/>
                <w:szCs w:val="20"/>
              </w:rPr>
              <w:t xml:space="preserve">This article describes the regulatory environment concerning skin gambling in Denmark, as well as the requirements to be met for betting firms for applying to obtain a license from the Danish Gambling Authority. </w:t>
            </w:r>
          </w:p>
        </w:tc>
      </w:tr>
      <w:tr w:rsidR="004029C1" w:rsidRPr="00601136" w14:paraId="7EFF5E89" w14:textId="77777777" w:rsidTr="00EA611C">
        <w:tc>
          <w:tcPr>
            <w:tcW w:w="1413" w:type="dxa"/>
          </w:tcPr>
          <w:p w14:paraId="352FEAE3"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Rodenberg (2021)</w:t>
            </w:r>
          </w:p>
        </w:tc>
        <w:tc>
          <w:tcPr>
            <w:tcW w:w="2126" w:type="dxa"/>
          </w:tcPr>
          <w:p w14:paraId="0A52DDAF"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Journal article - GLR</w:t>
            </w:r>
          </w:p>
        </w:tc>
        <w:tc>
          <w:tcPr>
            <w:tcW w:w="1985" w:type="dxa"/>
          </w:tcPr>
          <w:p w14:paraId="280F4689"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The “Quiz Show Scandal” statute and its application to esports</w:t>
            </w:r>
          </w:p>
        </w:tc>
        <w:tc>
          <w:tcPr>
            <w:tcW w:w="1186" w:type="dxa"/>
          </w:tcPr>
          <w:p w14:paraId="6D11C5F1" w14:textId="77777777" w:rsidR="004029C1" w:rsidRPr="003B076E" w:rsidRDefault="004029C1" w:rsidP="00EA611C">
            <w:pPr>
              <w:jc w:val="both"/>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5DE39606" w14:textId="77777777" w:rsidR="004029C1" w:rsidRPr="003B076E" w:rsidRDefault="004029C1" w:rsidP="00EA611C">
            <w:pPr>
              <w:jc w:val="both"/>
              <w:rPr>
                <w:rFonts w:ascii="Times New Roman" w:hAnsi="Times New Roman" w:cs="Times New Roman"/>
                <w:sz w:val="20"/>
                <w:szCs w:val="20"/>
              </w:rPr>
            </w:pPr>
            <w:r w:rsidRPr="003B076E">
              <w:rPr>
                <w:rFonts w:ascii="Times New Roman" w:hAnsi="Times New Roman" w:cs="Times New Roman"/>
                <w:sz w:val="20"/>
                <w:szCs w:val="20"/>
              </w:rPr>
              <w:t>By drawing an analogy between esports and traditional sports</w:t>
            </w:r>
            <w:r>
              <w:rPr>
                <w:rFonts w:ascii="Times New Roman" w:hAnsi="Times New Roman" w:cs="Times New Roman"/>
                <w:sz w:val="20"/>
                <w:szCs w:val="20"/>
              </w:rPr>
              <w:t xml:space="preserve">, the authors recommend to place </w:t>
            </w:r>
            <w:r w:rsidRPr="003B076E">
              <w:rPr>
                <w:rFonts w:ascii="Times New Roman" w:hAnsi="Times New Roman" w:cs="Times New Roman"/>
                <w:sz w:val="20"/>
                <w:szCs w:val="20"/>
              </w:rPr>
              <w:t>esports corruption under the umbrella of the quiz show law. Esports could also be subject to the statute’s coverage on its own given that esports broadcasts</w:t>
            </w:r>
            <w:r>
              <w:rPr>
                <w:rFonts w:ascii="Times New Roman" w:hAnsi="Times New Roman" w:cs="Times New Roman"/>
                <w:sz w:val="20"/>
                <w:szCs w:val="20"/>
              </w:rPr>
              <w:t xml:space="preserve"> </w:t>
            </w:r>
            <w:r w:rsidRPr="003B076E">
              <w:rPr>
                <w:rFonts w:ascii="Times New Roman" w:hAnsi="Times New Roman" w:cs="Times New Roman"/>
                <w:sz w:val="20"/>
                <w:szCs w:val="20"/>
              </w:rPr>
              <w:t>share similarities with televised quiz shows</w:t>
            </w:r>
            <w:r>
              <w:rPr>
                <w:rFonts w:ascii="Times New Roman" w:hAnsi="Times New Roman" w:cs="Times New Roman"/>
                <w:sz w:val="20"/>
                <w:szCs w:val="20"/>
              </w:rPr>
              <w:t>.</w:t>
            </w:r>
          </w:p>
        </w:tc>
      </w:tr>
      <w:tr w:rsidR="004029C1" w:rsidRPr="00601136" w14:paraId="52EAE9C4" w14:textId="77777777" w:rsidTr="00EA611C">
        <w:tc>
          <w:tcPr>
            <w:tcW w:w="1413" w:type="dxa"/>
          </w:tcPr>
          <w:p w14:paraId="25DA9F5D"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Schwarz (2019)</w:t>
            </w:r>
          </w:p>
        </w:tc>
        <w:tc>
          <w:tcPr>
            <w:tcW w:w="2126" w:type="dxa"/>
          </w:tcPr>
          <w:p w14:paraId="4F207459"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Entertainment and Sports Lawyer</w:t>
            </w:r>
          </w:p>
        </w:tc>
        <w:tc>
          <w:tcPr>
            <w:tcW w:w="1985" w:type="dxa"/>
          </w:tcPr>
          <w:p w14:paraId="2B1C51B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US Supreme Court’s Gambling Decision and potential implications </w:t>
            </w:r>
          </w:p>
        </w:tc>
        <w:tc>
          <w:tcPr>
            <w:tcW w:w="1186" w:type="dxa"/>
          </w:tcPr>
          <w:p w14:paraId="787711EC"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0AF77908"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hAnsi="Times New Roman" w:cs="Times New Roman"/>
                <w:kern w:val="0"/>
                <w:sz w:val="20"/>
                <w:szCs w:val="20"/>
              </w:rPr>
              <w:t>The United States Supreme Court’s Murphy decision will surely send ripple effects throughout the sports world and into the e</w:t>
            </w:r>
            <w:r>
              <w:rPr>
                <w:rFonts w:ascii="Times New Roman" w:hAnsi="Times New Roman" w:cs="Times New Roman"/>
                <w:kern w:val="0"/>
                <w:sz w:val="20"/>
                <w:szCs w:val="20"/>
              </w:rPr>
              <w:t>s</w:t>
            </w:r>
            <w:r w:rsidRPr="00601136">
              <w:rPr>
                <w:rFonts w:ascii="Times New Roman" w:hAnsi="Times New Roman" w:cs="Times New Roman"/>
                <w:kern w:val="0"/>
                <w:sz w:val="20"/>
                <w:szCs w:val="20"/>
              </w:rPr>
              <w:t>ports world and leagues far and wide. Moreover, it also represents a new target for corruption and controversy. e</w:t>
            </w:r>
            <w:r>
              <w:rPr>
                <w:rFonts w:ascii="Times New Roman" w:hAnsi="Times New Roman" w:cs="Times New Roman"/>
                <w:kern w:val="0"/>
                <w:sz w:val="20"/>
                <w:szCs w:val="20"/>
              </w:rPr>
              <w:t>s</w:t>
            </w:r>
            <w:r w:rsidRPr="00601136">
              <w:rPr>
                <w:rFonts w:ascii="Times New Roman" w:hAnsi="Times New Roman" w:cs="Times New Roman"/>
                <w:kern w:val="0"/>
                <w:sz w:val="20"/>
                <w:szCs w:val="20"/>
              </w:rPr>
              <w:t>ports are virtual, and their elements can be commandeered and manipulated by even a single person, with little reliable oversight.</w:t>
            </w:r>
          </w:p>
        </w:tc>
      </w:tr>
      <w:tr w:rsidR="004029C1" w:rsidRPr="00601136" w14:paraId="4FA91BAE" w14:textId="77777777" w:rsidTr="00EA611C">
        <w:tc>
          <w:tcPr>
            <w:tcW w:w="1413" w:type="dxa"/>
          </w:tcPr>
          <w:p w14:paraId="1916F772" w14:textId="77777777" w:rsidR="004029C1" w:rsidRPr="003B076E"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Wainer (2023)</w:t>
            </w:r>
          </w:p>
        </w:tc>
        <w:tc>
          <w:tcPr>
            <w:tcW w:w="2126" w:type="dxa"/>
          </w:tcPr>
          <w:p w14:paraId="211F91D4"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Florida Entertainment and Sports Law Review</w:t>
            </w:r>
          </w:p>
          <w:p w14:paraId="532A3B72" w14:textId="77777777" w:rsidR="004029C1" w:rsidRPr="003B076E" w:rsidRDefault="004029C1" w:rsidP="00EA611C">
            <w:pPr>
              <w:rPr>
                <w:rFonts w:ascii="Times New Roman" w:hAnsi="Times New Roman" w:cs="Times New Roman"/>
                <w:sz w:val="20"/>
                <w:szCs w:val="20"/>
              </w:rPr>
            </w:pPr>
          </w:p>
        </w:tc>
        <w:tc>
          <w:tcPr>
            <w:tcW w:w="1985" w:type="dxa"/>
          </w:tcPr>
          <w:p w14:paraId="16375E8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Legalisation and regulation of esports betting</w:t>
            </w:r>
          </w:p>
        </w:tc>
        <w:tc>
          <w:tcPr>
            <w:tcW w:w="1186" w:type="dxa"/>
          </w:tcPr>
          <w:p w14:paraId="653334C4"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7319" w:type="dxa"/>
          </w:tcPr>
          <w:p w14:paraId="787C3278"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hAnsi="Times New Roman" w:cs="Times New Roman"/>
                <w:kern w:val="0"/>
                <w:sz w:val="20"/>
                <w:szCs w:val="20"/>
              </w:rPr>
              <w:t>The author examines the current state of federal gambling laws in the US and shows how esports fits within the current mold, analyses how states have addressed esports betting, and identifies and reconciles the problems with esports betting and the law by proposing potential regulations.</w:t>
            </w:r>
          </w:p>
        </w:tc>
      </w:tr>
      <w:tr w:rsidR="004029C1" w:rsidRPr="00601136" w14:paraId="2D182464" w14:textId="77777777" w:rsidTr="00EA611C">
        <w:tc>
          <w:tcPr>
            <w:tcW w:w="1413" w:type="dxa"/>
          </w:tcPr>
          <w:p w14:paraId="2597C63E" w14:textId="77777777" w:rsidR="004029C1" w:rsidRPr="00601136" w:rsidRDefault="004029C1" w:rsidP="00EA611C">
            <w:pPr>
              <w:rPr>
                <w:rFonts w:ascii="Times New Roman" w:hAnsi="Times New Roman" w:cs="Times New Roman"/>
                <w:kern w:val="0"/>
                <w:sz w:val="20"/>
                <w:szCs w:val="20"/>
              </w:rPr>
            </w:pPr>
            <w:r w:rsidRPr="00601136">
              <w:rPr>
                <w:rFonts w:ascii="Times New Roman" w:hAnsi="Times New Roman" w:cs="Times New Roman"/>
                <w:kern w:val="0"/>
                <w:sz w:val="20"/>
                <w:szCs w:val="20"/>
              </w:rPr>
              <w:t>Yun (2019)</w:t>
            </w:r>
          </w:p>
        </w:tc>
        <w:tc>
          <w:tcPr>
            <w:tcW w:w="2126" w:type="dxa"/>
          </w:tcPr>
          <w:p w14:paraId="4A9CFEC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Cardozo Arts &amp; Entertainment Law Journal</w:t>
            </w:r>
          </w:p>
        </w:tc>
        <w:tc>
          <w:tcPr>
            <w:tcW w:w="1985" w:type="dxa"/>
          </w:tcPr>
          <w:p w14:paraId="03E80D37"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Regulatory landscape concerning gambling in esports</w:t>
            </w:r>
          </w:p>
        </w:tc>
        <w:tc>
          <w:tcPr>
            <w:tcW w:w="1186" w:type="dxa"/>
          </w:tcPr>
          <w:p w14:paraId="784FAB6D"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7319" w:type="dxa"/>
          </w:tcPr>
          <w:p w14:paraId="23707A7F"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The lack of a governing regulatory body in eSports has implications beyond the monetary exploitation, cheating, and gambling issues addressed in this Note. The proposal for legislation akin to France's Digital Republic Bill and legislation providing the definitional basis for e</w:t>
            </w:r>
            <w:r>
              <w:rPr>
                <w:rFonts w:ascii="Times New Roman" w:eastAsiaTheme="minorHAnsi" w:hAnsi="Times New Roman" w:cs="Times New Roman"/>
                <w:kern w:val="0"/>
                <w:sz w:val="20"/>
                <w:szCs w:val="20"/>
              </w:rPr>
              <w:t>s</w:t>
            </w:r>
            <w:r w:rsidRPr="00601136">
              <w:rPr>
                <w:rFonts w:ascii="Times New Roman" w:eastAsiaTheme="minorHAnsi" w:hAnsi="Times New Roman" w:cs="Times New Roman"/>
                <w:kern w:val="0"/>
                <w:sz w:val="20"/>
                <w:szCs w:val="20"/>
              </w:rPr>
              <w:t xml:space="preserve">ports, in addition to recommendation for states to adopt select, applicable regulations from European nations, is </w:t>
            </w:r>
            <w:r>
              <w:rPr>
                <w:rFonts w:ascii="Times New Roman" w:eastAsiaTheme="minorHAnsi" w:hAnsi="Times New Roman" w:cs="Times New Roman"/>
                <w:kern w:val="0"/>
                <w:sz w:val="20"/>
                <w:szCs w:val="20"/>
              </w:rPr>
              <w:t>a</w:t>
            </w:r>
            <w:r w:rsidRPr="00601136">
              <w:rPr>
                <w:rFonts w:ascii="Times New Roman" w:eastAsiaTheme="minorHAnsi" w:hAnsi="Times New Roman" w:cs="Times New Roman"/>
                <w:kern w:val="0"/>
                <w:sz w:val="20"/>
                <w:szCs w:val="20"/>
              </w:rPr>
              <w:t xml:space="preserve"> first step.</w:t>
            </w:r>
          </w:p>
        </w:tc>
      </w:tr>
      <w:tr w:rsidR="004029C1" w:rsidRPr="00601136" w14:paraId="2C84E4E8" w14:textId="77777777" w:rsidTr="00EA611C">
        <w:tc>
          <w:tcPr>
            <w:tcW w:w="14029" w:type="dxa"/>
            <w:gridSpan w:val="5"/>
          </w:tcPr>
          <w:p w14:paraId="1238EA65" w14:textId="77777777" w:rsidR="004029C1" w:rsidRPr="00601136" w:rsidRDefault="004029C1" w:rsidP="00EA611C">
            <w:pPr>
              <w:autoSpaceDE w:val="0"/>
              <w:autoSpaceDN w:val="0"/>
              <w:adjustRightInd w:val="0"/>
              <w:jc w:val="both"/>
              <w:rPr>
                <w:rFonts w:ascii="Times New Roman" w:hAnsi="Times New Roman" w:cs="Times New Roman"/>
                <w:b/>
                <w:bCs/>
                <w:kern w:val="0"/>
                <w:sz w:val="20"/>
                <w:szCs w:val="20"/>
              </w:rPr>
            </w:pPr>
            <w:r w:rsidRPr="00601136">
              <w:rPr>
                <w:rFonts w:ascii="Times New Roman" w:hAnsi="Times New Roman" w:cs="Times New Roman"/>
                <w:b/>
                <w:bCs/>
                <w:kern w:val="0"/>
                <w:sz w:val="20"/>
                <w:szCs w:val="20"/>
              </w:rPr>
              <w:lastRenderedPageBreak/>
              <w:t>Skin gambling and match-fixing</w:t>
            </w:r>
          </w:p>
        </w:tc>
      </w:tr>
      <w:tr w:rsidR="004029C1" w:rsidRPr="00601136" w14:paraId="2AA2F80D" w14:textId="77777777" w:rsidTr="00EA611C">
        <w:tc>
          <w:tcPr>
            <w:tcW w:w="1413" w:type="dxa"/>
          </w:tcPr>
          <w:p w14:paraId="014E6550" w14:textId="77777777" w:rsidR="004029C1" w:rsidRPr="003B076E" w:rsidRDefault="004029C1" w:rsidP="00EA611C">
            <w:pPr>
              <w:rPr>
                <w:rFonts w:ascii="Times New Roman" w:hAnsi="Times New Roman" w:cs="Times New Roman"/>
                <w:sz w:val="20"/>
                <w:szCs w:val="20"/>
              </w:rPr>
            </w:pPr>
            <w:r w:rsidRPr="00601136">
              <w:rPr>
                <w:rFonts w:ascii="Times New Roman" w:hAnsi="Times New Roman" w:cs="Times New Roman"/>
                <w:kern w:val="0"/>
                <w:sz w:val="20"/>
                <w:szCs w:val="20"/>
              </w:rPr>
              <w:t xml:space="preserve">Abarbanel </w:t>
            </w:r>
            <w:r>
              <w:rPr>
                <w:rFonts w:ascii="Times New Roman" w:hAnsi="Times New Roman" w:cs="Times New Roman"/>
                <w:kern w:val="0"/>
                <w:sz w:val="20"/>
                <w:szCs w:val="20"/>
              </w:rPr>
              <w:t xml:space="preserve">and </w:t>
            </w:r>
            <w:r w:rsidRPr="00601136">
              <w:rPr>
                <w:rFonts w:ascii="Times New Roman" w:hAnsi="Times New Roman" w:cs="Times New Roman"/>
                <w:kern w:val="0"/>
                <w:sz w:val="20"/>
                <w:szCs w:val="20"/>
              </w:rPr>
              <w:t>Johnson (2019)</w:t>
            </w:r>
          </w:p>
        </w:tc>
        <w:tc>
          <w:tcPr>
            <w:tcW w:w="2126" w:type="dxa"/>
          </w:tcPr>
          <w:p w14:paraId="3791570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International Gambling Studies</w:t>
            </w:r>
          </w:p>
        </w:tc>
        <w:tc>
          <w:tcPr>
            <w:tcW w:w="1985" w:type="dxa"/>
          </w:tcPr>
          <w:p w14:paraId="5DC54EE9"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consumer perspective on match-fixing</w:t>
            </w:r>
          </w:p>
        </w:tc>
        <w:tc>
          <w:tcPr>
            <w:tcW w:w="1186" w:type="dxa"/>
          </w:tcPr>
          <w:p w14:paraId="757126FE"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Qualitative</w:t>
            </w:r>
          </w:p>
        </w:tc>
        <w:tc>
          <w:tcPr>
            <w:tcW w:w="7319" w:type="dxa"/>
          </w:tcPr>
          <w:p w14:paraId="10F1E320"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The study finds that most esports fans consider match-fixing to be a relatively mild or invisible form of ‘cheating’.</w:t>
            </w:r>
          </w:p>
        </w:tc>
      </w:tr>
      <w:tr w:rsidR="004029C1" w:rsidRPr="00601136" w14:paraId="007653B1" w14:textId="77777777" w:rsidTr="00EA611C">
        <w:tc>
          <w:tcPr>
            <w:tcW w:w="1413" w:type="dxa"/>
          </w:tcPr>
          <w:p w14:paraId="4912D1C1" w14:textId="77777777" w:rsidR="004029C1" w:rsidRPr="00601136" w:rsidRDefault="004029C1" w:rsidP="00EA611C">
            <w:pPr>
              <w:autoSpaceDE w:val="0"/>
              <w:autoSpaceDN w:val="0"/>
              <w:adjustRightInd w:val="0"/>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Greer et al.</w:t>
            </w:r>
          </w:p>
          <w:p w14:paraId="7205BA71"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(2019)</w:t>
            </w:r>
          </w:p>
        </w:tc>
        <w:tc>
          <w:tcPr>
            <w:tcW w:w="2126" w:type="dxa"/>
          </w:tcPr>
          <w:p w14:paraId="60CE7F6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Journal of Gambling Issues</w:t>
            </w:r>
          </w:p>
        </w:tc>
        <w:tc>
          <w:tcPr>
            <w:tcW w:w="1985" w:type="dxa"/>
          </w:tcPr>
          <w:p w14:paraId="6CF98FAA"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betting and skin gambling</w:t>
            </w:r>
          </w:p>
        </w:tc>
        <w:tc>
          <w:tcPr>
            <w:tcW w:w="1186" w:type="dxa"/>
          </w:tcPr>
          <w:p w14:paraId="3D096E62"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7319" w:type="dxa"/>
          </w:tcPr>
          <w:p w14:paraId="2DDC88BC" w14:textId="77777777" w:rsidR="004029C1" w:rsidRPr="00601136" w:rsidRDefault="004029C1" w:rsidP="00EA611C">
            <w:pPr>
              <w:autoSpaceDE w:val="0"/>
              <w:autoSpaceDN w:val="0"/>
              <w:adjustRightInd w:val="0"/>
              <w:jc w:val="both"/>
              <w:rPr>
                <w:rFonts w:ascii="Times New Roman" w:hAnsi="Times New Roman" w:cs="Times New Roman"/>
                <w:kern w:val="0"/>
                <w:sz w:val="20"/>
                <w:szCs w:val="20"/>
              </w:rPr>
            </w:pPr>
            <w:r w:rsidRPr="00601136">
              <w:rPr>
                <w:rFonts w:ascii="Times New Roman" w:hAnsi="Times New Roman" w:cs="Times New Roman"/>
                <w:kern w:val="0"/>
                <w:sz w:val="20"/>
                <w:szCs w:val="20"/>
              </w:rPr>
              <w:t>This article describes skin gambling and how it changed over time.</w:t>
            </w:r>
          </w:p>
        </w:tc>
      </w:tr>
      <w:tr w:rsidR="004029C1" w:rsidRPr="00601136" w14:paraId="4E0E322A" w14:textId="77777777" w:rsidTr="00EA611C">
        <w:tc>
          <w:tcPr>
            <w:tcW w:w="1413" w:type="dxa"/>
          </w:tcPr>
          <w:p w14:paraId="5675540A" w14:textId="77777777" w:rsidR="004029C1" w:rsidRPr="003B076E" w:rsidRDefault="004029C1" w:rsidP="00EA611C">
            <w:pPr>
              <w:rPr>
                <w:rFonts w:ascii="Times New Roman" w:hAnsi="Times New Roman" w:cs="Times New Roman"/>
                <w:kern w:val="0"/>
                <w:sz w:val="20"/>
                <w:szCs w:val="20"/>
              </w:rPr>
            </w:pPr>
            <w:r w:rsidRPr="003B076E">
              <w:rPr>
                <w:rFonts w:ascii="Times New Roman" w:hAnsi="Times New Roman" w:cs="Times New Roman"/>
                <w:kern w:val="0"/>
                <w:sz w:val="20"/>
                <w:szCs w:val="20"/>
              </w:rPr>
              <w:t>Johnson and Abarbanel (2022)</w:t>
            </w:r>
          </w:p>
        </w:tc>
        <w:tc>
          <w:tcPr>
            <w:tcW w:w="2126" w:type="dxa"/>
          </w:tcPr>
          <w:p w14:paraId="6E25D9F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Convergence: The International Journal of Research Into New Media Technologies</w:t>
            </w:r>
          </w:p>
        </w:tc>
        <w:tc>
          <w:tcPr>
            <w:tcW w:w="1985" w:type="dxa"/>
          </w:tcPr>
          <w:p w14:paraId="3D272E2C"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spectators’ perspective on cheating in competition</w:t>
            </w:r>
          </w:p>
        </w:tc>
        <w:tc>
          <w:tcPr>
            <w:tcW w:w="1186" w:type="dxa"/>
          </w:tcPr>
          <w:p w14:paraId="2323213B"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Qualitative</w:t>
            </w:r>
          </w:p>
        </w:tc>
        <w:tc>
          <w:tcPr>
            <w:tcW w:w="7319" w:type="dxa"/>
          </w:tcPr>
          <w:p w14:paraId="15BEA6B5"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The p</w:t>
            </w:r>
            <w:r w:rsidRPr="009F3484">
              <w:rPr>
                <w:rFonts w:ascii="Times New Roman" w:eastAsiaTheme="minorHAnsi" w:hAnsi="Times New Roman" w:cs="Times New Roman"/>
                <w:kern w:val="0"/>
                <w:sz w:val="20"/>
                <w:szCs w:val="20"/>
              </w:rPr>
              <w:t xml:space="preserve">articipants </w:t>
            </w:r>
            <w:r>
              <w:rPr>
                <w:rFonts w:ascii="Times New Roman" w:eastAsiaTheme="minorHAnsi" w:hAnsi="Times New Roman" w:cs="Times New Roman"/>
                <w:kern w:val="0"/>
                <w:sz w:val="20"/>
                <w:szCs w:val="20"/>
              </w:rPr>
              <w:t>sh</w:t>
            </w:r>
            <w:r w:rsidRPr="009F3484">
              <w:rPr>
                <w:rFonts w:ascii="Times New Roman" w:eastAsiaTheme="minorHAnsi" w:hAnsi="Times New Roman" w:cs="Times New Roman"/>
                <w:kern w:val="0"/>
                <w:sz w:val="20"/>
                <w:szCs w:val="20"/>
              </w:rPr>
              <w:t xml:space="preserve">are </w:t>
            </w:r>
            <w:r>
              <w:rPr>
                <w:rFonts w:ascii="Times New Roman" w:eastAsiaTheme="minorHAnsi" w:hAnsi="Times New Roman" w:cs="Times New Roman"/>
                <w:kern w:val="0"/>
                <w:sz w:val="20"/>
                <w:szCs w:val="20"/>
              </w:rPr>
              <w:t xml:space="preserve">a specific </w:t>
            </w:r>
            <w:r w:rsidRPr="009F3484">
              <w:rPr>
                <w:rFonts w:ascii="Times New Roman" w:eastAsiaTheme="minorHAnsi" w:hAnsi="Times New Roman" w:cs="Times New Roman"/>
                <w:kern w:val="0"/>
                <w:sz w:val="20"/>
                <w:szCs w:val="20"/>
              </w:rPr>
              <w:t>view when it comes to cheating to win, and more specifically e-doping</w:t>
            </w:r>
            <w:r>
              <w:rPr>
                <w:rFonts w:ascii="Times New Roman" w:eastAsiaTheme="minorHAnsi" w:hAnsi="Times New Roman" w:cs="Times New Roman"/>
                <w:kern w:val="0"/>
                <w:sz w:val="20"/>
                <w:szCs w:val="20"/>
              </w:rPr>
              <w:t>, which they consider should be sanctioned by life bans.</w:t>
            </w:r>
          </w:p>
        </w:tc>
      </w:tr>
      <w:tr w:rsidR="004029C1" w:rsidRPr="00601136" w14:paraId="5FF72EC2" w14:textId="77777777" w:rsidTr="00EA611C">
        <w:tc>
          <w:tcPr>
            <w:tcW w:w="1413" w:type="dxa"/>
          </w:tcPr>
          <w:p w14:paraId="11A748E2" w14:textId="77777777" w:rsidR="004029C1" w:rsidRPr="00601136" w:rsidRDefault="004029C1" w:rsidP="00EA611C">
            <w:pPr>
              <w:autoSpaceDE w:val="0"/>
              <w:autoSpaceDN w:val="0"/>
              <w:adjustRightInd w:val="0"/>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Zohn and</w:t>
            </w:r>
          </w:p>
          <w:p w14:paraId="59A3AE7D" w14:textId="77777777" w:rsidR="004029C1" w:rsidRPr="003B076E" w:rsidRDefault="004029C1" w:rsidP="00EA611C">
            <w:pPr>
              <w:rPr>
                <w:rFonts w:ascii="Times New Roman" w:hAnsi="Times New Roman" w:cs="Times New Roman"/>
                <w:sz w:val="20"/>
                <w:szCs w:val="20"/>
              </w:rPr>
            </w:pPr>
            <w:r w:rsidRPr="00601136">
              <w:rPr>
                <w:rFonts w:ascii="Times New Roman" w:eastAsiaTheme="minorHAnsi" w:hAnsi="Times New Roman" w:cs="Times New Roman"/>
                <w:kern w:val="0"/>
                <w:sz w:val="20"/>
                <w:szCs w:val="20"/>
              </w:rPr>
              <w:t>Bleakley (2023)</w:t>
            </w:r>
          </w:p>
        </w:tc>
        <w:tc>
          <w:tcPr>
            <w:tcW w:w="2126" w:type="dxa"/>
          </w:tcPr>
          <w:p w14:paraId="7769C79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Journal of Gambling Issues</w:t>
            </w:r>
          </w:p>
        </w:tc>
        <w:tc>
          <w:tcPr>
            <w:tcW w:w="1985" w:type="dxa"/>
          </w:tcPr>
          <w:p w14:paraId="301A4E4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Match-fixing and skin betting in esports</w:t>
            </w:r>
          </w:p>
        </w:tc>
        <w:tc>
          <w:tcPr>
            <w:tcW w:w="1186" w:type="dxa"/>
          </w:tcPr>
          <w:p w14:paraId="7C391D8E"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Documents</w:t>
            </w:r>
          </w:p>
        </w:tc>
        <w:tc>
          <w:tcPr>
            <w:tcW w:w="7319" w:type="dxa"/>
          </w:tcPr>
          <w:p w14:paraId="362FB9C9"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Skin</w:t>
            </w:r>
            <w:r w:rsidRPr="00601136">
              <w:rPr>
                <w:rFonts w:ascii="Times New Roman" w:eastAsiaTheme="minorHAnsi" w:hAnsi="Times New Roman" w:cs="Times New Roman"/>
                <w:kern w:val="0"/>
                <w:sz w:val="20"/>
                <w:szCs w:val="20"/>
              </w:rPr>
              <w:t xml:space="preserve"> betting in esports presents a significant issue because it allows for almost complete anonymity in organizing and committing match-fixing. The reduced risk of detection in esports match-fixing due to skin-betting contrasts with potentially higher risk of detection in traditional sports and betting with traditional currency. </w:t>
            </w:r>
          </w:p>
        </w:tc>
      </w:tr>
    </w:tbl>
    <w:p w14:paraId="63CDE646" w14:textId="77777777" w:rsidR="004029C1" w:rsidRDefault="004029C1" w:rsidP="004029C1">
      <w:pPr>
        <w:pStyle w:val="Paragraph"/>
      </w:pPr>
    </w:p>
    <w:p w14:paraId="63B11133" w14:textId="77777777" w:rsidR="004029C1" w:rsidRDefault="004029C1" w:rsidP="004029C1">
      <w:pPr>
        <w:pStyle w:val="Paragraph"/>
      </w:pPr>
    </w:p>
    <w:p w14:paraId="2FFE4B55" w14:textId="77777777" w:rsidR="004029C1" w:rsidRDefault="004029C1" w:rsidP="004029C1">
      <w:pPr>
        <w:pStyle w:val="Paragraph"/>
      </w:pPr>
    </w:p>
    <w:p w14:paraId="1E4D21B6" w14:textId="77777777" w:rsidR="004029C1" w:rsidRDefault="004029C1" w:rsidP="004029C1">
      <w:pPr>
        <w:pStyle w:val="Paragraph"/>
      </w:pPr>
    </w:p>
    <w:p w14:paraId="44E0DBFE" w14:textId="77777777" w:rsidR="004029C1" w:rsidRDefault="004029C1" w:rsidP="004029C1">
      <w:pPr>
        <w:pStyle w:val="Paragraph"/>
      </w:pPr>
    </w:p>
    <w:p w14:paraId="047BF6C0" w14:textId="77777777" w:rsidR="004029C1" w:rsidRDefault="004029C1" w:rsidP="004029C1">
      <w:pPr>
        <w:pStyle w:val="Paragraph"/>
      </w:pPr>
    </w:p>
    <w:p w14:paraId="326847C3" w14:textId="77777777" w:rsidR="004029C1" w:rsidRDefault="004029C1" w:rsidP="004029C1">
      <w:pPr>
        <w:pStyle w:val="Paragraph"/>
      </w:pPr>
    </w:p>
    <w:p w14:paraId="28C9A10B" w14:textId="6595CB5B" w:rsidR="004029C1" w:rsidRPr="00601136" w:rsidRDefault="004029C1" w:rsidP="004029C1">
      <w:pPr>
        <w:pStyle w:val="Paragraph"/>
      </w:pPr>
      <w:r w:rsidRPr="00601136">
        <w:lastRenderedPageBreak/>
        <w:t xml:space="preserve">Table </w:t>
      </w:r>
      <w:r>
        <w:t>8</w:t>
      </w:r>
      <w:r w:rsidRPr="00601136">
        <w:t xml:space="preserve">: Key features of articles with a lack of ethics, bribery, trafficking, poor governance focus </w:t>
      </w:r>
    </w:p>
    <w:tbl>
      <w:tblPr>
        <w:tblStyle w:val="TableGrid"/>
        <w:tblW w:w="14029" w:type="dxa"/>
        <w:tblLook w:val="04A0" w:firstRow="1" w:lastRow="0" w:firstColumn="1" w:lastColumn="0" w:noHBand="0" w:noVBand="1"/>
      </w:tblPr>
      <w:tblGrid>
        <w:gridCol w:w="1669"/>
        <w:gridCol w:w="2295"/>
        <w:gridCol w:w="1242"/>
        <w:gridCol w:w="1894"/>
        <w:gridCol w:w="6929"/>
      </w:tblGrid>
      <w:tr w:rsidR="004029C1" w:rsidRPr="00601136" w14:paraId="2F19EF88" w14:textId="77777777" w:rsidTr="00EA611C">
        <w:tc>
          <w:tcPr>
            <w:tcW w:w="1669" w:type="dxa"/>
          </w:tcPr>
          <w:p w14:paraId="5A33F14B"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Author/Year</w:t>
            </w:r>
          </w:p>
        </w:tc>
        <w:tc>
          <w:tcPr>
            <w:tcW w:w="2295" w:type="dxa"/>
          </w:tcPr>
          <w:p w14:paraId="15BCC355"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Publication</w:t>
            </w:r>
          </w:p>
        </w:tc>
        <w:tc>
          <w:tcPr>
            <w:tcW w:w="1242" w:type="dxa"/>
          </w:tcPr>
          <w:p w14:paraId="059E5BBD"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Theme</w:t>
            </w:r>
          </w:p>
        </w:tc>
        <w:tc>
          <w:tcPr>
            <w:tcW w:w="1894" w:type="dxa"/>
          </w:tcPr>
          <w:p w14:paraId="27321C8E"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Method</w:t>
            </w:r>
          </w:p>
        </w:tc>
        <w:tc>
          <w:tcPr>
            <w:tcW w:w="6929" w:type="dxa"/>
          </w:tcPr>
          <w:p w14:paraId="487E4495"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Key findings</w:t>
            </w:r>
          </w:p>
        </w:tc>
      </w:tr>
      <w:tr w:rsidR="004029C1" w:rsidRPr="00601136" w14:paraId="54CBEECD" w14:textId="77777777" w:rsidTr="00EA611C">
        <w:tc>
          <w:tcPr>
            <w:tcW w:w="14029" w:type="dxa"/>
            <w:gridSpan w:val="5"/>
          </w:tcPr>
          <w:p w14:paraId="1107015C" w14:textId="77777777" w:rsidR="004029C1" w:rsidRPr="00601136" w:rsidRDefault="004029C1" w:rsidP="00EA611C">
            <w:pPr>
              <w:autoSpaceDE w:val="0"/>
              <w:autoSpaceDN w:val="0"/>
              <w:adjustRightInd w:val="0"/>
              <w:jc w:val="both"/>
              <w:rPr>
                <w:rFonts w:ascii="Times New Roman" w:eastAsiaTheme="minorHAnsi" w:hAnsi="Times New Roman" w:cs="Times New Roman"/>
                <w:b/>
                <w:bCs/>
                <w:kern w:val="0"/>
                <w:sz w:val="20"/>
                <w:szCs w:val="20"/>
              </w:rPr>
            </w:pPr>
            <w:r w:rsidRPr="00601136">
              <w:rPr>
                <w:rFonts w:ascii="Times New Roman" w:eastAsiaTheme="minorHAnsi" w:hAnsi="Times New Roman" w:cs="Times New Roman"/>
                <w:b/>
                <w:bCs/>
                <w:kern w:val="0"/>
                <w:sz w:val="20"/>
                <w:szCs w:val="20"/>
              </w:rPr>
              <w:t>Governance</w:t>
            </w:r>
          </w:p>
        </w:tc>
      </w:tr>
      <w:tr w:rsidR="004029C1" w:rsidRPr="00601136" w14:paraId="34E19ACD" w14:textId="77777777" w:rsidTr="00EA611C">
        <w:tc>
          <w:tcPr>
            <w:tcW w:w="1669" w:type="dxa"/>
          </w:tcPr>
          <w:p w14:paraId="2E951A25"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Aghey (2020)</w:t>
            </w:r>
          </w:p>
        </w:tc>
        <w:tc>
          <w:tcPr>
            <w:tcW w:w="2295" w:type="dxa"/>
          </w:tcPr>
          <w:p w14:paraId="2918D7F5"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The International Sports Law Journal</w:t>
            </w:r>
          </w:p>
        </w:tc>
        <w:tc>
          <w:tcPr>
            <w:tcW w:w="1242" w:type="dxa"/>
          </w:tcPr>
          <w:p w14:paraId="392195AA"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integration in the structures of I</w:t>
            </w:r>
            <w:r w:rsidRPr="000D44FE">
              <w:rPr>
                <w:rFonts w:ascii="Times New Roman" w:hAnsi="Times New Roman" w:cs="Times New Roman"/>
                <w:sz w:val="20"/>
                <w:szCs w:val="20"/>
              </w:rPr>
              <w:t>f</w:t>
            </w:r>
            <w:r w:rsidRPr="003B076E">
              <w:rPr>
                <w:rFonts w:ascii="Times New Roman" w:hAnsi="Times New Roman" w:cs="Times New Roman"/>
                <w:sz w:val="20"/>
                <w:szCs w:val="20"/>
              </w:rPr>
              <w:t>s</w:t>
            </w:r>
          </w:p>
        </w:tc>
        <w:tc>
          <w:tcPr>
            <w:tcW w:w="1894" w:type="dxa"/>
          </w:tcPr>
          <w:p w14:paraId="5877756B"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79E081D4"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Esports should be integrated</w:t>
            </w:r>
            <w:r w:rsidRPr="00601136">
              <w:rPr>
                <w:rFonts w:ascii="Times New Roman" w:eastAsiaTheme="minorHAnsi" w:hAnsi="Times New Roman" w:cs="Times New Roman"/>
                <w:kern w:val="0"/>
                <w:sz w:val="20"/>
                <w:szCs w:val="20"/>
              </w:rPr>
              <w:t xml:space="preserve"> within the structure of existing </w:t>
            </w:r>
            <w:r>
              <w:rPr>
                <w:rFonts w:ascii="Times New Roman" w:eastAsiaTheme="minorHAnsi" w:hAnsi="Times New Roman" w:cs="Times New Roman"/>
                <w:kern w:val="0"/>
                <w:sz w:val="20"/>
                <w:szCs w:val="20"/>
              </w:rPr>
              <w:t>i</w:t>
            </w:r>
            <w:r w:rsidRPr="00601136">
              <w:rPr>
                <w:rFonts w:ascii="Times New Roman" w:eastAsiaTheme="minorHAnsi" w:hAnsi="Times New Roman" w:cs="Times New Roman"/>
                <w:kern w:val="0"/>
                <w:sz w:val="20"/>
                <w:szCs w:val="20"/>
              </w:rPr>
              <w:t xml:space="preserve">nternational </w:t>
            </w:r>
            <w:r>
              <w:rPr>
                <w:rFonts w:ascii="Times New Roman" w:eastAsiaTheme="minorHAnsi" w:hAnsi="Times New Roman" w:cs="Times New Roman"/>
                <w:kern w:val="0"/>
                <w:sz w:val="20"/>
                <w:szCs w:val="20"/>
              </w:rPr>
              <w:t>sport f</w:t>
            </w:r>
            <w:r w:rsidRPr="00601136">
              <w:rPr>
                <w:rFonts w:ascii="Times New Roman" w:eastAsiaTheme="minorHAnsi" w:hAnsi="Times New Roman" w:cs="Times New Roman"/>
                <w:kern w:val="0"/>
                <w:sz w:val="20"/>
                <w:szCs w:val="20"/>
              </w:rPr>
              <w:t xml:space="preserve">ederations, </w:t>
            </w:r>
            <w:r>
              <w:rPr>
                <w:rFonts w:ascii="Times New Roman" w:eastAsiaTheme="minorHAnsi" w:hAnsi="Times New Roman" w:cs="Times New Roman"/>
                <w:kern w:val="0"/>
                <w:sz w:val="20"/>
                <w:szCs w:val="20"/>
              </w:rPr>
              <w:t>such as</w:t>
            </w:r>
            <w:r w:rsidRPr="00601136">
              <w:rPr>
                <w:rFonts w:ascii="Times New Roman" w:eastAsiaTheme="minorHAnsi" w:hAnsi="Times New Roman" w:cs="Times New Roman"/>
                <w:kern w:val="0"/>
                <w:sz w:val="20"/>
                <w:szCs w:val="20"/>
              </w:rPr>
              <w:t xml:space="preserve"> FIFA.</w:t>
            </w:r>
          </w:p>
        </w:tc>
      </w:tr>
      <w:tr w:rsidR="004029C1" w:rsidRPr="00601136" w14:paraId="5E71E4C3" w14:textId="77777777" w:rsidTr="00EA611C">
        <w:tc>
          <w:tcPr>
            <w:tcW w:w="1669" w:type="dxa"/>
          </w:tcPr>
          <w:p w14:paraId="4DFC7CD1"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Kelly et al. (2022)</w:t>
            </w:r>
          </w:p>
        </w:tc>
        <w:tc>
          <w:tcPr>
            <w:tcW w:w="2295" w:type="dxa"/>
          </w:tcPr>
          <w:p w14:paraId="6A4D4FAA"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 xml:space="preserve">Journal article – </w:t>
            </w:r>
            <w:r w:rsidRPr="00601136">
              <w:rPr>
                <w:rFonts w:ascii="Times New Roman" w:eastAsiaTheme="minorHAnsi" w:hAnsi="Times New Roman" w:cs="Times New Roman"/>
                <w:kern w:val="0"/>
                <w:sz w:val="20"/>
                <w:szCs w:val="20"/>
              </w:rPr>
              <w:t>International Journal of Sport Policy and Politics</w:t>
            </w:r>
          </w:p>
          <w:p w14:paraId="32F6229F" w14:textId="77777777" w:rsidR="004029C1" w:rsidRPr="003B076E" w:rsidRDefault="004029C1" w:rsidP="00EA611C">
            <w:pPr>
              <w:rPr>
                <w:rFonts w:ascii="Times New Roman" w:hAnsi="Times New Roman" w:cs="Times New Roman"/>
                <w:sz w:val="20"/>
                <w:szCs w:val="20"/>
              </w:rPr>
            </w:pPr>
          </w:p>
        </w:tc>
        <w:tc>
          <w:tcPr>
            <w:tcW w:w="1242" w:type="dxa"/>
          </w:tcPr>
          <w:p w14:paraId="279AFCE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Governance challenges in esports</w:t>
            </w:r>
          </w:p>
        </w:tc>
        <w:tc>
          <w:tcPr>
            <w:tcW w:w="1894" w:type="dxa"/>
          </w:tcPr>
          <w:p w14:paraId="7FE4631B"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77BB106C"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This paper builds upon existing commentary on the risks and challenges in the sector by proposing a robust governance framework previously applied in traditional sports and importantly, </w:t>
            </w:r>
            <w:r>
              <w:rPr>
                <w:rFonts w:ascii="Times New Roman" w:eastAsiaTheme="minorHAnsi" w:hAnsi="Times New Roman" w:cs="Times New Roman"/>
                <w:kern w:val="0"/>
                <w:sz w:val="20"/>
                <w:szCs w:val="20"/>
              </w:rPr>
              <w:t>it</w:t>
            </w:r>
            <w:r w:rsidRPr="00601136">
              <w:rPr>
                <w:rFonts w:ascii="Times New Roman" w:eastAsiaTheme="minorHAnsi" w:hAnsi="Times New Roman" w:cs="Times New Roman"/>
                <w:kern w:val="0"/>
                <w:sz w:val="20"/>
                <w:szCs w:val="20"/>
              </w:rPr>
              <w:t xml:space="preserve"> </w:t>
            </w:r>
            <w:r>
              <w:rPr>
                <w:rFonts w:ascii="Times New Roman" w:eastAsiaTheme="minorHAnsi" w:hAnsi="Times New Roman" w:cs="Times New Roman"/>
                <w:kern w:val="0"/>
                <w:sz w:val="20"/>
                <w:szCs w:val="20"/>
              </w:rPr>
              <w:t>recommends to implement</w:t>
            </w:r>
            <w:r w:rsidRPr="00601136">
              <w:rPr>
                <w:rFonts w:ascii="Times New Roman" w:eastAsiaTheme="minorHAnsi" w:hAnsi="Times New Roman" w:cs="Times New Roman"/>
                <w:kern w:val="0"/>
                <w:sz w:val="20"/>
                <w:szCs w:val="20"/>
              </w:rPr>
              <w:t xml:space="preserve"> this model </w:t>
            </w:r>
            <w:r>
              <w:rPr>
                <w:rFonts w:ascii="Times New Roman" w:eastAsiaTheme="minorHAnsi" w:hAnsi="Times New Roman" w:cs="Times New Roman"/>
                <w:kern w:val="0"/>
                <w:sz w:val="20"/>
                <w:szCs w:val="20"/>
              </w:rPr>
              <w:t>with a</w:t>
            </w:r>
            <w:r w:rsidRPr="00601136">
              <w:rPr>
                <w:rFonts w:ascii="Times New Roman" w:eastAsiaTheme="minorHAnsi" w:hAnsi="Times New Roman" w:cs="Times New Roman"/>
                <w:kern w:val="0"/>
                <w:sz w:val="20"/>
                <w:szCs w:val="20"/>
              </w:rPr>
              <w:t xml:space="preserve">n inclusive policy process that engages key stakeholders, including </w:t>
            </w:r>
            <w:r>
              <w:rPr>
                <w:rFonts w:ascii="Times New Roman" w:eastAsiaTheme="minorHAnsi" w:hAnsi="Times New Roman" w:cs="Times New Roman"/>
                <w:kern w:val="0"/>
                <w:sz w:val="20"/>
                <w:szCs w:val="20"/>
              </w:rPr>
              <w:t xml:space="preserve">affected </w:t>
            </w:r>
            <w:r w:rsidRPr="00601136">
              <w:rPr>
                <w:rFonts w:ascii="Times New Roman" w:eastAsiaTheme="minorHAnsi" w:hAnsi="Times New Roman" w:cs="Times New Roman"/>
                <w:kern w:val="0"/>
                <w:sz w:val="20"/>
                <w:szCs w:val="20"/>
              </w:rPr>
              <w:t xml:space="preserve">youth and commercial entities. </w:t>
            </w:r>
          </w:p>
        </w:tc>
      </w:tr>
      <w:tr w:rsidR="004029C1" w:rsidRPr="00601136" w14:paraId="193B061B" w14:textId="77777777" w:rsidTr="00EA611C">
        <w:tc>
          <w:tcPr>
            <w:tcW w:w="1669" w:type="dxa"/>
          </w:tcPr>
          <w:p w14:paraId="5261EB79"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Ma et al. (2022)</w:t>
            </w:r>
          </w:p>
        </w:tc>
        <w:tc>
          <w:tcPr>
            <w:tcW w:w="2295" w:type="dxa"/>
          </w:tcPr>
          <w:p w14:paraId="11936A9C"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Proceedings of the ACM on Human-Computer Interaction</w:t>
            </w:r>
          </w:p>
        </w:tc>
        <w:tc>
          <w:tcPr>
            <w:tcW w:w="1242" w:type="dxa"/>
          </w:tcPr>
          <w:p w14:paraId="5F6D9A7E"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Rule enforcement analysis in LoL</w:t>
            </w:r>
          </w:p>
        </w:tc>
        <w:tc>
          <w:tcPr>
            <w:tcW w:w="1894" w:type="dxa"/>
          </w:tcPr>
          <w:p w14:paraId="0ACCB9FB"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Mixed Methods</w:t>
            </w:r>
          </w:p>
        </w:tc>
        <w:tc>
          <w:tcPr>
            <w:tcW w:w="6929" w:type="dxa"/>
          </w:tcPr>
          <w:p w14:paraId="6B077C5E"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The study explore</w:t>
            </w:r>
            <w:r>
              <w:rPr>
                <w:rFonts w:ascii="Times New Roman" w:eastAsiaTheme="minorHAnsi" w:hAnsi="Times New Roman" w:cs="Times New Roman"/>
                <w:kern w:val="0"/>
                <w:sz w:val="20"/>
                <w:szCs w:val="20"/>
              </w:rPr>
              <w:t>s the expansion and increasing severity of</w:t>
            </w:r>
            <w:r w:rsidRPr="00601136">
              <w:rPr>
                <w:rFonts w:ascii="Times New Roman" w:eastAsiaTheme="minorHAnsi" w:hAnsi="Times New Roman" w:cs="Times New Roman"/>
                <w:kern w:val="0"/>
                <w:sz w:val="20"/>
                <w:szCs w:val="20"/>
              </w:rPr>
              <w:t xml:space="preserve"> rule enforcement in LoL esports</w:t>
            </w:r>
            <w:r>
              <w:rPr>
                <w:rFonts w:ascii="Times New Roman" w:eastAsiaTheme="minorHAnsi" w:hAnsi="Times New Roman" w:cs="Times New Roman"/>
                <w:kern w:val="0"/>
                <w:sz w:val="20"/>
                <w:szCs w:val="20"/>
              </w:rPr>
              <w:t xml:space="preserve"> in parallel to the governance reform engaged by the </w:t>
            </w:r>
            <w:r w:rsidRPr="00601136">
              <w:rPr>
                <w:rFonts w:ascii="Times New Roman" w:eastAsiaTheme="minorHAnsi" w:hAnsi="Times New Roman" w:cs="Times New Roman"/>
                <w:kern w:val="0"/>
                <w:sz w:val="20"/>
                <w:szCs w:val="20"/>
              </w:rPr>
              <w:t>game publish</w:t>
            </w:r>
            <w:r>
              <w:rPr>
                <w:rFonts w:ascii="Times New Roman" w:eastAsiaTheme="minorHAnsi" w:hAnsi="Times New Roman" w:cs="Times New Roman"/>
                <w:kern w:val="0"/>
                <w:sz w:val="20"/>
                <w:szCs w:val="20"/>
              </w:rPr>
              <w:t>er.</w:t>
            </w:r>
          </w:p>
        </w:tc>
      </w:tr>
      <w:tr w:rsidR="004029C1" w:rsidRPr="00601136" w14:paraId="0E820E9F" w14:textId="77777777" w:rsidTr="00EA611C">
        <w:tc>
          <w:tcPr>
            <w:tcW w:w="1669" w:type="dxa"/>
          </w:tcPr>
          <w:p w14:paraId="0865F947"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Martinelli (2019)</w:t>
            </w:r>
          </w:p>
        </w:tc>
        <w:tc>
          <w:tcPr>
            <w:tcW w:w="2295" w:type="dxa"/>
          </w:tcPr>
          <w:p w14:paraId="4B18C68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University of Miami International and Comparative Law Review</w:t>
            </w:r>
          </w:p>
        </w:tc>
        <w:tc>
          <w:tcPr>
            <w:tcW w:w="1242" w:type="dxa"/>
          </w:tcPr>
          <w:p w14:paraId="1083EEB3"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Governance challenges in esports</w:t>
            </w:r>
          </w:p>
        </w:tc>
        <w:tc>
          <w:tcPr>
            <w:tcW w:w="1894" w:type="dxa"/>
          </w:tcPr>
          <w:p w14:paraId="30690678"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482A0156"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The article suggests the establishment of a global regulatory model for the esports industry, and </w:t>
            </w:r>
            <w:r>
              <w:rPr>
                <w:rFonts w:ascii="Times New Roman" w:eastAsiaTheme="minorHAnsi" w:hAnsi="Times New Roman" w:cs="Times New Roman"/>
                <w:kern w:val="0"/>
                <w:sz w:val="20"/>
                <w:szCs w:val="20"/>
              </w:rPr>
              <w:t>recommends</w:t>
            </w:r>
            <w:r w:rsidRPr="00601136">
              <w:rPr>
                <w:rFonts w:ascii="Times New Roman" w:eastAsiaTheme="minorHAnsi" w:hAnsi="Times New Roman" w:cs="Times New Roman"/>
                <w:kern w:val="0"/>
                <w:sz w:val="20"/>
                <w:szCs w:val="20"/>
              </w:rPr>
              <w:t xml:space="preserve"> that regulatory requirements, while monitored by a globally recognized enforcement agency, must take into account the diversity of esports </w:t>
            </w:r>
            <w:r>
              <w:rPr>
                <w:rFonts w:ascii="Times New Roman" w:eastAsiaTheme="minorHAnsi" w:hAnsi="Times New Roman" w:cs="Times New Roman"/>
                <w:kern w:val="0"/>
                <w:sz w:val="20"/>
                <w:szCs w:val="20"/>
              </w:rPr>
              <w:t>stakeholders, through bilateral negotiations.</w:t>
            </w:r>
            <w:r w:rsidRPr="00601136">
              <w:rPr>
                <w:rFonts w:ascii="Times New Roman" w:eastAsiaTheme="minorHAnsi" w:hAnsi="Times New Roman" w:cs="Times New Roman"/>
                <w:kern w:val="0"/>
                <w:sz w:val="20"/>
                <w:szCs w:val="20"/>
              </w:rPr>
              <w:t xml:space="preserve"> </w:t>
            </w:r>
          </w:p>
        </w:tc>
      </w:tr>
      <w:tr w:rsidR="004029C1" w:rsidRPr="00601136" w14:paraId="053ACCAB" w14:textId="77777777" w:rsidTr="00EA611C">
        <w:tc>
          <w:tcPr>
            <w:tcW w:w="1669" w:type="dxa"/>
          </w:tcPr>
          <w:p w14:paraId="2E779D17"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Tseng (2020)</w:t>
            </w:r>
          </w:p>
        </w:tc>
        <w:tc>
          <w:tcPr>
            <w:tcW w:w="2295" w:type="dxa"/>
          </w:tcPr>
          <w:p w14:paraId="3DD23F17"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Journal of Intellectual Property Law</w:t>
            </w:r>
          </w:p>
        </w:tc>
        <w:tc>
          <w:tcPr>
            <w:tcW w:w="1242" w:type="dxa"/>
          </w:tcPr>
          <w:p w14:paraId="45CB36FD"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A universal code of conduct in esports</w:t>
            </w:r>
          </w:p>
        </w:tc>
        <w:tc>
          <w:tcPr>
            <w:tcW w:w="1894" w:type="dxa"/>
          </w:tcPr>
          <w:p w14:paraId="20095563"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211D89C3"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 xml:space="preserve">The paper suggests the creation of an </w:t>
            </w:r>
            <w:r w:rsidRPr="00601136">
              <w:rPr>
                <w:rFonts w:ascii="Times New Roman" w:eastAsiaTheme="minorHAnsi" w:hAnsi="Times New Roman" w:cs="Times New Roman"/>
                <w:kern w:val="0"/>
                <w:sz w:val="20"/>
                <w:szCs w:val="20"/>
              </w:rPr>
              <w:t xml:space="preserve">universal code of conduct </w:t>
            </w:r>
            <w:r>
              <w:rPr>
                <w:rFonts w:ascii="Times New Roman" w:eastAsiaTheme="minorHAnsi" w:hAnsi="Times New Roman" w:cs="Times New Roman"/>
                <w:kern w:val="0"/>
                <w:sz w:val="20"/>
                <w:szCs w:val="20"/>
              </w:rPr>
              <w:t>for</w:t>
            </w:r>
            <w:r w:rsidRPr="00601136">
              <w:rPr>
                <w:rFonts w:ascii="Times New Roman" w:eastAsiaTheme="minorHAnsi" w:hAnsi="Times New Roman" w:cs="Times New Roman"/>
                <w:kern w:val="0"/>
                <w:sz w:val="20"/>
                <w:szCs w:val="20"/>
              </w:rPr>
              <w:t xml:space="preserve"> esports engagement. Companies and leagues could agree upon a governing body for the limited purpose of establishing and overseeing compliance with a universal code of conduct across all esports, while giving individual companies and leagues power to implement and enforce the code. Or they could build cross-esports cheating policies into their terms of service or rules and regulations, giving them the discretion to honour or apply disciplinary actions taken by other organizations.</w:t>
            </w:r>
          </w:p>
        </w:tc>
      </w:tr>
      <w:tr w:rsidR="004029C1" w:rsidRPr="00601136" w14:paraId="60A68C90" w14:textId="77777777" w:rsidTr="00EA611C">
        <w:tc>
          <w:tcPr>
            <w:tcW w:w="14029" w:type="dxa"/>
            <w:gridSpan w:val="5"/>
          </w:tcPr>
          <w:p w14:paraId="3BCA72E5" w14:textId="77777777" w:rsidR="004029C1" w:rsidRPr="00601136" w:rsidRDefault="004029C1" w:rsidP="00EA611C">
            <w:pPr>
              <w:autoSpaceDE w:val="0"/>
              <w:autoSpaceDN w:val="0"/>
              <w:adjustRightInd w:val="0"/>
              <w:jc w:val="both"/>
              <w:rPr>
                <w:rFonts w:ascii="Times New Roman" w:eastAsiaTheme="minorHAnsi" w:hAnsi="Times New Roman" w:cs="Times New Roman"/>
                <w:b/>
                <w:bCs/>
                <w:kern w:val="0"/>
                <w:sz w:val="20"/>
                <w:szCs w:val="20"/>
              </w:rPr>
            </w:pPr>
            <w:r w:rsidRPr="00601136">
              <w:rPr>
                <w:rFonts w:ascii="Times New Roman" w:eastAsiaTheme="minorHAnsi" w:hAnsi="Times New Roman" w:cs="Times New Roman"/>
                <w:b/>
                <w:bCs/>
                <w:kern w:val="0"/>
                <w:sz w:val="20"/>
                <w:szCs w:val="20"/>
              </w:rPr>
              <w:t>Arbitration</w:t>
            </w:r>
          </w:p>
        </w:tc>
      </w:tr>
      <w:tr w:rsidR="004029C1" w:rsidRPr="00601136" w14:paraId="6E2D4492" w14:textId="77777777" w:rsidTr="00EA611C">
        <w:tc>
          <w:tcPr>
            <w:tcW w:w="1669" w:type="dxa"/>
          </w:tcPr>
          <w:p w14:paraId="706B5430"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t>Boonstra (201</w:t>
            </w:r>
            <w:r>
              <w:rPr>
                <w:rFonts w:ascii="Times New Roman" w:eastAsiaTheme="minorHAnsi" w:hAnsi="Times New Roman" w:cs="Times New Roman"/>
                <w:kern w:val="0"/>
                <w:sz w:val="20"/>
                <w:szCs w:val="20"/>
              </w:rPr>
              <w:t>8</w:t>
            </w:r>
            <w:r w:rsidRPr="003B076E">
              <w:rPr>
                <w:rFonts w:ascii="Times New Roman" w:eastAsiaTheme="minorHAnsi" w:hAnsi="Times New Roman" w:cs="Times New Roman"/>
                <w:kern w:val="0"/>
                <w:sz w:val="20"/>
                <w:szCs w:val="20"/>
              </w:rPr>
              <w:t>)</w:t>
            </w:r>
          </w:p>
        </w:tc>
        <w:tc>
          <w:tcPr>
            <w:tcW w:w="2295" w:type="dxa"/>
          </w:tcPr>
          <w:p w14:paraId="6089BA8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Arbitration Law Review</w:t>
            </w:r>
          </w:p>
        </w:tc>
        <w:tc>
          <w:tcPr>
            <w:tcW w:w="1242" w:type="dxa"/>
          </w:tcPr>
          <w:p w14:paraId="1EC4FDD9"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arbitration</w:t>
            </w:r>
          </w:p>
        </w:tc>
        <w:tc>
          <w:tcPr>
            <w:tcW w:w="1894" w:type="dxa"/>
          </w:tcPr>
          <w:p w14:paraId="064B2189"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0B5244FD" w14:textId="77777777" w:rsidR="004029C1" w:rsidRPr="003B076E" w:rsidRDefault="004029C1" w:rsidP="00EA611C">
            <w:pPr>
              <w:autoSpaceDE w:val="0"/>
              <w:autoSpaceDN w:val="0"/>
              <w:adjustRightInd w:val="0"/>
              <w:jc w:val="both"/>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The</w:t>
            </w:r>
            <w:r w:rsidRPr="00601136">
              <w:rPr>
                <w:rFonts w:ascii="Times New Roman" w:eastAsiaTheme="minorHAnsi" w:hAnsi="Times New Roman" w:cs="Times New Roman"/>
                <w:kern w:val="0"/>
                <w:sz w:val="20"/>
                <w:szCs w:val="20"/>
              </w:rPr>
              <w:t xml:space="preserve"> ACES rules w</w:t>
            </w:r>
            <w:r>
              <w:rPr>
                <w:rFonts w:ascii="Times New Roman" w:eastAsiaTheme="minorHAnsi" w:hAnsi="Times New Roman" w:cs="Times New Roman"/>
                <w:kern w:val="0"/>
                <w:sz w:val="20"/>
                <w:szCs w:val="20"/>
              </w:rPr>
              <w:t>ould</w:t>
            </w:r>
            <w:r w:rsidRPr="00601136">
              <w:rPr>
                <w:rFonts w:ascii="Times New Roman" w:eastAsiaTheme="minorHAnsi" w:hAnsi="Times New Roman" w:cs="Times New Roman"/>
                <w:kern w:val="0"/>
                <w:sz w:val="20"/>
                <w:szCs w:val="20"/>
              </w:rPr>
              <w:t xml:space="preserve"> greatly benefit eSports players, providing them with a more efficient and affordable dispute resolution mechanism. </w:t>
            </w:r>
          </w:p>
        </w:tc>
      </w:tr>
      <w:tr w:rsidR="004029C1" w:rsidRPr="00601136" w14:paraId="3C93E7DF" w14:textId="77777777" w:rsidTr="00EA611C">
        <w:tc>
          <w:tcPr>
            <w:tcW w:w="1669" w:type="dxa"/>
          </w:tcPr>
          <w:p w14:paraId="59AC8AC0" w14:textId="77777777" w:rsidR="004029C1" w:rsidRPr="003B076E" w:rsidRDefault="004029C1" w:rsidP="00EA611C">
            <w:pPr>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Camilleri and Huk</w:t>
            </w:r>
            <w:r w:rsidRPr="003B076E">
              <w:rPr>
                <w:rFonts w:ascii="Times New Roman" w:eastAsiaTheme="minorHAnsi" w:hAnsi="Times New Roman" w:cs="Times New Roman"/>
                <w:kern w:val="0"/>
                <w:sz w:val="20"/>
                <w:szCs w:val="20"/>
              </w:rPr>
              <w:t xml:space="preserve"> (2023)</w:t>
            </w:r>
          </w:p>
        </w:tc>
        <w:tc>
          <w:tcPr>
            <w:tcW w:w="2295" w:type="dxa"/>
          </w:tcPr>
          <w:p w14:paraId="4B53CF60"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Journal article – Lex Sportiva</w:t>
            </w:r>
          </w:p>
        </w:tc>
        <w:tc>
          <w:tcPr>
            <w:tcW w:w="1242" w:type="dxa"/>
          </w:tcPr>
          <w:p w14:paraId="694777BB"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CAS for esports</w:t>
            </w:r>
          </w:p>
        </w:tc>
        <w:tc>
          <w:tcPr>
            <w:tcW w:w="1894" w:type="dxa"/>
          </w:tcPr>
          <w:p w14:paraId="75C92350"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405CA0DC"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The CAS is </w:t>
            </w:r>
            <w:r>
              <w:rPr>
                <w:rFonts w:ascii="Times New Roman" w:eastAsiaTheme="minorHAnsi" w:hAnsi="Times New Roman" w:cs="Times New Roman"/>
                <w:kern w:val="0"/>
                <w:sz w:val="20"/>
                <w:szCs w:val="20"/>
              </w:rPr>
              <w:t xml:space="preserve">currently </w:t>
            </w:r>
            <w:r w:rsidRPr="00601136">
              <w:rPr>
                <w:rFonts w:ascii="Times New Roman" w:eastAsiaTheme="minorHAnsi" w:hAnsi="Times New Roman" w:cs="Times New Roman"/>
                <w:kern w:val="0"/>
                <w:sz w:val="20"/>
                <w:szCs w:val="20"/>
              </w:rPr>
              <w:t xml:space="preserve">unable to fulfil the role as dispute resolution body for esports </w:t>
            </w:r>
            <w:r>
              <w:rPr>
                <w:rFonts w:ascii="Times New Roman" w:eastAsiaTheme="minorHAnsi" w:hAnsi="Times New Roman" w:cs="Times New Roman"/>
                <w:kern w:val="0"/>
                <w:sz w:val="20"/>
                <w:szCs w:val="20"/>
              </w:rPr>
              <w:t xml:space="preserve">as </w:t>
            </w:r>
            <w:r w:rsidRPr="00601136">
              <w:rPr>
                <w:rFonts w:ascii="Times New Roman" w:eastAsiaTheme="minorHAnsi" w:hAnsi="Times New Roman" w:cs="Times New Roman"/>
                <w:kern w:val="0"/>
                <w:sz w:val="20"/>
                <w:szCs w:val="20"/>
              </w:rPr>
              <w:t>it does not yet recognise esports as a legit</w:t>
            </w:r>
            <w:r w:rsidRPr="00601136">
              <w:rPr>
                <w:rFonts w:ascii="Times New Roman" w:eastAsiaTheme="minorHAnsi" w:hAnsi="Times New Roman" w:cs="Times New Roman"/>
                <w:kern w:val="0"/>
                <w:sz w:val="20"/>
                <w:szCs w:val="20"/>
              </w:rPr>
              <w:softHyphen/>
              <w:t>imate sport, it does not have the required technical expertise and many stakeholders have not yet sub</w:t>
            </w:r>
            <w:r w:rsidRPr="00601136">
              <w:rPr>
                <w:rFonts w:ascii="Times New Roman" w:eastAsiaTheme="minorHAnsi" w:hAnsi="Times New Roman" w:cs="Times New Roman"/>
                <w:kern w:val="0"/>
                <w:sz w:val="20"/>
                <w:szCs w:val="20"/>
              </w:rPr>
              <w:softHyphen/>
              <w:t>scribed to the idea of having the CAS act as the decision-making body.</w:t>
            </w:r>
          </w:p>
        </w:tc>
      </w:tr>
      <w:tr w:rsidR="004029C1" w:rsidRPr="00601136" w14:paraId="524FFFE6" w14:textId="77777777" w:rsidTr="00EA611C">
        <w:tc>
          <w:tcPr>
            <w:tcW w:w="1669" w:type="dxa"/>
          </w:tcPr>
          <w:p w14:paraId="11332896" w14:textId="77777777" w:rsidR="004029C1" w:rsidRPr="003B076E" w:rsidRDefault="004029C1" w:rsidP="00EA611C">
            <w:pPr>
              <w:rPr>
                <w:rFonts w:ascii="Times New Roman" w:eastAsiaTheme="minorHAnsi" w:hAnsi="Times New Roman" w:cs="Times New Roman"/>
                <w:kern w:val="0"/>
                <w:sz w:val="20"/>
                <w:szCs w:val="20"/>
              </w:rPr>
            </w:pPr>
            <w:r w:rsidRPr="003B076E">
              <w:rPr>
                <w:rFonts w:ascii="Times New Roman" w:eastAsiaTheme="minorHAnsi" w:hAnsi="Times New Roman" w:cs="Times New Roman"/>
                <w:kern w:val="0"/>
                <w:sz w:val="20"/>
                <w:szCs w:val="20"/>
              </w:rPr>
              <w:lastRenderedPageBreak/>
              <w:t>Shmatenko (2021)</w:t>
            </w:r>
          </w:p>
        </w:tc>
        <w:tc>
          <w:tcPr>
            <w:tcW w:w="2295" w:type="dxa"/>
          </w:tcPr>
          <w:p w14:paraId="72A8BC69" w14:textId="77777777" w:rsidR="004029C1" w:rsidRPr="003B076E" w:rsidRDefault="004029C1" w:rsidP="00EA611C">
            <w:pPr>
              <w:rPr>
                <w:rFonts w:ascii="Times New Roman" w:hAnsi="Times New Roman" w:cs="Times New Roman"/>
                <w:sz w:val="20"/>
                <w:szCs w:val="20"/>
                <w:lang w:val="fr-FR"/>
              </w:rPr>
            </w:pPr>
            <w:r w:rsidRPr="003B076E">
              <w:rPr>
                <w:rFonts w:ascii="Times New Roman" w:hAnsi="Times New Roman" w:cs="Times New Roman"/>
                <w:sz w:val="20"/>
                <w:szCs w:val="20"/>
                <w:lang w:val="fr-FR"/>
              </w:rPr>
              <w:t>Journal article – 40 under 40 International Arbitration 2021</w:t>
            </w:r>
          </w:p>
        </w:tc>
        <w:tc>
          <w:tcPr>
            <w:tcW w:w="1242" w:type="dxa"/>
          </w:tcPr>
          <w:p w14:paraId="4E50F1A5"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arbitration</w:t>
            </w:r>
          </w:p>
        </w:tc>
        <w:tc>
          <w:tcPr>
            <w:tcW w:w="1894" w:type="dxa"/>
          </w:tcPr>
          <w:p w14:paraId="12531731"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29" w:type="dxa"/>
          </w:tcPr>
          <w:p w14:paraId="18AD7AE2"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 xml:space="preserve">The fragmented, highly conflicted dispute resolution mechanisms in the esports industry </w:t>
            </w:r>
            <w:r>
              <w:rPr>
                <w:rFonts w:ascii="Times New Roman" w:eastAsiaTheme="minorHAnsi" w:hAnsi="Times New Roman" w:cs="Times New Roman"/>
                <w:kern w:val="0"/>
                <w:sz w:val="20"/>
                <w:szCs w:val="20"/>
              </w:rPr>
              <w:t>should be replaced by</w:t>
            </w:r>
            <w:r w:rsidRPr="00601136">
              <w:rPr>
                <w:rFonts w:ascii="Times New Roman" w:eastAsiaTheme="minorHAnsi" w:hAnsi="Times New Roman" w:cs="Times New Roman"/>
                <w:kern w:val="0"/>
                <w:sz w:val="20"/>
                <w:szCs w:val="20"/>
              </w:rPr>
              <w:t xml:space="preserve"> a centralized, permanent arbitration institution such as the CAS. Only a joint effort will give an arbitral institution the necessary legitimization.</w:t>
            </w:r>
          </w:p>
        </w:tc>
      </w:tr>
    </w:tbl>
    <w:p w14:paraId="6219058D" w14:textId="77777777" w:rsidR="004029C1" w:rsidRDefault="004029C1" w:rsidP="004029C1">
      <w:pPr>
        <w:rPr>
          <w:rFonts w:ascii="Times New Roman" w:hAnsi="Times New Roman" w:cs="Times New Roman"/>
          <w:sz w:val="22"/>
          <w:szCs w:val="22"/>
        </w:rPr>
      </w:pPr>
    </w:p>
    <w:p w14:paraId="74F6DABF" w14:textId="77777777" w:rsidR="004029C1" w:rsidRDefault="004029C1" w:rsidP="004029C1">
      <w:pPr>
        <w:rPr>
          <w:rFonts w:ascii="Times New Roman" w:hAnsi="Times New Roman" w:cs="Times New Roman"/>
          <w:sz w:val="22"/>
          <w:szCs w:val="22"/>
        </w:rPr>
      </w:pPr>
    </w:p>
    <w:p w14:paraId="5F50767C" w14:textId="77777777" w:rsidR="004029C1" w:rsidRDefault="004029C1" w:rsidP="004029C1">
      <w:pPr>
        <w:rPr>
          <w:rFonts w:ascii="Times New Roman" w:hAnsi="Times New Roman" w:cs="Times New Roman"/>
          <w:sz w:val="22"/>
          <w:szCs w:val="22"/>
        </w:rPr>
      </w:pPr>
    </w:p>
    <w:p w14:paraId="6AD8E85D" w14:textId="77777777" w:rsidR="004029C1" w:rsidRDefault="004029C1" w:rsidP="004029C1">
      <w:pPr>
        <w:rPr>
          <w:rFonts w:ascii="Times New Roman" w:hAnsi="Times New Roman" w:cs="Times New Roman"/>
          <w:sz w:val="22"/>
          <w:szCs w:val="22"/>
        </w:rPr>
      </w:pPr>
    </w:p>
    <w:p w14:paraId="0EF84588" w14:textId="77777777" w:rsidR="004029C1" w:rsidRDefault="004029C1" w:rsidP="004029C1">
      <w:pPr>
        <w:rPr>
          <w:rFonts w:ascii="Times New Roman" w:hAnsi="Times New Roman" w:cs="Times New Roman"/>
          <w:sz w:val="22"/>
          <w:szCs w:val="22"/>
        </w:rPr>
      </w:pPr>
    </w:p>
    <w:p w14:paraId="65F041EF" w14:textId="77777777" w:rsidR="004029C1" w:rsidRDefault="004029C1" w:rsidP="004029C1">
      <w:pPr>
        <w:rPr>
          <w:rFonts w:ascii="Times New Roman" w:hAnsi="Times New Roman" w:cs="Times New Roman"/>
          <w:sz w:val="22"/>
          <w:szCs w:val="22"/>
        </w:rPr>
      </w:pPr>
    </w:p>
    <w:p w14:paraId="232DB731" w14:textId="77777777" w:rsidR="004029C1" w:rsidRDefault="004029C1" w:rsidP="004029C1">
      <w:pPr>
        <w:rPr>
          <w:rFonts w:ascii="Times New Roman" w:hAnsi="Times New Roman" w:cs="Times New Roman"/>
          <w:sz w:val="22"/>
          <w:szCs w:val="22"/>
        </w:rPr>
      </w:pPr>
    </w:p>
    <w:p w14:paraId="55A4A512" w14:textId="77777777" w:rsidR="004029C1" w:rsidRDefault="004029C1" w:rsidP="004029C1">
      <w:pPr>
        <w:rPr>
          <w:rFonts w:ascii="Times New Roman" w:hAnsi="Times New Roman" w:cs="Times New Roman"/>
          <w:sz w:val="22"/>
          <w:szCs w:val="22"/>
        </w:rPr>
      </w:pPr>
    </w:p>
    <w:p w14:paraId="29E6F2A3" w14:textId="77777777" w:rsidR="004029C1" w:rsidRDefault="004029C1" w:rsidP="004029C1">
      <w:pPr>
        <w:rPr>
          <w:rFonts w:ascii="Times New Roman" w:hAnsi="Times New Roman" w:cs="Times New Roman"/>
          <w:sz w:val="22"/>
          <w:szCs w:val="22"/>
        </w:rPr>
      </w:pPr>
    </w:p>
    <w:p w14:paraId="757AD3BF" w14:textId="77777777" w:rsidR="004029C1" w:rsidRDefault="004029C1" w:rsidP="004029C1">
      <w:pPr>
        <w:rPr>
          <w:rFonts w:ascii="Times New Roman" w:hAnsi="Times New Roman" w:cs="Times New Roman"/>
          <w:sz w:val="22"/>
          <w:szCs w:val="22"/>
        </w:rPr>
      </w:pPr>
    </w:p>
    <w:p w14:paraId="7D1BD728" w14:textId="77777777" w:rsidR="004029C1" w:rsidRDefault="004029C1" w:rsidP="004029C1">
      <w:pPr>
        <w:rPr>
          <w:rFonts w:ascii="Times New Roman" w:hAnsi="Times New Roman" w:cs="Times New Roman"/>
          <w:sz w:val="22"/>
          <w:szCs w:val="22"/>
        </w:rPr>
      </w:pPr>
    </w:p>
    <w:p w14:paraId="7320C136" w14:textId="77777777" w:rsidR="004029C1" w:rsidRDefault="004029C1" w:rsidP="004029C1">
      <w:pPr>
        <w:rPr>
          <w:rFonts w:ascii="Times New Roman" w:hAnsi="Times New Roman" w:cs="Times New Roman"/>
          <w:sz w:val="22"/>
          <w:szCs w:val="22"/>
        </w:rPr>
      </w:pPr>
    </w:p>
    <w:p w14:paraId="25CD4A1B" w14:textId="77777777" w:rsidR="004029C1" w:rsidRDefault="004029C1" w:rsidP="004029C1">
      <w:pPr>
        <w:rPr>
          <w:rFonts w:ascii="Times New Roman" w:hAnsi="Times New Roman" w:cs="Times New Roman"/>
          <w:sz w:val="22"/>
          <w:szCs w:val="22"/>
        </w:rPr>
      </w:pPr>
    </w:p>
    <w:p w14:paraId="6077DDC4" w14:textId="77777777" w:rsidR="004029C1" w:rsidRDefault="004029C1" w:rsidP="004029C1">
      <w:pPr>
        <w:rPr>
          <w:rFonts w:ascii="Times New Roman" w:hAnsi="Times New Roman" w:cs="Times New Roman"/>
          <w:sz w:val="22"/>
          <w:szCs w:val="22"/>
        </w:rPr>
      </w:pPr>
    </w:p>
    <w:p w14:paraId="61C3DC41" w14:textId="77777777" w:rsidR="004029C1" w:rsidRDefault="004029C1" w:rsidP="004029C1">
      <w:pPr>
        <w:rPr>
          <w:rFonts w:ascii="Times New Roman" w:hAnsi="Times New Roman" w:cs="Times New Roman"/>
          <w:sz w:val="22"/>
          <w:szCs w:val="22"/>
        </w:rPr>
      </w:pPr>
    </w:p>
    <w:p w14:paraId="5088A16D" w14:textId="77777777" w:rsidR="004029C1" w:rsidRDefault="004029C1" w:rsidP="004029C1">
      <w:pPr>
        <w:rPr>
          <w:rFonts w:ascii="Times New Roman" w:hAnsi="Times New Roman" w:cs="Times New Roman"/>
          <w:sz w:val="22"/>
          <w:szCs w:val="22"/>
        </w:rPr>
      </w:pPr>
    </w:p>
    <w:p w14:paraId="065BADC1" w14:textId="77777777" w:rsidR="004029C1" w:rsidRDefault="004029C1" w:rsidP="004029C1">
      <w:pPr>
        <w:rPr>
          <w:rFonts w:ascii="Times New Roman" w:hAnsi="Times New Roman" w:cs="Times New Roman"/>
          <w:sz w:val="22"/>
          <w:szCs w:val="22"/>
        </w:rPr>
      </w:pPr>
    </w:p>
    <w:p w14:paraId="680B7974" w14:textId="77777777" w:rsidR="004029C1" w:rsidRDefault="004029C1" w:rsidP="004029C1">
      <w:pPr>
        <w:rPr>
          <w:rFonts w:ascii="Times New Roman" w:hAnsi="Times New Roman" w:cs="Times New Roman"/>
          <w:sz w:val="22"/>
          <w:szCs w:val="22"/>
        </w:rPr>
      </w:pPr>
    </w:p>
    <w:p w14:paraId="66ECE950" w14:textId="77777777" w:rsidR="004029C1" w:rsidRDefault="004029C1" w:rsidP="004029C1">
      <w:pPr>
        <w:rPr>
          <w:rFonts w:ascii="Times New Roman" w:hAnsi="Times New Roman" w:cs="Times New Roman"/>
          <w:sz w:val="22"/>
          <w:szCs w:val="22"/>
        </w:rPr>
      </w:pPr>
    </w:p>
    <w:p w14:paraId="34F7FC73" w14:textId="77777777" w:rsidR="004029C1" w:rsidRDefault="004029C1" w:rsidP="004029C1">
      <w:pPr>
        <w:rPr>
          <w:rFonts w:ascii="Times New Roman" w:hAnsi="Times New Roman" w:cs="Times New Roman"/>
          <w:sz w:val="22"/>
          <w:szCs w:val="22"/>
        </w:rPr>
      </w:pPr>
    </w:p>
    <w:p w14:paraId="19CED4A5" w14:textId="77777777" w:rsidR="004029C1" w:rsidRDefault="004029C1" w:rsidP="004029C1">
      <w:pPr>
        <w:rPr>
          <w:rFonts w:ascii="Times New Roman" w:hAnsi="Times New Roman" w:cs="Times New Roman"/>
          <w:sz w:val="22"/>
          <w:szCs w:val="22"/>
        </w:rPr>
      </w:pPr>
    </w:p>
    <w:p w14:paraId="2A164D2A" w14:textId="77777777" w:rsidR="004029C1" w:rsidRDefault="004029C1" w:rsidP="004029C1">
      <w:pPr>
        <w:rPr>
          <w:rFonts w:ascii="Times New Roman" w:hAnsi="Times New Roman" w:cs="Times New Roman"/>
          <w:sz w:val="22"/>
          <w:szCs w:val="22"/>
        </w:rPr>
      </w:pPr>
    </w:p>
    <w:p w14:paraId="388BF40E" w14:textId="77777777" w:rsidR="004029C1" w:rsidRDefault="004029C1" w:rsidP="004029C1">
      <w:pPr>
        <w:rPr>
          <w:rFonts w:ascii="Times New Roman" w:hAnsi="Times New Roman" w:cs="Times New Roman"/>
          <w:sz w:val="22"/>
          <w:szCs w:val="22"/>
        </w:rPr>
      </w:pPr>
    </w:p>
    <w:p w14:paraId="6C06D9FA" w14:textId="77777777" w:rsidR="004029C1" w:rsidRDefault="004029C1" w:rsidP="004029C1">
      <w:pPr>
        <w:rPr>
          <w:rFonts w:ascii="Times New Roman" w:hAnsi="Times New Roman" w:cs="Times New Roman"/>
          <w:sz w:val="22"/>
          <w:szCs w:val="22"/>
        </w:rPr>
      </w:pPr>
    </w:p>
    <w:p w14:paraId="3BBD0C50" w14:textId="77777777" w:rsidR="004029C1" w:rsidRDefault="004029C1" w:rsidP="004029C1">
      <w:pPr>
        <w:rPr>
          <w:rFonts w:ascii="Times New Roman" w:hAnsi="Times New Roman" w:cs="Times New Roman"/>
          <w:sz w:val="22"/>
          <w:szCs w:val="22"/>
        </w:rPr>
      </w:pPr>
    </w:p>
    <w:p w14:paraId="104C3934" w14:textId="77777777" w:rsidR="004029C1" w:rsidRDefault="004029C1" w:rsidP="004029C1">
      <w:pPr>
        <w:rPr>
          <w:rFonts w:ascii="Times New Roman" w:hAnsi="Times New Roman" w:cs="Times New Roman"/>
          <w:sz w:val="22"/>
          <w:szCs w:val="22"/>
        </w:rPr>
      </w:pPr>
    </w:p>
    <w:p w14:paraId="1902A2B9" w14:textId="77777777" w:rsidR="004029C1" w:rsidRDefault="004029C1" w:rsidP="004029C1">
      <w:pPr>
        <w:rPr>
          <w:rFonts w:ascii="Times New Roman" w:hAnsi="Times New Roman" w:cs="Times New Roman"/>
          <w:sz w:val="22"/>
          <w:szCs w:val="22"/>
        </w:rPr>
      </w:pPr>
    </w:p>
    <w:p w14:paraId="6D978194" w14:textId="77777777" w:rsidR="004029C1" w:rsidRDefault="004029C1" w:rsidP="004029C1">
      <w:pPr>
        <w:rPr>
          <w:rFonts w:ascii="Times New Roman" w:hAnsi="Times New Roman" w:cs="Times New Roman"/>
          <w:sz w:val="22"/>
          <w:szCs w:val="22"/>
        </w:rPr>
      </w:pPr>
    </w:p>
    <w:p w14:paraId="50FEAA20" w14:textId="77777777" w:rsidR="004029C1" w:rsidRDefault="004029C1" w:rsidP="004029C1">
      <w:pPr>
        <w:rPr>
          <w:rFonts w:ascii="Times New Roman" w:hAnsi="Times New Roman" w:cs="Times New Roman"/>
          <w:sz w:val="22"/>
          <w:szCs w:val="22"/>
        </w:rPr>
      </w:pPr>
    </w:p>
    <w:p w14:paraId="7F86BCE4" w14:textId="77777777" w:rsidR="004029C1" w:rsidRDefault="004029C1" w:rsidP="004029C1">
      <w:pPr>
        <w:rPr>
          <w:rFonts w:ascii="Times New Roman" w:hAnsi="Times New Roman" w:cs="Times New Roman"/>
          <w:sz w:val="22"/>
          <w:szCs w:val="22"/>
        </w:rPr>
      </w:pPr>
    </w:p>
    <w:p w14:paraId="2B24CAFF" w14:textId="77777777" w:rsidR="004029C1" w:rsidRDefault="004029C1" w:rsidP="004029C1">
      <w:pPr>
        <w:rPr>
          <w:rFonts w:ascii="Times New Roman" w:hAnsi="Times New Roman" w:cs="Times New Roman"/>
          <w:sz w:val="22"/>
          <w:szCs w:val="22"/>
        </w:rPr>
      </w:pPr>
    </w:p>
    <w:p w14:paraId="3D32BA23" w14:textId="77777777" w:rsidR="004029C1" w:rsidRPr="00601136" w:rsidRDefault="004029C1" w:rsidP="004029C1">
      <w:pPr>
        <w:pStyle w:val="Paragraph"/>
      </w:pPr>
      <w:r w:rsidRPr="00601136">
        <w:lastRenderedPageBreak/>
        <w:t xml:space="preserve">Table </w:t>
      </w:r>
      <w:r>
        <w:t>9</w:t>
      </w:r>
      <w:r w:rsidRPr="00601136">
        <w:t>: Key features of articles with bad sustainability and gigantism</w:t>
      </w:r>
    </w:p>
    <w:tbl>
      <w:tblPr>
        <w:tblStyle w:val="TableGrid"/>
        <w:tblW w:w="14029" w:type="dxa"/>
        <w:tblLook w:val="04A0" w:firstRow="1" w:lastRow="0" w:firstColumn="1" w:lastColumn="0" w:noHBand="0" w:noVBand="1"/>
      </w:tblPr>
      <w:tblGrid>
        <w:gridCol w:w="2005"/>
        <w:gridCol w:w="2243"/>
        <w:gridCol w:w="896"/>
        <w:gridCol w:w="1894"/>
        <w:gridCol w:w="6991"/>
      </w:tblGrid>
      <w:tr w:rsidR="004029C1" w:rsidRPr="00601136" w14:paraId="3BF4C576" w14:textId="77777777" w:rsidTr="00EA611C">
        <w:tc>
          <w:tcPr>
            <w:tcW w:w="2005" w:type="dxa"/>
          </w:tcPr>
          <w:p w14:paraId="5E1BA828"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Author/Year</w:t>
            </w:r>
          </w:p>
        </w:tc>
        <w:tc>
          <w:tcPr>
            <w:tcW w:w="2243" w:type="dxa"/>
          </w:tcPr>
          <w:p w14:paraId="660EDF65"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Publication</w:t>
            </w:r>
          </w:p>
        </w:tc>
        <w:tc>
          <w:tcPr>
            <w:tcW w:w="896" w:type="dxa"/>
          </w:tcPr>
          <w:p w14:paraId="639D0FDD"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Theme</w:t>
            </w:r>
          </w:p>
        </w:tc>
        <w:tc>
          <w:tcPr>
            <w:tcW w:w="1894" w:type="dxa"/>
          </w:tcPr>
          <w:p w14:paraId="1B7679E3" w14:textId="77777777" w:rsidR="004029C1" w:rsidRPr="003B076E" w:rsidRDefault="004029C1" w:rsidP="00EA611C">
            <w:pPr>
              <w:rPr>
                <w:rFonts w:ascii="Times New Roman" w:hAnsi="Times New Roman" w:cs="Times New Roman"/>
                <w:b/>
                <w:bCs/>
                <w:sz w:val="20"/>
                <w:szCs w:val="20"/>
              </w:rPr>
            </w:pPr>
            <w:r w:rsidRPr="003B076E">
              <w:rPr>
                <w:rFonts w:ascii="Times New Roman" w:hAnsi="Times New Roman" w:cs="Times New Roman"/>
                <w:b/>
                <w:bCs/>
                <w:sz w:val="20"/>
                <w:szCs w:val="20"/>
              </w:rPr>
              <w:t>Method</w:t>
            </w:r>
          </w:p>
        </w:tc>
        <w:tc>
          <w:tcPr>
            <w:tcW w:w="6991" w:type="dxa"/>
          </w:tcPr>
          <w:p w14:paraId="2B2EC2D2" w14:textId="77777777" w:rsidR="004029C1" w:rsidRPr="003B076E" w:rsidRDefault="004029C1" w:rsidP="00EA611C">
            <w:pPr>
              <w:jc w:val="both"/>
              <w:rPr>
                <w:rFonts w:ascii="Times New Roman" w:hAnsi="Times New Roman" w:cs="Times New Roman"/>
                <w:b/>
                <w:bCs/>
                <w:sz w:val="20"/>
                <w:szCs w:val="20"/>
              </w:rPr>
            </w:pPr>
            <w:r w:rsidRPr="003B076E">
              <w:rPr>
                <w:rFonts w:ascii="Times New Roman" w:hAnsi="Times New Roman" w:cs="Times New Roman"/>
                <w:b/>
                <w:bCs/>
                <w:sz w:val="20"/>
                <w:szCs w:val="20"/>
              </w:rPr>
              <w:t>Key findings</w:t>
            </w:r>
          </w:p>
        </w:tc>
      </w:tr>
      <w:tr w:rsidR="004029C1" w:rsidRPr="00601136" w14:paraId="7B83F9CB" w14:textId="77777777" w:rsidTr="00EA611C">
        <w:tc>
          <w:tcPr>
            <w:tcW w:w="2005" w:type="dxa"/>
          </w:tcPr>
          <w:p w14:paraId="38480B2C" w14:textId="77777777" w:rsidR="004029C1" w:rsidRPr="003B076E" w:rsidRDefault="004029C1" w:rsidP="00EA611C">
            <w:pPr>
              <w:rPr>
                <w:rFonts w:ascii="Times New Roman" w:hAnsi="Times New Roman" w:cs="Times New Roman"/>
                <w:kern w:val="0"/>
                <w:sz w:val="20"/>
                <w:szCs w:val="20"/>
              </w:rPr>
            </w:pPr>
            <w:r w:rsidRPr="003B076E">
              <w:rPr>
                <w:rFonts w:ascii="Times New Roman" w:hAnsi="Times New Roman" w:cs="Times New Roman"/>
                <w:kern w:val="0"/>
                <w:sz w:val="20"/>
                <w:szCs w:val="20"/>
              </w:rPr>
              <w:t>Rintamäki et al. (2023)</w:t>
            </w:r>
          </w:p>
        </w:tc>
        <w:tc>
          <w:tcPr>
            <w:tcW w:w="2243" w:type="dxa"/>
          </w:tcPr>
          <w:p w14:paraId="3EE15F84"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Book chapter – Handbook of Sport and International Development</w:t>
            </w:r>
          </w:p>
        </w:tc>
        <w:tc>
          <w:tcPr>
            <w:tcW w:w="896" w:type="dxa"/>
          </w:tcPr>
          <w:p w14:paraId="671A1E32"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CSR in esports</w:t>
            </w:r>
          </w:p>
        </w:tc>
        <w:tc>
          <w:tcPr>
            <w:tcW w:w="1894" w:type="dxa"/>
          </w:tcPr>
          <w:p w14:paraId="70055CCC" w14:textId="77777777" w:rsidR="004029C1" w:rsidRPr="003B076E" w:rsidRDefault="004029C1" w:rsidP="00EA611C">
            <w:pPr>
              <w:rPr>
                <w:rFonts w:ascii="Times New Roman" w:hAnsi="Times New Roman" w:cs="Times New Roman"/>
                <w:sz w:val="20"/>
                <w:szCs w:val="20"/>
              </w:rPr>
            </w:pPr>
            <w:r>
              <w:rPr>
                <w:rFonts w:ascii="Times New Roman" w:hAnsi="Times New Roman" w:cs="Times New Roman"/>
                <w:sz w:val="20"/>
                <w:szCs w:val="20"/>
              </w:rPr>
              <w:t>Descriptive</w:t>
            </w:r>
          </w:p>
        </w:tc>
        <w:tc>
          <w:tcPr>
            <w:tcW w:w="6991" w:type="dxa"/>
          </w:tcPr>
          <w:p w14:paraId="18C5E8E3"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Pr>
                <w:rFonts w:ascii="Times New Roman" w:eastAsiaTheme="minorHAnsi" w:hAnsi="Times New Roman" w:cs="Times New Roman"/>
                <w:kern w:val="0"/>
                <w:sz w:val="20"/>
                <w:szCs w:val="20"/>
              </w:rPr>
              <w:t>E</w:t>
            </w:r>
            <w:r w:rsidRPr="00601136">
              <w:rPr>
                <w:rFonts w:ascii="Times New Roman" w:eastAsiaTheme="minorHAnsi" w:hAnsi="Times New Roman" w:cs="Times New Roman"/>
                <w:kern w:val="0"/>
                <w:sz w:val="20"/>
                <w:szCs w:val="20"/>
              </w:rPr>
              <w:t>sports</w:t>
            </w:r>
            <w:r>
              <w:rPr>
                <w:rFonts w:ascii="Times New Roman" w:eastAsiaTheme="minorHAnsi" w:hAnsi="Times New Roman" w:cs="Times New Roman"/>
                <w:kern w:val="0"/>
                <w:sz w:val="20"/>
                <w:szCs w:val="20"/>
              </w:rPr>
              <w:t xml:space="preserve"> stakeholders</w:t>
            </w:r>
            <w:r w:rsidRPr="00601136">
              <w:rPr>
                <w:rFonts w:ascii="Times New Roman" w:eastAsiaTheme="minorHAnsi" w:hAnsi="Times New Roman" w:cs="Times New Roman"/>
                <w:kern w:val="0"/>
                <w:sz w:val="20"/>
                <w:szCs w:val="20"/>
              </w:rPr>
              <w:t xml:space="preserve"> should look </w:t>
            </w:r>
            <w:r>
              <w:rPr>
                <w:rFonts w:ascii="Times New Roman" w:eastAsiaTheme="minorHAnsi" w:hAnsi="Times New Roman" w:cs="Times New Roman"/>
                <w:kern w:val="0"/>
                <w:sz w:val="20"/>
                <w:szCs w:val="20"/>
              </w:rPr>
              <w:t>at</w:t>
            </w:r>
            <w:r w:rsidRPr="00601136">
              <w:rPr>
                <w:rFonts w:ascii="Times New Roman" w:eastAsiaTheme="minorHAnsi" w:hAnsi="Times New Roman" w:cs="Times New Roman"/>
                <w:kern w:val="0"/>
                <w:sz w:val="20"/>
                <w:szCs w:val="20"/>
              </w:rPr>
              <w:t xml:space="preserve"> Sport for Development for inspiration, as SFD’s primary purpose is grounded in improving social issues, and it has been shown to achieve results for issues such as diversity and inclusivity, which are some of the identified problem areas in esports. </w:t>
            </w:r>
          </w:p>
        </w:tc>
      </w:tr>
      <w:tr w:rsidR="004029C1" w:rsidRPr="00601136" w14:paraId="133A4A1F" w14:textId="77777777" w:rsidTr="00EA611C">
        <w:tc>
          <w:tcPr>
            <w:tcW w:w="2005" w:type="dxa"/>
          </w:tcPr>
          <w:p w14:paraId="1112DCD5" w14:textId="77777777" w:rsidR="004029C1" w:rsidRPr="00601136" w:rsidRDefault="004029C1" w:rsidP="00EA611C">
            <w:pPr>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Jaén (2023)</w:t>
            </w:r>
          </w:p>
        </w:tc>
        <w:tc>
          <w:tcPr>
            <w:tcW w:w="2243" w:type="dxa"/>
          </w:tcPr>
          <w:p w14:paraId="1BAE8311"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Book chapter – The Routledge Handbook of Mega Sporting Events and Human Rights</w:t>
            </w:r>
          </w:p>
        </w:tc>
        <w:tc>
          <w:tcPr>
            <w:tcW w:w="896" w:type="dxa"/>
          </w:tcPr>
          <w:p w14:paraId="10E6D2AF" w14:textId="77777777" w:rsidR="004029C1" w:rsidRPr="003B076E" w:rsidRDefault="004029C1" w:rsidP="00EA611C">
            <w:pPr>
              <w:rPr>
                <w:rFonts w:ascii="Times New Roman" w:hAnsi="Times New Roman" w:cs="Times New Roman"/>
                <w:sz w:val="20"/>
                <w:szCs w:val="20"/>
              </w:rPr>
            </w:pPr>
            <w:r w:rsidRPr="003B076E">
              <w:rPr>
                <w:rFonts w:ascii="Times New Roman" w:hAnsi="Times New Roman" w:cs="Times New Roman"/>
                <w:sz w:val="20"/>
                <w:szCs w:val="20"/>
              </w:rPr>
              <w:t>Esports events and human rights</w:t>
            </w:r>
          </w:p>
        </w:tc>
        <w:tc>
          <w:tcPr>
            <w:tcW w:w="1894" w:type="dxa"/>
          </w:tcPr>
          <w:p w14:paraId="022D3D33" w14:textId="77777777" w:rsidR="004029C1" w:rsidRPr="003B076E" w:rsidRDefault="004029C1" w:rsidP="00EA611C">
            <w:pPr>
              <w:jc w:val="both"/>
              <w:rPr>
                <w:rFonts w:ascii="Times New Roman" w:hAnsi="Times New Roman" w:cs="Times New Roman"/>
                <w:sz w:val="20"/>
                <w:szCs w:val="20"/>
              </w:rPr>
            </w:pPr>
            <w:r>
              <w:rPr>
                <w:rFonts w:ascii="Times New Roman" w:hAnsi="Times New Roman" w:cs="Times New Roman"/>
                <w:sz w:val="20"/>
                <w:szCs w:val="20"/>
              </w:rPr>
              <w:t>Descriptive</w:t>
            </w:r>
          </w:p>
        </w:tc>
        <w:tc>
          <w:tcPr>
            <w:tcW w:w="6991" w:type="dxa"/>
          </w:tcPr>
          <w:p w14:paraId="1C9174CB" w14:textId="77777777" w:rsidR="004029C1" w:rsidRPr="00601136" w:rsidRDefault="004029C1" w:rsidP="00EA611C">
            <w:pPr>
              <w:autoSpaceDE w:val="0"/>
              <w:autoSpaceDN w:val="0"/>
              <w:adjustRightInd w:val="0"/>
              <w:jc w:val="both"/>
              <w:rPr>
                <w:rFonts w:ascii="Times New Roman" w:eastAsiaTheme="minorHAnsi" w:hAnsi="Times New Roman" w:cs="Times New Roman"/>
                <w:kern w:val="0"/>
                <w:sz w:val="20"/>
                <w:szCs w:val="20"/>
              </w:rPr>
            </w:pPr>
            <w:r w:rsidRPr="00601136">
              <w:rPr>
                <w:rFonts w:ascii="Times New Roman" w:eastAsiaTheme="minorHAnsi" w:hAnsi="Times New Roman" w:cs="Times New Roman"/>
                <w:kern w:val="0"/>
                <w:sz w:val="20"/>
                <w:szCs w:val="20"/>
              </w:rPr>
              <w:t>The risks concerning mainly children’s rights, discrimination or privacy are magnified due to the shortening of the preparation time and are potentially more present during the delivery of the event. The same is replicated in the legacy phase, where the lack of research and initiatives prevents a complete analysis of the risks that this stage may entail.</w:t>
            </w:r>
          </w:p>
        </w:tc>
      </w:tr>
    </w:tbl>
    <w:p w14:paraId="3E3A3E7C" w14:textId="77777777" w:rsidR="004029C1" w:rsidRPr="003B076E" w:rsidRDefault="004029C1" w:rsidP="004029C1">
      <w:pPr>
        <w:rPr>
          <w:rFonts w:ascii="Times New Roman" w:hAnsi="Times New Roman" w:cs="Times New Roman"/>
          <w:sz w:val="22"/>
          <w:szCs w:val="22"/>
        </w:rPr>
      </w:pPr>
    </w:p>
    <w:p w14:paraId="5B7BEFDD" w14:textId="77777777" w:rsidR="004029C1" w:rsidRPr="003B2FE5" w:rsidRDefault="004029C1" w:rsidP="004029C1">
      <w:pPr>
        <w:rPr>
          <w:rFonts w:ascii="Times New Roman" w:hAnsi="Times New Roman" w:cs="Times New Roman"/>
          <w:sz w:val="22"/>
          <w:szCs w:val="22"/>
        </w:rPr>
      </w:pPr>
    </w:p>
    <w:p w14:paraId="1B2BE300" w14:textId="77777777" w:rsidR="004029C1" w:rsidRDefault="004029C1"/>
    <w:sectPr w:rsidR="004029C1" w:rsidSect="004029C1">
      <w:footerReference w:type="even" r:id="rId7"/>
      <w:footerReference w:type="default" r:id="rId8"/>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7AF8E" w14:textId="77777777" w:rsidR="00C237D6" w:rsidRDefault="00C237D6">
      <w:r>
        <w:separator/>
      </w:r>
    </w:p>
  </w:endnote>
  <w:endnote w:type="continuationSeparator" w:id="0">
    <w:p w14:paraId="745D62B1" w14:textId="77777777" w:rsidR="00C237D6" w:rsidRDefault="00C23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68808052"/>
      <w:docPartObj>
        <w:docPartGallery w:val="Page Numbers (Bottom of Page)"/>
        <w:docPartUnique/>
      </w:docPartObj>
    </w:sdtPr>
    <w:sdtContent>
      <w:p w14:paraId="6AC19754" w14:textId="77777777" w:rsidR="00601335" w:rsidRDefault="00000000" w:rsidP="00C72B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D773BE" w14:textId="77777777" w:rsidR="00601335" w:rsidRDefault="00601335" w:rsidP="00B131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6717495"/>
      <w:docPartObj>
        <w:docPartGallery w:val="Page Numbers (Bottom of Page)"/>
        <w:docPartUnique/>
      </w:docPartObj>
    </w:sdtPr>
    <w:sdtContent>
      <w:p w14:paraId="76A6D963" w14:textId="77777777" w:rsidR="00601335" w:rsidRDefault="00000000" w:rsidP="00C72B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EEA9AA" w14:textId="77777777" w:rsidR="00601335" w:rsidRDefault="00601335" w:rsidP="00B131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2233D" w14:textId="77777777" w:rsidR="00C237D6" w:rsidRDefault="00C237D6">
      <w:r>
        <w:separator/>
      </w:r>
    </w:p>
  </w:footnote>
  <w:footnote w:type="continuationSeparator" w:id="0">
    <w:p w14:paraId="4ABDCBB0" w14:textId="77777777" w:rsidR="00C237D6" w:rsidRDefault="00C23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16cid:durableId="175967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9C1"/>
    <w:rsid w:val="00014145"/>
    <w:rsid w:val="00204E22"/>
    <w:rsid w:val="002B4078"/>
    <w:rsid w:val="00387DBD"/>
    <w:rsid w:val="00394756"/>
    <w:rsid w:val="004029C1"/>
    <w:rsid w:val="00466AB8"/>
    <w:rsid w:val="00574725"/>
    <w:rsid w:val="00601335"/>
    <w:rsid w:val="007152B5"/>
    <w:rsid w:val="00741895"/>
    <w:rsid w:val="007F7328"/>
    <w:rsid w:val="00987958"/>
    <w:rsid w:val="00C237D6"/>
    <w:rsid w:val="00D662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51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C1"/>
    <w:pPr>
      <w:spacing w:after="0" w:line="240" w:lineRule="auto"/>
    </w:pPr>
    <w:rPr>
      <w:rFonts w:eastAsiaTheme="minorEastAsia"/>
      <w:lang w:val="en-GB"/>
    </w:rPr>
  </w:style>
  <w:style w:type="paragraph" w:styleId="Heading1">
    <w:name w:val="heading 1"/>
    <w:basedOn w:val="Normal"/>
    <w:next w:val="Normal"/>
    <w:link w:val="Heading1Char"/>
    <w:uiPriority w:val="9"/>
    <w:qFormat/>
    <w:rsid w:val="00402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9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9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9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9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9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9C1"/>
    <w:rPr>
      <w:rFonts w:eastAsiaTheme="majorEastAsia" w:cstheme="majorBidi"/>
      <w:color w:val="272727" w:themeColor="text1" w:themeTint="D8"/>
    </w:rPr>
  </w:style>
  <w:style w:type="paragraph" w:styleId="Title">
    <w:name w:val="Title"/>
    <w:basedOn w:val="Normal"/>
    <w:next w:val="Normal"/>
    <w:link w:val="TitleChar"/>
    <w:uiPriority w:val="10"/>
    <w:qFormat/>
    <w:rsid w:val="004029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9C1"/>
    <w:pPr>
      <w:spacing w:before="160"/>
      <w:jc w:val="center"/>
    </w:pPr>
    <w:rPr>
      <w:i/>
      <w:iCs/>
      <w:color w:val="404040" w:themeColor="text1" w:themeTint="BF"/>
    </w:rPr>
  </w:style>
  <w:style w:type="character" w:customStyle="1" w:styleId="QuoteChar">
    <w:name w:val="Quote Char"/>
    <w:basedOn w:val="DefaultParagraphFont"/>
    <w:link w:val="Quote"/>
    <w:uiPriority w:val="29"/>
    <w:rsid w:val="004029C1"/>
    <w:rPr>
      <w:i/>
      <w:iCs/>
      <w:color w:val="404040" w:themeColor="text1" w:themeTint="BF"/>
    </w:rPr>
  </w:style>
  <w:style w:type="paragraph" w:styleId="ListParagraph">
    <w:name w:val="List Paragraph"/>
    <w:basedOn w:val="Normal"/>
    <w:uiPriority w:val="34"/>
    <w:qFormat/>
    <w:rsid w:val="004029C1"/>
    <w:pPr>
      <w:ind w:left="720"/>
      <w:contextualSpacing/>
    </w:pPr>
  </w:style>
  <w:style w:type="character" w:styleId="IntenseEmphasis">
    <w:name w:val="Intense Emphasis"/>
    <w:basedOn w:val="DefaultParagraphFont"/>
    <w:uiPriority w:val="21"/>
    <w:qFormat/>
    <w:rsid w:val="004029C1"/>
    <w:rPr>
      <w:i/>
      <w:iCs/>
      <w:color w:val="0F4761" w:themeColor="accent1" w:themeShade="BF"/>
    </w:rPr>
  </w:style>
  <w:style w:type="paragraph" w:styleId="IntenseQuote">
    <w:name w:val="Intense Quote"/>
    <w:basedOn w:val="Normal"/>
    <w:next w:val="Normal"/>
    <w:link w:val="IntenseQuoteChar"/>
    <w:uiPriority w:val="30"/>
    <w:qFormat/>
    <w:rsid w:val="00402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9C1"/>
    <w:rPr>
      <w:i/>
      <w:iCs/>
      <w:color w:val="0F4761" w:themeColor="accent1" w:themeShade="BF"/>
    </w:rPr>
  </w:style>
  <w:style w:type="character" w:styleId="IntenseReference">
    <w:name w:val="Intense Reference"/>
    <w:basedOn w:val="DefaultParagraphFont"/>
    <w:uiPriority w:val="32"/>
    <w:qFormat/>
    <w:rsid w:val="004029C1"/>
    <w:rPr>
      <w:b/>
      <w:bCs/>
      <w:smallCaps/>
      <w:color w:val="0F4761" w:themeColor="accent1" w:themeShade="BF"/>
      <w:spacing w:val="5"/>
    </w:rPr>
  </w:style>
  <w:style w:type="table" w:styleId="TableGrid">
    <w:name w:val="Table Grid"/>
    <w:basedOn w:val="TableNormal"/>
    <w:uiPriority w:val="39"/>
    <w:rsid w:val="004029C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ewparagraph"/>
    <w:qFormat/>
    <w:rsid w:val="004029C1"/>
    <w:pPr>
      <w:widowControl w:val="0"/>
      <w:spacing w:before="240" w:line="480" w:lineRule="auto"/>
    </w:pPr>
    <w:rPr>
      <w:rFonts w:ascii="Times New Roman" w:eastAsia="Times New Roman" w:hAnsi="Times New Roman" w:cs="Times New Roman"/>
      <w:kern w:val="0"/>
      <w:lang w:eastAsia="en-GB"/>
      <w14:ligatures w14:val="none"/>
    </w:rPr>
  </w:style>
  <w:style w:type="paragraph" w:customStyle="1" w:styleId="Newparagraph">
    <w:name w:val="New paragraph"/>
    <w:basedOn w:val="Normal"/>
    <w:qFormat/>
    <w:rsid w:val="004029C1"/>
    <w:pPr>
      <w:spacing w:line="480" w:lineRule="auto"/>
      <w:ind w:firstLine="720"/>
    </w:pPr>
    <w:rPr>
      <w:rFonts w:ascii="Times New Roman" w:eastAsia="Times New Roman" w:hAnsi="Times New Roman" w:cs="Times New Roman"/>
      <w:kern w:val="0"/>
      <w:lang w:eastAsia="en-GB"/>
      <w14:ligatures w14:val="none"/>
    </w:rPr>
  </w:style>
  <w:style w:type="paragraph" w:customStyle="1" w:styleId="Bulletedlist">
    <w:name w:val="Bulleted list"/>
    <w:basedOn w:val="Paragraph"/>
    <w:next w:val="Paragraph"/>
    <w:qFormat/>
    <w:rsid w:val="004029C1"/>
    <w:pPr>
      <w:widowControl/>
      <w:numPr>
        <w:numId w:val="1"/>
      </w:numPr>
      <w:spacing w:after="240"/>
      <w:contextualSpacing/>
    </w:pPr>
  </w:style>
  <w:style w:type="paragraph" w:customStyle="1" w:styleId="Default">
    <w:name w:val="Default"/>
    <w:rsid w:val="004029C1"/>
    <w:pPr>
      <w:autoSpaceDE w:val="0"/>
      <w:autoSpaceDN w:val="0"/>
      <w:adjustRightInd w:val="0"/>
      <w:spacing w:after="0" w:line="240" w:lineRule="auto"/>
    </w:pPr>
    <w:rPr>
      <w:rFonts w:ascii="Charis SIL" w:hAnsi="Charis SIL" w:cs="Charis SIL"/>
      <w:color w:val="000000"/>
      <w:kern w:val="0"/>
      <w:lang w:val="en-GB"/>
    </w:rPr>
  </w:style>
  <w:style w:type="paragraph" w:styleId="Footer">
    <w:name w:val="footer"/>
    <w:basedOn w:val="Normal"/>
    <w:link w:val="FooterChar"/>
    <w:uiPriority w:val="99"/>
    <w:unhideWhenUsed/>
    <w:rsid w:val="004029C1"/>
    <w:pPr>
      <w:tabs>
        <w:tab w:val="center" w:pos="4513"/>
        <w:tab w:val="right" w:pos="9026"/>
      </w:tabs>
    </w:pPr>
  </w:style>
  <w:style w:type="character" w:customStyle="1" w:styleId="FooterChar">
    <w:name w:val="Footer Char"/>
    <w:basedOn w:val="DefaultParagraphFont"/>
    <w:link w:val="Footer"/>
    <w:uiPriority w:val="99"/>
    <w:rsid w:val="004029C1"/>
    <w:rPr>
      <w:rFonts w:eastAsiaTheme="minorEastAsia"/>
      <w:lang w:val="en-GB"/>
    </w:rPr>
  </w:style>
  <w:style w:type="character" w:styleId="PageNumber">
    <w:name w:val="page number"/>
    <w:basedOn w:val="DefaultParagraphFont"/>
    <w:uiPriority w:val="99"/>
    <w:semiHidden/>
    <w:unhideWhenUsed/>
    <w:rsid w:val="004029C1"/>
  </w:style>
  <w:style w:type="paragraph" w:styleId="CommentText">
    <w:name w:val="annotation text"/>
    <w:basedOn w:val="Normal"/>
    <w:link w:val="CommentTextChar"/>
    <w:uiPriority w:val="99"/>
    <w:unhideWhenUsed/>
    <w:rsid w:val="004029C1"/>
    <w:pPr>
      <w:spacing w:after="160"/>
    </w:pPr>
    <w:rPr>
      <w:kern w:val="0"/>
      <w:sz w:val="20"/>
      <w:szCs w:val="20"/>
      <w:lang w:val="en-AU" w:eastAsia="zh-CN"/>
      <w14:ligatures w14:val="none"/>
    </w:rPr>
  </w:style>
  <w:style w:type="character" w:customStyle="1" w:styleId="CommentTextChar">
    <w:name w:val="Comment Text Char"/>
    <w:basedOn w:val="DefaultParagraphFont"/>
    <w:link w:val="CommentText"/>
    <w:uiPriority w:val="99"/>
    <w:rsid w:val="004029C1"/>
    <w:rPr>
      <w:rFonts w:eastAsiaTheme="minorEastAsia"/>
      <w:kern w:val="0"/>
      <w:sz w:val="20"/>
      <w:szCs w:val="20"/>
      <w:lang w:val="en-A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2883</Words>
  <Characters>16435</Characters>
  <Application>Microsoft Office Word</Application>
  <DocSecurity>0</DocSecurity>
  <Lines>136</Lines>
  <Paragraphs>38</Paragraphs>
  <ScaleCrop>false</ScaleCrop>
  <Company/>
  <LinksUpToDate>false</LinksUpToDate>
  <CharactersWithSpaces>19280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2025-01-13T09:49:00Z</dcterms:created>
  <dcterms:modified xsi:type="dcterms:W3CDTF">2025-01-13T09:49:00Z</dcterms:modified>
</cp:coreProperties>
</file>