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212CA" w14:textId="1DE6A452" w:rsidR="00F922E3" w:rsidRDefault="00E506C2">
      <w:r>
        <w:t>Supplemental File XX</w:t>
      </w:r>
    </w:p>
    <w:p w14:paraId="0757D3B6" w14:textId="77777777" w:rsidR="00E506C2" w:rsidRPr="00E506C2" w:rsidRDefault="00E506C2">
      <w:pPr>
        <w:rPr>
          <w:b/>
          <w:bCs/>
          <w:i/>
          <w:iCs/>
        </w:rPr>
      </w:pPr>
    </w:p>
    <w:p w14:paraId="702F6F51" w14:textId="7A8558CA" w:rsidR="00E506C2" w:rsidRPr="00E506C2" w:rsidRDefault="00E506C2">
      <w:pPr>
        <w:rPr>
          <w:b/>
          <w:bCs/>
          <w:i/>
          <w:iCs/>
        </w:rPr>
      </w:pPr>
      <w:r w:rsidRPr="00E506C2">
        <w:rPr>
          <w:b/>
          <w:bCs/>
          <w:i/>
          <w:iCs/>
        </w:rPr>
        <w:t xml:space="preserve">Overlap </w:t>
      </w:r>
      <w:r w:rsidR="00654585">
        <w:rPr>
          <w:b/>
          <w:bCs/>
          <w:i/>
          <w:iCs/>
        </w:rPr>
        <w:t>between</w:t>
      </w:r>
      <w:r w:rsidRPr="00E506C2">
        <w:rPr>
          <w:b/>
          <w:bCs/>
          <w:i/>
          <w:iCs/>
        </w:rPr>
        <w:t xml:space="preserve"> </w:t>
      </w:r>
      <w:r w:rsidR="00654585">
        <w:rPr>
          <w:b/>
          <w:bCs/>
          <w:i/>
          <w:iCs/>
        </w:rPr>
        <w:t>c</w:t>
      </w:r>
      <w:r w:rsidRPr="00E506C2">
        <w:rPr>
          <w:b/>
          <w:bCs/>
          <w:i/>
          <w:iCs/>
        </w:rPr>
        <w:t xml:space="preserve">odon </w:t>
      </w:r>
      <w:r w:rsidR="00654585">
        <w:rPr>
          <w:b/>
          <w:bCs/>
          <w:i/>
          <w:iCs/>
        </w:rPr>
        <w:t>e</w:t>
      </w:r>
      <w:r w:rsidRPr="00E506C2">
        <w:rPr>
          <w:b/>
          <w:bCs/>
          <w:i/>
          <w:iCs/>
        </w:rPr>
        <w:t xml:space="preserve">ffects on expression with mRNA </w:t>
      </w:r>
      <w:r w:rsidR="00654585">
        <w:rPr>
          <w:b/>
          <w:bCs/>
          <w:i/>
          <w:iCs/>
        </w:rPr>
        <w:t>h</w:t>
      </w:r>
      <w:r w:rsidRPr="00E506C2">
        <w:rPr>
          <w:b/>
          <w:bCs/>
          <w:i/>
          <w:iCs/>
        </w:rPr>
        <w:t>alf-</w:t>
      </w:r>
      <w:r w:rsidR="00654585">
        <w:rPr>
          <w:b/>
          <w:bCs/>
          <w:i/>
          <w:iCs/>
        </w:rPr>
        <w:t>l</w:t>
      </w:r>
      <w:r w:rsidRPr="00E506C2">
        <w:rPr>
          <w:b/>
          <w:bCs/>
          <w:i/>
          <w:iCs/>
        </w:rPr>
        <w:t>ife</w:t>
      </w:r>
      <w:r w:rsidR="00654585">
        <w:rPr>
          <w:b/>
          <w:bCs/>
          <w:i/>
          <w:iCs/>
        </w:rPr>
        <w:t xml:space="preserve"> data.</w:t>
      </w:r>
    </w:p>
    <w:p w14:paraId="6072C1B2" w14:textId="77777777" w:rsidR="00E506C2" w:rsidRDefault="00E506C2"/>
    <w:p w14:paraId="499FCA65" w14:textId="7BB97402" w:rsidR="00E506C2" w:rsidRDefault="00E506C2">
      <w:r>
        <w:t>In the study (</w:t>
      </w:r>
      <w:r w:rsidRPr="007644A5">
        <w:rPr>
          <w:noProof/>
        </w:rPr>
        <w:t xml:space="preserve">Agarwal V, Kelley DR: </w:t>
      </w:r>
      <w:r w:rsidRPr="007644A5">
        <w:rPr>
          <w:b/>
          <w:noProof/>
        </w:rPr>
        <w:t>The genetic and biochemical determinants of mRNA degradation rates in mammals.</w:t>
      </w:r>
      <w:r w:rsidRPr="007644A5">
        <w:rPr>
          <w:noProof/>
        </w:rPr>
        <w:t xml:space="preserve"> </w:t>
      </w:r>
      <w:r w:rsidRPr="007644A5">
        <w:rPr>
          <w:i/>
          <w:noProof/>
        </w:rPr>
        <w:t xml:space="preserve">Genome Biol </w:t>
      </w:r>
      <w:r w:rsidRPr="007644A5">
        <w:rPr>
          <w:noProof/>
        </w:rPr>
        <w:t xml:space="preserve">2022, </w:t>
      </w:r>
      <w:r w:rsidRPr="007644A5">
        <w:rPr>
          <w:b/>
          <w:noProof/>
        </w:rPr>
        <w:t>23:</w:t>
      </w:r>
      <w:r w:rsidRPr="007644A5">
        <w:rPr>
          <w:noProof/>
        </w:rPr>
        <w:t>245</w:t>
      </w:r>
      <w:r>
        <w:rPr>
          <w:noProof/>
        </w:rPr>
        <w:t>)</w:t>
      </w:r>
      <w:r>
        <w:t xml:space="preserve">, Figure 3C lists codons and other genomic features that affect mRNA </w:t>
      </w:r>
      <w:proofErr w:type="spellStart"/>
      <w:r>
        <w:t>half lives</w:t>
      </w:r>
      <w:proofErr w:type="spellEnd"/>
      <w:r>
        <w:t>. The relevant figure is reproduced here:</w:t>
      </w:r>
    </w:p>
    <w:p w14:paraId="604BA213" w14:textId="77777777" w:rsidR="00E506C2" w:rsidRDefault="00E506C2"/>
    <w:p w14:paraId="73FEE14D" w14:textId="70099FB5" w:rsidR="00E506C2" w:rsidRDefault="00E506C2">
      <w:r w:rsidRPr="00E506C2">
        <w:drawing>
          <wp:inline distT="0" distB="0" distL="0" distR="0" wp14:anchorId="3C40D1E0" wp14:editId="7781DEBA">
            <wp:extent cx="3566680" cy="3650113"/>
            <wp:effectExtent l="0" t="0" r="2540" b="0"/>
            <wp:docPr id="2103937566" name="Picture 1" descr="A diagram of a number of numbers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37566" name="Picture 1" descr="A diagram of a number of numbers and letter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7753" cy="366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EFD32" w14:textId="564E29E0" w:rsidR="00E506C2" w:rsidRDefault="00305487">
      <w:r>
        <w:t>The figure shows t</w:t>
      </w:r>
      <w:r w:rsidRPr="00305487">
        <w:t xml:space="preserve">he top 30 ranked </w:t>
      </w:r>
      <w:r>
        <w:t>feature</w:t>
      </w:r>
      <w:r w:rsidRPr="00305487">
        <w:t xml:space="preserve"> coefficients</w:t>
      </w:r>
      <w:r>
        <w:t xml:space="preserve">. </w:t>
      </w:r>
      <w:proofErr w:type="spellStart"/>
      <w:r w:rsidR="00E506C2">
        <w:t>The</w:t>
      </w:r>
      <w:proofErr w:type="spellEnd"/>
      <w:r w:rsidR="00E506C2">
        <w:t xml:space="preserve"> sign of a feature’s effect on </w:t>
      </w:r>
      <w:proofErr w:type="spellStart"/>
      <w:r w:rsidR="00E506C2">
        <w:t>half life</w:t>
      </w:r>
      <w:proofErr w:type="spellEnd"/>
      <w:r w:rsidR="00E506C2">
        <w:t xml:space="preserve"> is indicates on the x-axis (positive: right, negative: left). The table below lists the signs of the codons </w:t>
      </w:r>
      <w:r w:rsidR="00B36FC9">
        <w:t xml:space="preserve">taken from the above figure </w:t>
      </w:r>
      <w:r w:rsidR="00E506C2">
        <w:t>and the signs of the codon effects on mRNA and protein abundance in our study</w:t>
      </w:r>
      <w:r w:rsidR="00B36FC9">
        <w:t xml:space="preserve"> (Supplemental </w:t>
      </w:r>
      <w:proofErr w:type="gramStart"/>
      <w:r w:rsidR="00B36FC9">
        <w:t xml:space="preserve">Table </w:t>
      </w:r>
      <w:r w:rsidR="00E506C2">
        <w:t>.</w:t>
      </w:r>
      <w:proofErr w:type="gramEnd"/>
      <w:r w:rsidR="00E506C2">
        <w:t xml:space="preserve">  </w:t>
      </w:r>
    </w:p>
    <w:p w14:paraId="50D31723" w14:textId="77777777" w:rsidR="00B36FC9" w:rsidRDefault="00B36F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36FC9" w14:paraId="2EF3CD13" w14:textId="77777777" w:rsidTr="00B36FC9">
        <w:tc>
          <w:tcPr>
            <w:tcW w:w="2252" w:type="dxa"/>
          </w:tcPr>
          <w:p w14:paraId="16DC4A23" w14:textId="3464B439" w:rsidR="00B36FC9" w:rsidRDefault="00B36FC9">
            <w:r>
              <w:t>Codon</w:t>
            </w:r>
          </w:p>
        </w:tc>
        <w:tc>
          <w:tcPr>
            <w:tcW w:w="2252" w:type="dxa"/>
          </w:tcPr>
          <w:p w14:paraId="1C14E799" w14:textId="6D6F3D14" w:rsidR="00B36FC9" w:rsidRDefault="00B36FC9">
            <w:proofErr w:type="spellStart"/>
            <w:r>
              <w:t>Argarwal</w:t>
            </w:r>
            <w:proofErr w:type="spellEnd"/>
            <w:r>
              <w:t xml:space="preserve"> sign</w:t>
            </w:r>
          </w:p>
        </w:tc>
        <w:tc>
          <w:tcPr>
            <w:tcW w:w="2253" w:type="dxa"/>
          </w:tcPr>
          <w:p w14:paraId="6905ABFA" w14:textId="368A37C9" w:rsidR="00B36FC9" w:rsidRDefault="00B36FC9">
            <w:r>
              <w:t>This study sign</w:t>
            </w:r>
          </w:p>
        </w:tc>
        <w:tc>
          <w:tcPr>
            <w:tcW w:w="2253" w:type="dxa"/>
          </w:tcPr>
          <w:p w14:paraId="19A37608" w14:textId="49A98B60" w:rsidR="00B36FC9" w:rsidRDefault="00B36FC9">
            <w:r>
              <w:t>Agreement</w:t>
            </w:r>
          </w:p>
        </w:tc>
      </w:tr>
      <w:tr w:rsidR="00B36FC9" w14:paraId="04330CE2" w14:textId="77777777" w:rsidTr="00B36FC9">
        <w:tc>
          <w:tcPr>
            <w:tcW w:w="2252" w:type="dxa"/>
          </w:tcPr>
          <w:p w14:paraId="5A0F2645" w14:textId="4894B21F" w:rsidR="00B36FC9" w:rsidRDefault="00B36FC9">
            <w:r>
              <w:t>UGU</w:t>
            </w:r>
          </w:p>
        </w:tc>
        <w:tc>
          <w:tcPr>
            <w:tcW w:w="2252" w:type="dxa"/>
          </w:tcPr>
          <w:p w14:paraId="123C1324" w14:textId="7D1E1932" w:rsidR="00B36FC9" w:rsidRDefault="00B36FC9">
            <w:r>
              <w:t>-</w:t>
            </w:r>
          </w:p>
        </w:tc>
        <w:tc>
          <w:tcPr>
            <w:tcW w:w="2253" w:type="dxa"/>
          </w:tcPr>
          <w:p w14:paraId="25B6F909" w14:textId="45CD4FBD" w:rsidR="00B36FC9" w:rsidRDefault="00B36FC9">
            <w:r>
              <w:t>-</w:t>
            </w:r>
          </w:p>
        </w:tc>
        <w:tc>
          <w:tcPr>
            <w:tcW w:w="2253" w:type="dxa"/>
          </w:tcPr>
          <w:p w14:paraId="777CA782" w14:textId="5306F8AB" w:rsidR="00B36FC9" w:rsidRDefault="00B36FC9">
            <w:r>
              <w:t>TRUE</w:t>
            </w:r>
          </w:p>
        </w:tc>
      </w:tr>
      <w:tr w:rsidR="00B36FC9" w14:paraId="7ABDE07B" w14:textId="77777777" w:rsidTr="00B36FC9">
        <w:tc>
          <w:tcPr>
            <w:tcW w:w="2252" w:type="dxa"/>
          </w:tcPr>
          <w:p w14:paraId="3581E7E2" w14:textId="7CA32D0C" w:rsidR="00B36FC9" w:rsidRDefault="00B36FC9">
            <w:r>
              <w:t>CAC</w:t>
            </w:r>
          </w:p>
        </w:tc>
        <w:tc>
          <w:tcPr>
            <w:tcW w:w="2252" w:type="dxa"/>
          </w:tcPr>
          <w:p w14:paraId="53A9A244" w14:textId="06B97E77" w:rsidR="00B36FC9" w:rsidRDefault="00B36FC9">
            <w:r>
              <w:t>-</w:t>
            </w:r>
          </w:p>
        </w:tc>
        <w:tc>
          <w:tcPr>
            <w:tcW w:w="2253" w:type="dxa"/>
          </w:tcPr>
          <w:p w14:paraId="2DC2EA63" w14:textId="7078D109" w:rsidR="00B36FC9" w:rsidRDefault="00B36FC9">
            <w:r>
              <w:t>-</w:t>
            </w:r>
          </w:p>
        </w:tc>
        <w:tc>
          <w:tcPr>
            <w:tcW w:w="2253" w:type="dxa"/>
          </w:tcPr>
          <w:p w14:paraId="29A6B015" w14:textId="2AFC954B" w:rsidR="00B36FC9" w:rsidRDefault="00B36FC9">
            <w:r>
              <w:t>TRUE</w:t>
            </w:r>
          </w:p>
        </w:tc>
      </w:tr>
      <w:tr w:rsidR="00B36FC9" w14:paraId="2D532238" w14:textId="77777777" w:rsidTr="00B36FC9">
        <w:tc>
          <w:tcPr>
            <w:tcW w:w="2252" w:type="dxa"/>
          </w:tcPr>
          <w:p w14:paraId="6159BA21" w14:textId="76CCB193" w:rsidR="00B36FC9" w:rsidRDefault="00B36FC9">
            <w:r>
              <w:t>AGC</w:t>
            </w:r>
          </w:p>
        </w:tc>
        <w:tc>
          <w:tcPr>
            <w:tcW w:w="2252" w:type="dxa"/>
          </w:tcPr>
          <w:p w14:paraId="4A46701C" w14:textId="153552E8" w:rsidR="00B36FC9" w:rsidRDefault="00B36FC9">
            <w:r>
              <w:t>-</w:t>
            </w:r>
          </w:p>
        </w:tc>
        <w:tc>
          <w:tcPr>
            <w:tcW w:w="2253" w:type="dxa"/>
          </w:tcPr>
          <w:p w14:paraId="0B47C023" w14:textId="65F83C21" w:rsidR="00B36FC9" w:rsidRDefault="00B36FC9">
            <w:r>
              <w:t>-</w:t>
            </w:r>
          </w:p>
        </w:tc>
        <w:tc>
          <w:tcPr>
            <w:tcW w:w="2253" w:type="dxa"/>
          </w:tcPr>
          <w:p w14:paraId="5AA2A9A6" w14:textId="36F82774" w:rsidR="00B36FC9" w:rsidRDefault="00B36FC9">
            <w:r>
              <w:t>TRUE</w:t>
            </w:r>
          </w:p>
        </w:tc>
      </w:tr>
      <w:tr w:rsidR="00B36FC9" w14:paraId="06B5AD6D" w14:textId="77777777" w:rsidTr="00B36FC9">
        <w:tc>
          <w:tcPr>
            <w:tcW w:w="2252" w:type="dxa"/>
          </w:tcPr>
          <w:p w14:paraId="69547ACF" w14:textId="1B451650" w:rsidR="00B36FC9" w:rsidRDefault="00B36FC9">
            <w:r>
              <w:t>AGU</w:t>
            </w:r>
          </w:p>
        </w:tc>
        <w:tc>
          <w:tcPr>
            <w:tcW w:w="2252" w:type="dxa"/>
          </w:tcPr>
          <w:p w14:paraId="68F84771" w14:textId="39BA402F" w:rsidR="00B36FC9" w:rsidRDefault="00B36FC9">
            <w:r>
              <w:t>-</w:t>
            </w:r>
          </w:p>
        </w:tc>
        <w:tc>
          <w:tcPr>
            <w:tcW w:w="2253" w:type="dxa"/>
          </w:tcPr>
          <w:p w14:paraId="17D997A4" w14:textId="7F27B38C" w:rsidR="00B36FC9" w:rsidRDefault="00B36FC9">
            <w:r>
              <w:t>-</w:t>
            </w:r>
          </w:p>
        </w:tc>
        <w:tc>
          <w:tcPr>
            <w:tcW w:w="2253" w:type="dxa"/>
          </w:tcPr>
          <w:p w14:paraId="119B1D09" w14:textId="690E525F" w:rsidR="00B36FC9" w:rsidRDefault="00B36FC9">
            <w:r>
              <w:t>TRUE</w:t>
            </w:r>
          </w:p>
        </w:tc>
      </w:tr>
      <w:tr w:rsidR="00B36FC9" w14:paraId="15EEE990" w14:textId="77777777" w:rsidTr="00B36FC9">
        <w:tc>
          <w:tcPr>
            <w:tcW w:w="2252" w:type="dxa"/>
          </w:tcPr>
          <w:p w14:paraId="02CAE932" w14:textId="78B2F491" w:rsidR="00B36FC9" w:rsidRDefault="00B36FC9">
            <w:r>
              <w:t>UUA</w:t>
            </w:r>
          </w:p>
        </w:tc>
        <w:tc>
          <w:tcPr>
            <w:tcW w:w="2252" w:type="dxa"/>
          </w:tcPr>
          <w:p w14:paraId="3D60D84A" w14:textId="393D23DD" w:rsidR="00B36FC9" w:rsidRDefault="00B36FC9">
            <w:r>
              <w:t>-</w:t>
            </w:r>
          </w:p>
        </w:tc>
        <w:tc>
          <w:tcPr>
            <w:tcW w:w="2253" w:type="dxa"/>
          </w:tcPr>
          <w:p w14:paraId="47566068" w14:textId="312001D7" w:rsidR="00B36FC9" w:rsidRDefault="00B36FC9">
            <w:r>
              <w:t>-</w:t>
            </w:r>
          </w:p>
        </w:tc>
        <w:tc>
          <w:tcPr>
            <w:tcW w:w="2253" w:type="dxa"/>
          </w:tcPr>
          <w:p w14:paraId="57BD583C" w14:textId="657B006B" w:rsidR="00B36FC9" w:rsidRDefault="00B36FC9">
            <w:r>
              <w:t>TRUE</w:t>
            </w:r>
          </w:p>
        </w:tc>
      </w:tr>
      <w:tr w:rsidR="00B36FC9" w14:paraId="69EE6789" w14:textId="77777777" w:rsidTr="00B36FC9">
        <w:tc>
          <w:tcPr>
            <w:tcW w:w="2252" w:type="dxa"/>
          </w:tcPr>
          <w:p w14:paraId="09830525" w14:textId="76F6BDF6" w:rsidR="00B36FC9" w:rsidRDefault="00B36FC9">
            <w:r>
              <w:t>AGG</w:t>
            </w:r>
          </w:p>
        </w:tc>
        <w:tc>
          <w:tcPr>
            <w:tcW w:w="2252" w:type="dxa"/>
          </w:tcPr>
          <w:p w14:paraId="02690907" w14:textId="7995B87D" w:rsidR="00B36FC9" w:rsidRDefault="00B36FC9">
            <w:r>
              <w:t>-</w:t>
            </w:r>
          </w:p>
        </w:tc>
        <w:tc>
          <w:tcPr>
            <w:tcW w:w="2253" w:type="dxa"/>
          </w:tcPr>
          <w:p w14:paraId="128C07F2" w14:textId="33F351E0" w:rsidR="00B36FC9" w:rsidRDefault="00B36FC9">
            <w:r>
              <w:t>-</w:t>
            </w:r>
          </w:p>
        </w:tc>
        <w:tc>
          <w:tcPr>
            <w:tcW w:w="2253" w:type="dxa"/>
          </w:tcPr>
          <w:p w14:paraId="21197D73" w14:textId="3ACBF704" w:rsidR="00B36FC9" w:rsidRDefault="00B36FC9">
            <w:r>
              <w:t>TRUE</w:t>
            </w:r>
          </w:p>
        </w:tc>
      </w:tr>
      <w:tr w:rsidR="00B36FC9" w14:paraId="14C7FFDC" w14:textId="77777777" w:rsidTr="00B36FC9">
        <w:tc>
          <w:tcPr>
            <w:tcW w:w="2252" w:type="dxa"/>
          </w:tcPr>
          <w:p w14:paraId="7A06ECE6" w14:textId="0C83563A" w:rsidR="00B36FC9" w:rsidRDefault="00B36FC9">
            <w:r>
              <w:t>GGU</w:t>
            </w:r>
          </w:p>
        </w:tc>
        <w:tc>
          <w:tcPr>
            <w:tcW w:w="2252" w:type="dxa"/>
          </w:tcPr>
          <w:p w14:paraId="76BB369A" w14:textId="7FD38021" w:rsidR="00B36FC9" w:rsidRDefault="00B36FC9">
            <w:r>
              <w:t>+</w:t>
            </w:r>
          </w:p>
        </w:tc>
        <w:tc>
          <w:tcPr>
            <w:tcW w:w="2253" w:type="dxa"/>
          </w:tcPr>
          <w:p w14:paraId="072AA650" w14:textId="1898BDC4" w:rsidR="00B36FC9" w:rsidRDefault="00B36FC9">
            <w:r>
              <w:t>+</w:t>
            </w:r>
          </w:p>
        </w:tc>
        <w:tc>
          <w:tcPr>
            <w:tcW w:w="2253" w:type="dxa"/>
          </w:tcPr>
          <w:p w14:paraId="0A3B01FD" w14:textId="3DD02EBE" w:rsidR="00B36FC9" w:rsidRDefault="00B36FC9">
            <w:r>
              <w:t>TRUE</w:t>
            </w:r>
          </w:p>
        </w:tc>
      </w:tr>
      <w:tr w:rsidR="00B36FC9" w14:paraId="6DD56AC5" w14:textId="77777777" w:rsidTr="00B36FC9">
        <w:tc>
          <w:tcPr>
            <w:tcW w:w="2252" w:type="dxa"/>
          </w:tcPr>
          <w:p w14:paraId="57AF5032" w14:textId="264E3763" w:rsidR="00B36FC9" w:rsidRDefault="00B36FC9">
            <w:r>
              <w:t>GCU</w:t>
            </w:r>
          </w:p>
        </w:tc>
        <w:tc>
          <w:tcPr>
            <w:tcW w:w="2252" w:type="dxa"/>
          </w:tcPr>
          <w:p w14:paraId="7BA46D9F" w14:textId="6FE76167" w:rsidR="00B36FC9" w:rsidRDefault="00B36FC9">
            <w:r>
              <w:t>+</w:t>
            </w:r>
          </w:p>
        </w:tc>
        <w:tc>
          <w:tcPr>
            <w:tcW w:w="2253" w:type="dxa"/>
          </w:tcPr>
          <w:p w14:paraId="6E0E5655" w14:textId="36B4D54E" w:rsidR="00B36FC9" w:rsidRDefault="00B36FC9">
            <w:r>
              <w:t>+</w:t>
            </w:r>
          </w:p>
        </w:tc>
        <w:tc>
          <w:tcPr>
            <w:tcW w:w="2253" w:type="dxa"/>
          </w:tcPr>
          <w:p w14:paraId="3712F889" w14:textId="769E0424" w:rsidR="00B36FC9" w:rsidRDefault="00B36FC9">
            <w:r>
              <w:t>TRUE</w:t>
            </w:r>
          </w:p>
        </w:tc>
      </w:tr>
      <w:tr w:rsidR="00B36FC9" w14:paraId="163C5AF4" w14:textId="77777777" w:rsidTr="00B36FC9">
        <w:tc>
          <w:tcPr>
            <w:tcW w:w="2252" w:type="dxa"/>
          </w:tcPr>
          <w:p w14:paraId="2F6E00F4" w14:textId="11F3D286" w:rsidR="00B36FC9" w:rsidRDefault="00B36FC9">
            <w:r>
              <w:t>CGG</w:t>
            </w:r>
          </w:p>
        </w:tc>
        <w:tc>
          <w:tcPr>
            <w:tcW w:w="2252" w:type="dxa"/>
          </w:tcPr>
          <w:p w14:paraId="2A274E02" w14:textId="1A90B085" w:rsidR="00B36FC9" w:rsidRDefault="00B36FC9">
            <w:r>
              <w:t>-</w:t>
            </w:r>
          </w:p>
        </w:tc>
        <w:tc>
          <w:tcPr>
            <w:tcW w:w="2253" w:type="dxa"/>
          </w:tcPr>
          <w:p w14:paraId="40E87380" w14:textId="5267E7A7" w:rsidR="00B36FC9" w:rsidRDefault="00B36FC9">
            <w:r>
              <w:t>-</w:t>
            </w:r>
          </w:p>
        </w:tc>
        <w:tc>
          <w:tcPr>
            <w:tcW w:w="2253" w:type="dxa"/>
          </w:tcPr>
          <w:p w14:paraId="30A3C7FF" w14:textId="2711C01B" w:rsidR="00B36FC9" w:rsidRDefault="00B36FC9">
            <w:r>
              <w:t>TRUE</w:t>
            </w:r>
          </w:p>
        </w:tc>
      </w:tr>
      <w:tr w:rsidR="00B36FC9" w14:paraId="728D488C" w14:textId="77777777" w:rsidTr="00B36FC9">
        <w:tc>
          <w:tcPr>
            <w:tcW w:w="2252" w:type="dxa"/>
          </w:tcPr>
          <w:p w14:paraId="247A09E6" w14:textId="078184D8" w:rsidR="00B36FC9" w:rsidRDefault="00B36FC9">
            <w:r>
              <w:t>UCG</w:t>
            </w:r>
          </w:p>
        </w:tc>
        <w:tc>
          <w:tcPr>
            <w:tcW w:w="2252" w:type="dxa"/>
          </w:tcPr>
          <w:p w14:paraId="78DA8C6D" w14:textId="3BD09AC9" w:rsidR="00B36FC9" w:rsidRDefault="00B36FC9">
            <w:r>
              <w:t>-</w:t>
            </w:r>
          </w:p>
        </w:tc>
        <w:tc>
          <w:tcPr>
            <w:tcW w:w="2253" w:type="dxa"/>
          </w:tcPr>
          <w:p w14:paraId="734A2390" w14:textId="772ED518" w:rsidR="00B36FC9" w:rsidRDefault="00B36FC9">
            <w:r>
              <w:t>-</w:t>
            </w:r>
          </w:p>
        </w:tc>
        <w:tc>
          <w:tcPr>
            <w:tcW w:w="2253" w:type="dxa"/>
          </w:tcPr>
          <w:p w14:paraId="7E432FCA" w14:textId="6F039C5B" w:rsidR="00B36FC9" w:rsidRDefault="00B36FC9">
            <w:r>
              <w:t>TRUE</w:t>
            </w:r>
          </w:p>
        </w:tc>
      </w:tr>
      <w:tr w:rsidR="00B36FC9" w14:paraId="07AA5978" w14:textId="77777777" w:rsidTr="00B36FC9">
        <w:tc>
          <w:tcPr>
            <w:tcW w:w="2252" w:type="dxa"/>
          </w:tcPr>
          <w:p w14:paraId="31251FEA" w14:textId="3E5A75A6" w:rsidR="00B36FC9" w:rsidRDefault="00B36FC9">
            <w:r>
              <w:t>CGA</w:t>
            </w:r>
          </w:p>
        </w:tc>
        <w:tc>
          <w:tcPr>
            <w:tcW w:w="2252" w:type="dxa"/>
          </w:tcPr>
          <w:p w14:paraId="784633FD" w14:textId="4CCEDAE6" w:rsidR="00B36FC9" w:rsidRDefault="00B36FC9">
            <w:r>
              <w:t>-</w:t>
            </w:r>
          </w:p>
        </w:tc>
        <w:tc>
          <w:tcPr>
            <w:tcW w:w="2253" w:type="dxa"/>
          </w:tcPr>
          <w:p w14:paraId="384564E6" w14:textId="5AB1FB58" w:rsidR="00B36FC9" w:rsidRDefault="00B36FC9">
            <w:r>
              <w:t>-</w:t>
            </w:r>
          </w:p>
        </w:tc>
        <w:tc>
          <w:tcPr>
            <w:tcW w:w="2253" w:type="dxa"/>
          </w:tcPr>
          <w:p w14:paraId="593CAC49" w14:textId="78923303" w:rsidR="00B36FC9" w:rsidRDefault="00B36FC9">
            <w:r>
              <w:t>TRUE</w:t>
            </w:r>
          </w:p>
        </w:tc>
      </w:tr>
      <w:tr w:rsidR="00B36FC9" w14:paraId="4E0F4D52" w14:textId="77777777" w:rsidTr="00B36FC9">
        <w:tc>
          <w:tcPr>
            <w:tcW w:w="2252" w:type="dxa"/>
          </w:tcPr>
          <w:p w14:paraId="2D37081E" w14:textId="6D6A13B5" w:rsidR="00B36FC9" w:rsidRDefault="00B36FC9">
            <w:r>
              <w:t>UCA</w:t>
            </w:r>
          </w:p>
        </w:tc>
        <w:tc>
          <w:tcPr>
            <w:tcW w:w="2252" w:type="dxa"/>
          </w:tcPr>
          <w:p w14:paraId="333F313A" w14:textId="36B08724" w:rsidR="00B36FC9" w:rsidRDefault="00B36FC9">
            <w:r>
              <w:t>-</w:t>
            </w:r>
          </w:p>
        </w:tc>
        <w:tc>
          <w:tcPr>
            <w:tcW w:w="2253" w:type="dxa"/>
          </w:tcPr>
          <w:p w14:paraId="1A505F1B" w14:textId="79044219" w:rsidR="00B36FC9" w:rsidRDefault="00B36FC9">
            <w:r>
              <w:t>-</w:t>
            </w:r>
          </w:p>
        </w:tc>
        <w:tc>
          <w:tcPr>
            <w:tcW w:w="2253" w:type="dxa"/>
          </w:tcPr>
          <w:p w14:paraId="185D4AE7" w14:textId="1BBBDFEC" w:rsidR="00B36FC9" w:rsidRDefault="00B36FC9">
            <w:r>
              <w:t>TRUE</w:t>
            </w:r>
          </w:p>
        </w:tc>
      </w:tr>
      <w:tr w:rsidR="00B36FC9" w14:paraId="39092323" w14:textId="77777777" w:rsidTr="00B36FC9">
        <w:tc>
          <w:tcPr>
            <w:tcW w:w="2252" w:type="dxa"/>
          </w:tcPr>
          <w:p w14:paraId="3C160E9E" w14:textId="40FB9BD6" w:rsidR="00B36FC9" w:rsidRPr="00B36FC9" w:rsidRDefault="00B36FC9">
            <w:pPr>
              <w:rPr>
                <w:highlight w:val="yellow"/>
              </w:rPr>
            </w:pPr>
            <w:r w:rsidRPr="00B36FC9">
              <w:rPr>
                <w:highlight w:val="yellow"/>
              </w:rPr>
              <w:lastRenderedPageBreak/>
              <w:t>CAG</w:t>
            </w:r>
          </w:p>
        </w:tc>
        <w:tc>
          <w:tcPr>
            <w:tcW w:w="2252" w:type="dxa"/>
          </w:tcPr>
          <w:p w14:paraId="353B9658" w14:textId="2D3D44E6" w:rsidR="00B36FC9" w:rsidRPr="00B36FC9" w:rsidRDefault="00B36FC9">
            <w:pPr>
              <w:rPr>
                <w:highlight w:val="yellow"/>
              </w:rPr>
            </w:pPr>
            <w:r w:rsidRPr="00B36FC9">
              <w:rPr>
                <w:highlight w:val="yellow"/>
              </w:rPr>
              <w:t>-</w:t>
            </w:r>
          </w:p>
        </w:tc>
        <w:tc>
          <w:tcPr>
            <w:tcW w:w="2253" w:type="dxa"/>
          </w:tcPr>
          <w:p w14:paraId="4A038ABB" w14:textId="33689ED6" w:rsidR="00B36FC9" w:rsidRPr="00B36FC9" w:rsidRDefault="00B36FC9">
            <w:pPr>
              <w:rPr>
                <w:highlight w:val="yellow"/>
              </w:rPr>
            </w:pPr>
            <w:r w:rsidRPr="00B36FC9">
              <w:rPr>
                <w:highlight w:val="yellow"/>
              </w:rPr>
              <w:t>+</w:t>
            </w:r>
          </w:p>
        </w:tc>
        <w:tc>
          <w:tcPr>
            <w:tcW w:w="2253" w:type="dxa"/>
          </w:tcPr>
          <w:p w14:paraId="04EDFCD5" w14:textId="3A3378B0" w:rsidR="00B36FC9" w:rsidRPr="00B36FC9" w:rsidRDefault="00B36FC9">
            <w:pPr>
              <w:rPr>
                <w:highlight w:val="yellow"/>
              </w:rPr>
            </w:pPr>
            <w:r>
              <w:rPr>
                <w:highlight w:val="yellow"/>
              </w:rPr>
              <w:t>FALSE</w:t>
            </w:r>
          </w:p>
        </w:tc>
      </w:tr>
      <w:tr w:rsidR="00B36FC9" w14:paraId="01068A64" w14:textId="77777777" w:rsidTr="00B36FC9">
        <w:tc>
          <w:tcPr>
            <w:tcW w:w="2252" w:type="dxa"/>
          </w:tcPr>
          <w:p w14:paraId="2E95D28D" w14:textId="62C28F26" w:rsidR="00B36FC9" w:rsidRPr="00B36FC9" w:rsidRDefault="00B36FC9">
            <w:pPr>
              <w:rPr>
                <w:highlight w:val="yellow"/>
              </w:rPr>
            </w:pPr>
            <w:r w:rsidRPr="00B36FC9">
              <w:rPr>
                <w:highlight w:val="yellow"/>
              </w:rPr>
              <w:t>AUC</w:t>
            </w:r>
          </w:p>
        </w:tc>
        <w:tc>
          <w:tcPr>
            <w:tcW w:w="2252" w:type="dxa"/>
          </w:tcPr>
          <w:p w14:paraId="44BB4716" w14:textId="2288F6B6" w:rsidR="00B36FC9" w:rsidRPr="00B36FC9" w:rsidRDefault="00B36FC9">
            <w:pPr>
              <w:rPr>
                <w:highlight w:val="yellow"/>
              </w:rPr>
            </w:pPr>
            <w:r w:rsidRPr="00B36FC9">
              <w:rPr>
                <w:highlight w:val="yellow"/>
              </w:rPr>
              <w:t>+</w:t>
            </w:r>
          </w:p>
        </w:tc>
        <w:tc>
          <w:tcPr>
            <w:tcW w:w="2253" w:type="dxa"/>
          </w:tcPr>
          <w:p w14:paraId="5FA2E4FE" w14:textId="0E3E865B" w:rsidR="00B36FC9" w:rsidRPr="00B36FC9" w:rsidRDefault="00B36FC9">
            <w:pPr>
              <w:rPr>
                <w:highlight w:val="yellow"/>
              </w:rPr>
            </w:pPr>
            <w:r w:rsidRPr="00B36FC9">
              <w:rPr>
                <w:highlight w:val="yellow"/>
              </w:rPr>
              <w:t>0/+</w:t>
            </w:r>
          </w:p>
        </w:tc>
        <w:tc>
          <w:tcPr>
            <w:tcW w:w="2253" w:type="dxa"/>
          </w:tcPr>
          <w:p w14:paraId="0737C17D" w14:textId="484ECC33" w:rsidR="00B36FC9" w:rsidRDefault="00B36FC9">
            <w:r w:rsidRPr="00B36FC9">
              <w:rPr>
                <w:highlight w:val="yellow"/>
              </w:rPr>
              <w:t>UNCLEAR</w:t>
            </w:r>
          </w:p>
        </w:tc>
      </w:tr>
      <w:tr w:rsidR="00B36FC9" w14:paraId="73150D14" w14:textId="77777777" w:rsidTr="00B36FC9">
        <w:tc>
          <w:tcPr>
            <w:tcW w:w="2252" w:type="dxa"/>
          </w:tcPr>
          <w:p w14:paraId="72F7D7B8" w14:textId="1571F3CB" w:rsidR="00B36FC9" w:rsidRDefault="00B36FC9">
            <w:r>
              <w:t>GCC</w:t>
            </w:r>
          </w:p>
        </w:tc>
        <w:tc>
          <w:tcPr>
            <w:tcW w:w="2252" w:type="dxa"/>
          </w:tcPr>
          <w:p w14:paraId="291BB34B" w14:textId="7B6D5EB5" w:rsidR="00B36FC9" w:rsidRDefault="00B36FC9">
            <w:r>
              <w:t>+</w:t>
            </w:r>
          </w:p>
        </w:tc>
        <w:tc>
          <w:tcPr>
            <w:tcW w:w="2253" w:type="dxa"/>
          </w:tcPr>
          <w:p w14:paraId="26BA1698" w14:textId="0FB4FFAB" w:rsidR="00B36FC9" w:rsidRDefault="00B36FC9">
            <w:r>
              <w:t>+</w:t>
            </w:r>
          </w:p>
        </w:tc>
        <w:tc>
          <w:tcPr>
            <w:tcW w:w="2253" w:type="dxa"/>
          </w:tcPr>
          <w:p w14:paraId="4C019099" w14:textId="3F849169" w:rsidR="00B36FC9" w:rsidRDefault="00B36FC9">
            <w:r>
              <w:t>TRUE</w:t>
            </w:r>
          </w:p>
        </w:tc>
      </w:tr>
      <w:tr w:rsidR="00B36FC9" w14:paraId="355DE2E7" w14:textId="77777777" w:rsidTr="00B36FC9">
        <w:tc>
          <w:tcPr>
            <w:tcW w:w="2252" w:type="dxa"/>
          </w:tcPr>
          <w:p w14:paraId="09A3ADC2" w14:textId="5089BF61" w:rsidR="00B36FC9" w:rsidRDefault="00B36FC9">
            <w:r>
              <w:t>ACA</w:t>
            </w:r>
          </w:p>
        </w:tc>
        <w:tc>
          <w:tcPr>
            <w:tcW w:w="2252" w:type="dxa"/>
          </w:tcPr>
          <w:p w14:paraId="674D97C2" w14:textId="2DD7479B" w:rsidR="00B36FC9" w:rsidRDefault="00B36FC9">
            <w:r>
              <w:t>-</w:t>
            </w:r>
          </w:p>
        </w:tc>
        <w:tc>
          <w:tcPr>
            <w:tcW w:w="2253" w:type="dxa"/>
          </w:tcPr>
          <w:p w14:paraId="26C3D4BB" w14:textId="2DC0F5D9" w:rsidR="00B36FC9" w:rsidRDefault="00B36FC9">
            <w:r>
              <w:t>-</w:t>
            </w:r>
          </w:p>
        </w:tc>
        <w:tc>
          <w:tcPr>
            <w:tcW w:w="2253" w:type="dxa"/>
          </w:tcPr>
          <w:p w14:paraId="41C4C8F3" w14:textId="5BCB2EAD" w:rsidR="00B36FC9" w:rsidRDefault="00B36FC9">
            <w:r>
              <w:t>TRUE</w:t>
            </w:r>
          </w:p>
        </w:tc>
      </w:tr>
      <w:tr w:rsidR="00B36FC9" w14:paraId="6C844311" w14:textId="77777777" w:rsidTr="00B36FC9">
        <w:tc>
          <w:tcPr>
            <w:tcW w:w="2252" w:type="dxa"/>
          </w:tcPr>
          <w:p w14:paraId="6DD67C7A" w14:textId="60B0FF48" w:rsidR="00B36FC9" w:rsidRDefault="00B36FC9">
            <w:r>
              <w:t>CAA</w:t>
            </w:r>
          </w:p>
        </w:tc>
        <w:tc>
          <w:tcPr>
            <w:tcW w:w="2252" w:type="dxa"/>
          </w:tcPr>
          <w:p w14:paraId="587235E0" w14:textId="36E2D6E8" w:rsidR="00B36FC9" w:rsidRDefault="00B36FC9">
            <w:r>
              <w:t>-</w:t>
            </w:r>
          </w:p>
        </w:tc>
        <w:tc>
          <w:tcPr>
            <w:tcW w:w="2253" w:type="dxa"/>
          </w:tcPr>
          <w:p w14:paraId="3089BF66" w14:textId="5EA45E8C" w:rsidR="00B36FC9" w:rsidRDefault="00B36FC9">
            <w:r>
              <w:t>-</w:t>
            </w:r>
          </w:p>
        </w:tc>
        <w:tc>
          <w:tcPr>
            <w:tcW w:w="2253" w:type="dxa"/>
          </w:tcPr>
          <w:p w14:paraId="2F806A8C" w14:textId="1CCA9245" w:rsidR="00B36FC9" w:rsidRDefault="00B36FC9">
            <w:r>
              <w:t>TRUE</w:t>
            </w:r>
          </w:p>
        </w:tc>
      </w:tr>
      <w:tr w:rsidR="00B36FC9" w14:paraId="4B8D333B" w14:textId="77777777" w:rsidTr="00B36FC9">
        <w:tc>
          <w:tcPr>
            <w:tcW w:w="2252" w:type="dxa"/>
          </w:tcPr>
          <w:p w14:paraId="290DC496" w14:textId="68361059" w:rsidR="00B36FC9" w:rsidRDefault="00B36FC9">
            <w:r>
              <w:t>AAG</w:t>
            </w:r>
          </w:p>
        </w:tc>
        <w:tc>
          <w:tcPr>
            <w:tcW w:w="2252" w:type="dxa"/>
          </w:tcPr>
          <w:p w14:paraId="103B6711" w14:textId="375B54B4" w:rsidR="00B36FC9" w:rsidRDefault="00B36FC9">
            <w:r>
              <w:t>+</w:t>
            </w:r>
          </w:p>
        </w:tc>
        <w:tc>
          <w:tcPr>
            <w:tcW w:w="2253" w:type="dxa"/>
          </w:tcPr>
          <w:p w14:paraId="51EDAFF8" w14:textId="62CBFD18" w:rsidR="00B36FC9" w:rsidRDefault="00B36FC9">
            <w:r>
              <w:t>+</w:t>
            </w:r>
          </w:p>
        </w:tc>
        <w:tc>
          <w:tcPr>
            <w:tcW w:w="2253" w:type="dxa"/>
          </w:tcPr>
          <w:p w14:paraId="2684B129" w14:textId="225A185E" w:rsidR="00B36FC9" w:rsidRDefault="00B36FC9">
            <w:r>
              <w:t>TRUE</w:t>
            </w:r>
          </w:p>
        </w:tc>
      </w:tr>
    </w:tbl>
    <w:p w14:paraId="18CE8B4F" w14:textId="77777777" w:rsidR="00B36FC9" w:rsidRDefault="00B36FC9"/>
    <w:p w14:paraId="13C7E8CB" w14:textId="1D19E141" w:rsidR="00654585" w:rsidRDefault="00B36FC9">
      <w:pPr>
        <w:rPr>
          <w:rFonts w:eastAsiaTheme="minorEastAsia"/>
        </w:rPr>
      </w:pPr>
      <w:r>
        <w:t xml:space="preserve">For 16/18 codons there is clear agreement, for codon AUC the result is unclear and for codon CAG there is disagreement. The fraction of positive coefficients in Agarwal is </w:t>
      </w:r>
      <m:oMath>
        <m:r>
          <w:rPr>
            <w:rFonts w:ascii="Cambria Math" w:hAnsi="Cambria Math"/>
          </w:rPr>
          <m:t>p=5/18=0.2778</m:t>
        </m:r>
      </m:oMath>
      <w:r>
        <w:t>, and the fraction in our study is</w:t>
      </w:r>
      <w:r w:rsidR="00D97840">
        <w:t xml:space="preserve"> also</w:t>
      </w:r>
      <w:r>
        <w:t xml:space="preserve"> </w:t>
      </w:r>
      <m:oMath>
        <m:r>
          <w:rPr>
            <w:rFonts w:ascii="Cambria Math" w:hAnsi="Cambria Math"/>
          </w:rPr>
          <m:t>p=5/18</m:t>
        </m:r>
      </m:oMath>
      <w:r w:rsidR="00D97840">
        <w:t xml:space="preserve"> if we interpret AUC as 0. If the allocation of signs to codons is independent in the two </w:t>
      </w:r>
      <w:r w:rsidR="005901C3">
        <w:t>studies,</w:t>
      </w:r>
      <w:r w:rsidR="00D97840">
        <w:t xml:space="preserve"> then the probability that a codon has the same sign is </w:t>
      </w:r>
      <m:oMath>
        <m:r>
          <w:rPr>
            <w:rFonts w:ascii="Cambria Math" w:hAnsi="Cambria Math"/>
          </w:rPr>
          <m:t xml:space="preserve">q=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(1-p)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= 0.5987</m:t>
        </m:r>
      </m:oMath>
      <w:r w:rsidR="00D97840">
        <w:t>. T</w:t>
      </w:r>
      <w:r>
        <w:t xml:space="preserve">he probability </w:t>
      </w:r>
      <w:r w:rsidR="00D97840">
        <w:t xml:space="preserve">of observing a given number of agreements is from the binomial distribution </w:t>
      </w:r>
      <m:oMath>
        <m:r>
          <w:rPr>
            <w:rFonts w:ascii="Cambria Math" w:hAnsi="Cambria Math"/>
          </w:rPr>
          <m:t>B(18, q)</m:t>
        </m:r>
      </m:oMath>
      <w:r w:rsidR="00D97840">
        <w:rPr>
          <w:rFonts w:eastAsiaTheme="minorEastAsia"/>
        </w:rPr>
        <w:t xml:space="preserve">. The probability of 16 or more agreements is therefore </w:t>
      </w:r>
      <w:r w:rsidR="00654585">
        <w:rPr>
          <w:rFonts w:eastAsiaTheme="minorEastAsia"/>
        </w:rPr>
        <w:t>given by the R function call</w:t>
      </w:r>
    </w:p>
    <w:p w14:paraId="17C1B9EF" w14:textId="77777777" w:rsidR="00654585" w:rsidRDefault="00654585">
      <w:pPr>
        <w:rPr>
          <w:rFonts w:eastAsiaTheme="minorEastAsia"/>
        </w:rPr>
      </w:pPr>
    </w:p>
    <w:p w14:paraId="5275656F" w14:textId="600ED58A" w:rsidR="00B36FC9" w:rsidRDefault="00654585">
      <w:proofErr w:type="spellStart"/>
      <w:proofErr w:type="gramStart"/>
      <w:r w:rsidRPr="00654585">
        <w:rPr>
          <w:rFonts w:eastAsiaTheme="minorEastAsia"/>
        </w:rPr>
        <w:t>pbinom</w:t>
      </w:r>
      <w:proofErr w:type="spellEnd"/>
      <w:r w:rsidRPr="00654585">
        <w:rPr>
          <w:rFonts w:eastAsiaTheme="minorEastAsia"/>
        </w:rPr>
        <w:t>(</w:t>
      </w:r>
      <w:proofErr w:type="gramEnd"/>
      <w:r w:rsidRPr="00654585">
        <w:rPr>
          <w:rFonts w:eastAsiaTheme="minorEastAsia"/>
        </w:rPr>
        <w:t>15,18,prob= 0.5987654,lower=FALSE)</w:t>
      </w:r>
      <w:r>
        <w:rPr>
          <w:rFonts w:eastAsiaTheme="minorEastAsia"/>
        </w:rPr>
        <w:t xml:space="preserve"> = </w:t>
      </w:r>
      <w:r w:rsidRPr="00654585">
        <w:rPr>
          <w:rFonts w:eastAsiaTheme="minorEastAsia"/>
        </w:rPr>
        <w:t>0.008</w:t>
      </w:r>
      <w:r w:rsidR="00D97840">
        <w:rPr>
          <w:rFonts w:eastAsiaTheme="minorEastAsia"/>
        </w:rPr>
        <w:t>.</w:t>
      </w:r>
    </w:p>
    <w:sectPr w:rsidR="00B36FC9" w:rsidSect="007B041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C2"/>
    <w:rsid w:val="00020240"/>
    <w:rsid w:val="00041968"/>
    <w:rsid w:val="00060581"/>
    <w:rsid w:val="0007450B"/>
    <w:rsid w:val="00081850"/>
    <w:rsid w:val="0008541F"/>
    <w:rsid w:val="00086FAE"/>
    <w:rsid w:val="00096402"/>
    <w:rsid w:val="000A3583"/>
    <w:rsid w:val="000B0B4E"/>
    <w:rsid w:val="000B4E01"/>
    <w:rsid w:val="000B57AA"/>
    <w:rsid w:val="000D2E6B"/>
    <w:rsid w:val="000E5B2D"/>
    <w:rsid w:val="000E6FF4"/>
    <w:rsid w:val="001114D2"/>
    <w:rsid w:val="001142A9"/>
    <w:rsid w:val="0014248D"/>
    <w:rsid w:val="00143C51"/>
    <w:rsid w:val="001554DA"/>
    <w:rsid w:val="00157550"/>
    <w:rsid w:val="00167C05"/>
    <w:rsid w:val="001929FD"/>
    <w:rsid w:val="00195BC3"/>
    <w:rsid w:val="001A3176"/>
    <w:rsid w:val="001B0282"/>
    <w:rsid w:val="001D42A7"/>
    <w:rsid w:val="001E6DDF"/>
    <w:rsid w:val="001F00A7"/>
    <w:rsid w:val="00201857"/>
    <w:rsid w:val="00202DA1"/>
    <w:rsid w:val="00207558"/>
    <w:rsid w:val="002550AF"/>
    <w:rsid w:val="002554B1"/>
    <w:rsid w:val="002709E0"/>
    <w:rsid w:val="00273F74"/>
    <w:rsid w:val="0027426B"/>
    <w:rsid w:val="002828FF"/>
    <w:rsid w:val="00291AF6"/>
    <w:rsid w:val="002A479A"/>
    <w:rsid w:val="002D16F0"/>
    <w:rsid w:val="00305487"/>
    <w:rsid w:val="003221BD"/>
    <w:rsid w:val="00395B04"/>
    <w:rsid w:val="003A1B86"/>
    <w:rsid w:val="003C76A9"/>
    <w:rsid w:val="003D1D79"/>
    <w:rsid w:val="003E0067"/>
    <w:rsid w:val="003E097C"/>
    <w:rsid w:val="003F7479"/>
    <w:rsid w:val="00404959"/>
    <w:rsid w:val="004076BD"/>
    <w:rsid w:val="004273F1"/>
    <w:rsid w:val="00450251"/>
    <w:rsid w:val="004534D3"/>
    <w:rsid w:val="00467663"/>
    <w:rsid w:val="00471D96"/>
    <w:rsid w:val="00491CD8"/>
    <w:rsid w:val="004A2284"/>
    <w:rsid w:val="004A243D"/>
    <w:rsid w:val="004A63ED"/>
    <w:rsid w:val="004B5510"/>
    <w:rsid w:val="004E10D7"/>
    <w:rsid w:val="004E2BBE"/>
    <w:rsid w:val="004F4655"/>
    <w:rsid w:val="004F5474"/>
    <w:rsid w:val="00511CA7"/>
    <w:rsid w:val="0052091A"/>
    <w:rsid w:val="00520FE9"/>
    <w:rsid w:val="0055666B"/>
    <w:rsid w:val="0057168C"/>
    <w:rsid w:val="0057440E"/>
    <w:rsid w:val="00584339"/>
    <w:rsid w:val="005901C3"/>
    <w:rsid w:val="005C7BB6"/>
    <w:rsid w:val="005E32A9"/>
    <w:rsid w:val="0060362A"/>
    <w:rsid w:val="00606C4D"/>
    <w:rsid w:val="0061705D"/>
    <w:rsid w:val="0062144F"/>
    <w:rsid w:val="00624D5C"/>
    <w:rsid w:val="00654585"/>
    <w:rsid w:val="00662480"/>
    <w:rsid w:val="006A6B36"/>
    <w:rsid w:val="006A7252"/>
    <w:rsid w:val="006D1456"/>
    <w:rsid w:val="006E491D"/>
    <w:rsid w:val="006E6621"/>
    <w:rsid w:val="00714F1C"/>
    <w:rsid w:val="00756E9B"/>
    <w:rsid w:val="00764FA6"/>
    <w:rsid w:val="007702B5"/>
    <w:rsid w:val="007A2640"/>
    <w:rsid w:val="007B0415"/>
    <w:rsid w:val="007B4406"/>
    <w:rsid w:val="007B5A76"/>
    <w:rsid w:val="007C77C2"/>
    <w:rsid w:val="007D2489"/>
    <w:rsid w:val="007E2A94"/>
    <w:rsid w:val="00822540"/>
    <w:rsid w:val="0083457C"/>
    <w:rsid w:val="00840351"/>
    <w:rsid w:val="008639DF"/>
    <w:rsid w:val="008660C2"/>
    <w:rsid w:val="00867BE2"/>
    <w:rsid w:val="00894AD9"/>
    <w:rsid w:val="008A45DB"/>
    <w:rsid w:val="008B0FB4"/>
    <w:rsid w:val="008D0CFE"/>
    <w:rsid w:val="008D4BD4"/>
    <w:rsid w:val="008E1294"/>
    <w:rsid w:val="008E1C5D"/>
    <w:rsid w:val="008E20A0"/>
    <w:rsid w:val="008E3C91"/>
    <w:rsid w:val="008F049C"/>
    <w:rsid w:val="00902739"/>
    <w:rsid w:val="00903C6F"/>
    <w:rsid w:val="009041D0"/>
    <w:rsid w:val="00904E93"/>
    <w:rsid w:val="009138BD"/>
    <w:rsid w:val="00917933"/>
    <w:rsid w:val="009619B5"/>
    <w:rsid w:val="00962431"/>
    <w:rsid w:val="00973AD2"/>
    <w:rsid w:val="00980228"/>
    <w:rsid w:val="0098571D"/>
    <w:rsid w:val="00986A42"/>
    <w:rsid w:val="00987205"/>
    <w:rsid w:val="009A41D2"/>
    <w:rsid w:val="009A6373"/>
    <w:rsid w:val="009A65DB"/>
    <w:rsid w:val="009C2162"/>
    <w:rsid w:val="009F0FF5"/>
    <w:rsid w:val="009F5D80"/>
    <w:rsid w:val="00A03514"/>
    <w:rsid w:val="00A0792D"/>
    <w:rsid w:val="00A3459B"/>
    <w:rsid w:val="00A601CD"/>
    <w:rsid w:val="00A652F3"/>
    <w:rsid w:val="00AD235A"/>
    <w:rsid w:val="00AE14C4"/>
    <w:rsid w:val="00AF6665"/>
    <w:rsid w:val="00B150C6"/>
    <w:rsid w:val="00B36FC9"/>
    <w:rsid w:val="00B42433"/>
    <w:rsid w:val="00B576A3"/>
    <w:rsid w:val="00B628CD"/>
    <w:rsid w:val="00B74D40"/>
    <w:rsid w:val="00B96A7A"/>
    <w:rsid w:val="00BB47EE"/>
    <w:rsid w:val="00BD30A5"/>
    <w:rsid w:val="00BF691D"/>
    <w:rsid w:val="00BF740D"/>
    <w:rsid w:val="00C063CE"/>
    <w:rsid w:val="00C207DB"/>
    <w:rsid w:val="00C272FB"/>
    <w:rsid w:val="00C314BF"/>
    <w:rsid w:val="00C3365B"/>
    <w:rsid w:val="00C3506E"/>
    <w:rsid w:val="00C37F2C"/>
    <w:rsid w:val="00C420BC"/>
    <w:rsid w:val="00C56D4A"/>
    <w:rsid w:val="00C608C1"/>
    <w:rsid w:val="00CA4595"/>
    <w:rsid w:val="00CD5889"/>
    <w:rsid w:val="00CE09EE"/>
    <w:rsid w:val="00CE719F"/>
    <w:rsid w:val="00CF019E"/>
    <w:rsid w:val="00CF7DE2"/>
    <w:rsid w:val="00D11120"/>
    <w:rsid w:val="00D15AA3"/>
    <w:rsid w:val="00D2356E"/>
    <w:rsid w:val="00D40617"/>
    <w:rsid w:val="00D566E9"/>
    <w:rsid w:val="00D600DE"/>
    <w:rsid w:val="00D6346B"/>
    <w:rsid w:val="00D82162"/>
    <w:rsid w:val="00D97840"/>
    <w:rsid w:val="00DA22F8"/>
    <w:rsid w:val="00DB25C5"/>
    <w:rsid w:val="00DB33BD"/>
    <w:rsid w:val="00DB5BFB"/>
    <w:rsid w:val="00DD4FCA"/>
    <w:rsid w:val="00DD7FCB"/>
    <w:rsid w:val="00E17496"/>
    <w:rsid w:val="00E413CE"/>
    <w:rsid w:val="00E506C2"/>
    <w:rsid w:val="00E53C94"/>
    <w:rsid w:val="00E83925"/>
    <w:rsid w:val="00E876C3"/>
    <w:rsid w:val="00EC7793"/>
    <w:rsid w:val="00EE348F"/>
    <w:rsid w:val="00EE3D00"/>
    <w:rsid w:val="00EF0ABA"/>
    <w:rsid w:val="00EF2013"/>
    <w:rsid w:val="00EF2841"/>
    <w:rsid w:val="00F02191"/>
    <w:rsid w:val="00F2466E"/>
    <w:rsid w:val="00F25091"/>
    <w:rsid w:val="00F44093"/>
    <w:rsid w:val="00F63C7D"/>
    <w:rsid w:val="00F73198"/>
    <w:rsid w:val="00F922E3"/>
    <w:rsid w:val="00FB5155"/>
    <w:rsid w:val="00FC65F9"/>
    <w:rsid w:val="00FE05C1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D1932"/>
  <w14:defaultImageDpi w14:val="32767"/>
  <w15:chartTrackingRefBased/>
  <w15:docId w15:val="{6DF7D930-0EC7-5844-9354-84AA6A1E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6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6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6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6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6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6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6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6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Mott, Richard</dc:creator>
  <cp:keywords/>
  <dc:description/>
  <cp:lastModifiedBy>Mott, Richard</cp:lastModifiedBy>
  <cp:revision>3</cp:revision>
  <dcterms:created xsi:type="dcterms:W3CDTF">2024-12-08T17:59:00Z</dcterms:created>
  <dcterms:modified xsi:type="dcterms:W3CDTF">2024-12-08T18:43:00Z</dcterms:modified>
</cp:coreProperties>
</file>