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762D86" w14:textId="75417BB4" w:rsidR="00E604E6" w:rsidRPr="001949EB" w:rsidRDefault="00E604E6" w:rsidP="001949EB">
      <w:pPr>
        <w:spacing w:line="360" w:lineRule="auto"/>
        <w:rPr>
          <w:rFonts w:asciiTheme="majorBidi" w:hAnsiTheme="majorBidi" w:cstheme="majorBidi"/>
          <w:b/>
          <w:bCs/>
        </w:rPr>
      </w:pPr>
      <w:r w:rsidRPr="001949EB">
        <w:rPr>
          <w:rFonts w:asciiTheme="majorBidi" w:hAnsiTheme="majorBidi" w:cstheme="majorBidi"/>
          <w:b/>
          <w:bCs/>
        </w:rPr>
        <w:t>S2- Nested-PCR test on BKV, EBV and HHV6</w:t>
      </w:r>
    </w:p>
    <w:p w14:paraId="6BD8D8AC" w14:textId="78FD3937" w:rsidR="001949EB" w:rsidRDefault="001949EB" w:rsidP="001949EB">
      <w:pPr>
        <w:spacing w:line="360" w:lineRule="auto"/>
        <w:rPr>
          <w:rFonts w:asciiTheme="majorBidi" w:hAnsiTheme="majorBidi" w:cstheme="majorBidi"/>
          <w:b/>
          <w:bCs/>
        </w:rPr>
      </w:pPr>
      <w:r w:rsidRPr="001949EB">
        <w:rPr>
          <w:rFonts w:asciiTheme="majorBidi" w:hAnsiTheme="majorBidi" w:cstheme="majorBidi"/>
          <w:b/>
          <w:bCs/>
        </w:rPr>
        <w:t>S2-1- Nested-PCR test on EBV</w:t>
      </w:r>
    </w:p>
    <w:p w14:paraId="2588E134" w14:textId="30073905" w:rsidR="001949EB" w:rsidRDefault="00C25886" w:rsidP="00063768">
      <w:pPr>
        <w:spacing w:line="360" w:lineRule="auto"/>
        <w:rPr>
          <w:rFonts w:asciiTheme="majorBidi" w:hAnsiTheme="majorBidi" w:cstheme="majorBidi"/>
        </w:rPr>
      </w:pPr>
      <w:r w:rsidRPr="00BE6BE7">
        <w:rPr>
          <w:rFonts w:asciiTheme="majorBidi" w:hAnsiTheme="majorBidi" w:cstheme="majorBidi"/>
          <w:color w:val="000000" w:themeColor="text1"/>
        </w:rPr>
        <w:t xml:space="preserve">Following DNA extraction, all samples were thoroughly checked for EBV genome by nested-PCR using specific primers for EBNA-1 (Round 1; Forward: GTAACTTAGGAAGCGTTTCT Reverse: CAATGCAACTTGGACGTTTT, </w:t>
      </w:r>
      <w:proofErr w:type="gramStart"/>
      <w:r w:rsidRPr="00BE6BE7">
        <w:rPr>
          <w:rFonts w:asciiTheme="majorBidi" w:hAnsiTheme="majorBidi" w:cstheme="majorBidi"/>
          <w:color w:val="000000" w:themeColor="text1"/>
        </w:rPr>
        <w:t>Round</w:t>
      </w:r>
      <w:proofErr w:type="gramEnd"/>
      <w:r w:rsidRPr="00BE6BE7">
        <w:rPr>
          <w:rFonts w:asciiTheme="majorBidi" w:hAnsiTheme="majorBidi" w:cstheme="majorBidi"/>
          <w:color w:val="000000" w:themeColor="text1"/>
        </w:rPr>
        <w:t xml:space="preserve"> 2; Forward: AGCTTCCTGGGATGAGCGT Reverse: TCTTCCCCGTCCTCGTCCAT). </w:t>
      </w:r>
    </w:p>
    <w:p w14:paraId="1E509FA2" w14:textId="5731E2DA" w:rsidR="001949EB" w:rsidRDefault="001949EB" w:rsidP="007D46B3">
      <w:pPr>
        <w:spacing w:line="360" w:lineRule="auto"/>
        <w:rPr>
          <w:rFonts w:asciiTheme="majorBidi" w:hAnsiTheme="majorBidi" w:cstheme="majorBidi"/>
        </w:rPr>
      </w:pPr>
      <w:r w:rsidRPr="001949EB">
        <w:rPr>
          <w:rFonts w:asciiTheme="majorBidi" w:hAnsiTheme="majorBidi" w:cstheme="majorBidi"/>
        </w:rPr>
        <w:t xml:space="preserve">The reaction started with 1 cycle of 95˚C for 5 min, followed by 35 cycles of 30 </w:t>
      </w:r>
      <w:proofErr w:type="gramStart"/>
      <w:r w:rsidRPr="001949EB">
        <w:rPr>
          <w:rFonts w:asciiTheme="majorBidi" w:hAnsiTheme="majorBidi" w:cstheme="majorBidi"/>
        </w:rPr>
        <w:t>sec</w:t>
      </w:r>
      <w:proofErr w:type="gramEnd"/>
      <w:r w:rsidRPr="001949EB">
        <w:rPr>
          <w:rFonts w:asciiTheme="majorBidi" w:hAnsiTheme="majorBidi" w:cstheme="majorBidi"/>
        </w:rPr>
        <w:t xml:space="preserve"> at 95˚C, 30 sec at 55˚C, 1 min and 30 sec at </w:t>
      </w:r>
      <w:r w:rsidR="007D46B3">
        <w:rPr>
          <w:rFonts w:asciiTheme="majorBidi" w:hAnsiTheme="majorBidi" w:cstheme="majorBidi"/>
        </w:rPr>
        <w:t>72</w:t>
      </w:r>
      <w:r w:rsidRPr="001949EB">
        <w:rPr>
          <w:rFonts w:asciiTheme="majorBidi" w:hAnsiTheme="majorBidi" w:cstheme="majorBidi"/>
        </w:rPr>
        <w:t xml:space="preserve">, and 1 cycle of </w:t>
      </w:r>
      <w:r w:rsidR="007D46B3">
        <w:rPr>
          <w:rFonts w:asciiTheme="majorBidi" w:hAnsiTheme="majorBidi" w:cstheme="majorBidi"/>
        </w:rPr>
        <w:t>72</w:t>
      </w:r>
      <w:r w:rsidRPr="001949EB">
        <w:rPr>
          <w:rFonts w:asciiTheme="majorBidi" w:hAnsiTheme="majorBidi" w:cstheme="majorBidi"/>
        </w:rPr>
        <w:t xml:space="preserve"> for 10 min. The PCR product of the first-round was amplified using </w:t>
      </w:r>
      <w:proofErr w:type="gramStart"/>
      <w:r w:rsidR="00C25886">
        <w:rPr>
          <w:rFonts w:asciiTheme="majorBidi" w:hAnsiTheme="majorBidi" w:cstheme="majorBidi"/>
        </w:rPr>
        <w:t>Round</w:t>
      </w:r>
      <w:proofErr w:type="gramEnd"/>
      <w:r w:rsidR="00C25886">
        <w:rPr>
          <w:rFonts w:asciiTheme="majorBidi" w:hAnsiTheme="majorBidi" w:cstheme="majorBidi"/>
        </w:rPr>
        <w:t xml:space="preserve"> 2</w:t>
      </w:r>
      <w:r w:rsidRPr="001949EB">
        <w:rPr>
          <w:rFonts w:asciiTheme="majorBidi" w:hAnsiTheme="majorBidi" w:cstheme="majorBidi"/>
        </w:rPr>
        <w:t xml:space="preserve"> primers under the same reaction conditions used for the first round. The final products were then visualized by electro</w:t>
      </w:r>
      <w:r w:rsidR="00865F04">
        <w:rPr>
          <w:rFonts w:asciiTheme="majorBidi" w:hAnsiTheme="majorBidi" w:cstheme="majorBidi"/>
        </w:rPr>
        <w:t>phoresis in a 1% agarose gel</w:t>
      </w:r>
      <w:r w:rsidRPr="001949EB">
        <w:rPr>
          <w:rFonts w:asciiTheme="majorBidi" w:hAnsiTheme="majorBidi" w:cstheme="majorBidi"/>
        </w:rPr>
        <w:t xml:space="preserve">. The products were then sequenced </w:t>
      </w:r>
      <w:proofErr w:type="spellStart"/>
      <w:r w:rsidRPr="001949EB">
        <w:rPr>
          <w:rFonts w:asciiTheme="majorBidi" w:hAnsiTheme="majorBidi" w:cstheme="majorBidi"/>
        </w:rPr>
        <w:t>bidirectionally</w:t>
      </w:r>
      <w:proofErr w:type="spellEnd"/>
      <w:r w:rsidRPr="001949EB">
        <w:rPr>
          <w:rFonts w:asciiTheme="majorBidi" w:hAnsiTheme="majorBidi" w:cstheme="majorBidi"/>
        </w:rPr>
        <w:t xml:space="preserve"> with inner primers using a </w:t>
      </w:r>
      <w:proofErr w:type="spellStart"/>
      <w:r w:rsidRPr="001949EB">
        <w:rPr>
          <w:rFonts w:asciiTheme="majorBidi" w:hAnsiTheme="majorBidi" w:cstheme="majorBidi"/>
        </w:rPr>
        <w:t>BigDye</w:t>
      </w:r>
      <w:proofErr w:type="spellEnd"/>
      <w:r w:rsidRPr="001949EB">
        <w:rPr>
          <w:rFonts w:asciiTheme="majorBidi" w:hAnsiTheme="majorBidi" w:cstheme="majorBidi"/>
        </w:rPr>
        <w:t xml:space="preserve"> terminator cycle sequencing kit (Applied Biosystems) and a 3,130 genetic analyzer (Applied Biosystems)</w:t>
      </w:r>
      <w:r w:rsidR="00865F04">
        <w:rPr>
          <w:rFonts w:asciiTheme="majorBidi" w:hAnsiTheme="majorBidi" w:cstheme="majorBidi"/>
        </w:rPr>
        <w:t>.</w:t>
      </w:r>
    </w:p>
    <w:p w14:paraId="110877C8" w14:textId="77777777" w:rsidR="00E03322" w:rsidRDefault="00E03322" w:rsidP="00865F04">
      <w:pPr>
        <w:spacing w:line="360" w:lineRule="auto"/>
        <w:rPr>
          <w:rFonts w:asciiTheme="majorBidi" w:hAnsiTheme="majorBidi" w:cstheme="majorBidi"/>
        </w:rPr>
      </w:pPr>
    </w:p>
    <w:p w14:paraId="0CE7E2F0" w14:textId="77777777" w:rsidR="00E03322" w:rsidRPr="001949EB" w:rsidRDefault="00E03322" w:rsidP="00865F04">
      <w:pPr>
        <w:spacing w:line="360" w:lineRule="auto"/>
        <w:rPr>
          <w:rFonts w:asciiTheme="majorBidi" w:hAnsiTheme="majorBidi" w:cstheme="majorBidi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865391" w14:paraId="46F209B3" w14:textId="77777777" w:rsidTr="00A66AE6">
        <w:tc>
          <w:tcPr>
            <w:tcW w:w="9350" w:type="dxa"/>
          </w:tcPr>
          <w:p w14:paraId="6F91C9A7" w14:textId="40957D66" w:rsidR="00865391" w:rsidRDefault="00E03322" w:rsidP="00E03322">
            <w:pPr>
              <w:spacing w:line="360" w:lineRule="auto"/>
              <w:jc w:val="center"/>
            </w:pPr>
            <w:r w:rsidRPr="00E03322">
              <w:rPr>
                <w:noProof/>
              </w:rPr>
              <w:drawing>
                <wp:inline distT="0" distB="0" distL="0" distR="0" wp14:anchorId="41F89748" wp14:editId="6AA60EFE">
                  <wp:extent cx="3434813" cy="1736122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6918" cy="17371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65391" w14:paraId="751042DF" w14:textId="77777777" w:rsidTr="00A66AE6">
        <w:tc>
          <w:tcPr>
            <w:tcW w:w="9350" w:type="dxa"/>
          </w:tcPr>
          <w:p w14:paraId="5C6C1DB8" w14:textId="77777777" w:rsidR="00865391" w:rsidRDefault="00865391" w:rsidP="00E0332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E03322">
              <w:rPr>
                <w:rFonts w:asciiTheme="majorBidi" w:hAnsiTheme="majorBidi" w:cstheme="majorBidi"/>
                <w:b/>
                <w:bCs/>
                <w:color w:val="000000" w:themeColor="text1"/>
              </w:rPr>
              <w:t>Figure1: Gel electrophoresis of nested-PCR products.</w:t>
            </w:r>
            <w:r w:rsidRPr="00BE6BE7">
              <w:rPr>
                <w:rFonts w:asciiTheme="majorBidi" w:hAnsiTheme="majorBidi" w:cstheme="majorBidi"/>
                <w:color w:val="000000" w:themeColor="text1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</w:rPr>
              <w:t>P</w:t>
            </w:r>
            <w:r w:rsidRPr="00BE6BE7">
              <w:rPr>
                <w:rFonts w:asciiTheme="majorBidi" w:hAnsiTheme="majorBidi" w:cstheme="majorBidi"/>
                <w:color w:val="000000" w:themeColor="text1"/>
              </w:rPr>
              <w:t xml:space="preserve"> show</w:t>
            </w:r>
            <w:r>
              <w:rPr>
                <w:rFonts w:asciiTheme="majorBidi" w:hAnsiTheme="majorBidi" w:cstheme="majorBidi"/>
                <w:color w:val="000000" w:themeColor="text1"/>
              </w:rPr>
              <w:t>s positive control</w:t>
            </w:r>
            <w:r w:rsidRPr="00BE6BE7">
              <w:rPr>
                <w:rFonts w:asciiTheme="majorBidi" w:hAnsiTheme="majorBidi" w:cstheme="majorBidi"/>
                <w:color w:val="000000" w:themeColor="text1"/>
              </w:rPr>
              <w:t xml:space="preserve">, </w:t>
            </w:r>
            <w:r>
              <w:rPr>
                <w:rFonts w:asciiTheme="majorBidi" w:hAnsiTheme="majorBidi" w:cstheme="majorBidi"/>
                <w:color w:val="000000" w:themeColor="text1"/>
              </w:rPr>
              <w:t>M</w:t>
            </w:r>
            <w:r w:rsidRPr="00BE6BE7">
              <w:rPr>
                <w:rFonts w:asciiTheme="majorBidi" w:hAnsiTheme="majorBidi" w:cstheme="majorBidi"/>
                <w:color w:val="000000" w:themeColor="text1"/>
              </w:rPr>
              <w:t xml:space="preserve"> show</w:t>
            </w:r>
            <w:r>
              <w:rPr>
                <w:rFonts w:asciiTheme="majorBidi" w:hAnsiTheme="majorBidi" w:cstheme="majorBidi"/>
                <w:color w:val="000000" w:themeColor="text1"/>
              </w:rPr>
              <w:t>s</w:t>
            </w:r>
            <w:r w:rsidRPr="00BE6BE7">
              <w:rPr>
                <w:rFonts w:asciiTheme="majorBidi" w:hAnsiTheme="majorBidi" w:cstheme="majorBidi"/>
                <w:color w:val="000000" w:themeColor="text1"/>
              </w:rPr>
              <w:t xml:space="preserve"> 100bp </w:t>
            </w:r>
            <w:r>
              <w:rPr>
                <w:rFonts w:asciiTheme="majorBidi" w:hAnsiTheme="majorBidi" w:cstheme="majorBidi"/>
                <w:color w:val="000000" w:themeColor="text1"/>
              </w:rPr>
              <w:t>Size Marker</w:t>
            </w:r>
            <w:r w:rsidR="00FC1DB5">
              <w:rPr>
                <w:rFonts w:asciiTheme="majorBidi" w:hAnsiTheme="majorBidi" w:cstheme="majorBidi"/>
                <w:color w:val="000000" w:themeColor="text1"/>
              </w:rPr>
              <w:t>,</w:t>
            </w:r>
            <w:r w:rsidR="00E03322">
              <w:rPr>
                <w:rFonts w:asciiTheme="majorBidi" w:hAnsiTheme="majorBidi" w:cstheme="majorBidi"/>
                <w:color w:val="000000" w:themeColor="text1"/>
              </w:rPr>
              <w:t xml:space="preserve"> Track 1,2 and 3 shows EBV infection among case and control groups</w:t>
            </w:r>
          </w:p>
          <w:p w14:paraId="3ABD0186" w14:textId="77777777" w:rsidR="006E7319" w:rsidRDefault="006E7319" w:rsidP="00E03322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</w:p>
          <w:p w14:paraId="4E6ADF95" w14:textId="6AB54A1A" w:rsidR="006E7319" w:rsidRDefault="00A86FBF" w:rsidP="006E7319">
            <w:pPr>
              <w:spacing w:line="360" w:lineRule="auto"/>
            </w:pPr>
            <w:r>
              <w:t>From 192 patients, 18 patients had EBV infection and excluded from study.</w:t>
            </w:r>
          </w:p>
        </w:tc>
      </w:tr>
    </w:tbl>
    <w:p w14:paraId="62F5C9E3" w14:textId="77777777" w:rsidR="001949EB" w:rsidRPr="001949EB" w:rsidRDefault="001949EB" w:rsidP="001949EB">
      <w:pPr>
        <w:spacing w:line="360" w:lineRule="auto"/>
      </w:pPr>
    </w:p>
    <w:p w14:paraId="4881023E" w14:textId="1ACE2213" w:rsidR="001949EB" w:rsidRDefault="001949EB" w:rsidP="008D15CC">
      <w:pPr>
        <w:jc w:val="center"/>
        <w:sectPr w:rsidR="001949EB" w:rsidSect="00891658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52B687D" w14:textId="7FF037CF" w:rsidR="001949EB" w:rsidRPr="006E7319" w:rsidRDefault="001949EB" w:rsidP="006E7319">
      <w:pPr>
        <w:spacing w:line="360" w:lineRule="auto"/>
        <w:rPr>
          <w:rFonts w:asciiTheme="majorBidi" w:hAnsiTheme="majorBidi" w:cstheme="majorBidi"/>
          <w:b/>
          <w:bCs/>
        </w:rPr>
      </w:pPr>
      <w:r w:rsidRPr="001949EB">
        <w:rPr>
          <w:rFonts w:asciiTheme="majorBidi" w:hAnsiTheme="majorBidi" w:cstheme="majorBidi"/>
          <w:b/>
          <w:bCs/>
        </w:rPr>
        <w:lastRenderedPageBreak/>
        <w:t>S2-</w:t>
      </w:r>
      <w:r>
        <w:rPr>
          <w:rFonts w:asciiTheme="majorBidi" w:hAnsiTheme="majorBidi" w:cstheme="majorBidi"/>
          <w:b/>
          <w:bCs/>
        </w:rPr>
        <w:t>2</w:t>
      </w:r>
      <w:r w:rsidRPr="001949EB">
        <w:rPr>
          <w:rFonts w:asciiTheme="majorBidi" w:hAnsiTheme="majorBidi" w:cstheme="majorBidi"/>
          <w:b/>
          <w:bCs/>
        </w:rPr>
        <w:t xml:space="preserve">- Nested-PCR test on </w:t>
      </w:r>
      <w:r>
        <w:rPr>
          <w:rFonts w:asciiTheme="majorBidi" w:hAnsiTheme="majorBidi" w:cstheme="majorBidi"/>
          <w:b/>
          <w:bCs/>
        </w:rPr>
        <w:t>HHV6</w:t>
      </w:r>
    </w:p>
    <w:p w14:paraId="63B12713" w14:textId="25D24D7E" w:rsidR="00063768" w:rsidRPr="00063768" w:rsidRDefault="00A66AE6" w:rsidP="00063768">
      <w:pPr>
        <w:spacing w:line="360" w:lineRule="auto"/>
        <w:rPr>
          <w:rFonts w:asciiTheme="majorBidi" w:hAnsiTheme="majorBidi" w:cstheme="majorBidi"/>
        </w:rPr>
      </w:pPr>
      <w:r w:rsidRPr="00063768">
        <w:rPr>
          <w:rFonts w:asciiTheme="majorBidi" w:hAnsiTheme="majorBidi" w:cstheme="majorBidi"/>
        </w:rPr>
        <w:t>The nested-PCR</w:t>
      </w:r>
      <w:r w:rsidR="002074D4">
        <w:rPr>
          <w:rFonts w:asciiTheme="majorBidi" w:hAnsiTheme="majorBidi" w:cstheme="majorBidi"/>
        </w:rPr>
        <w:t xml:space="preserve"> </w:t>
      </w:r>
      <w:r w:rsidRPr="00063768">
        <w:rPr>
          <w:rFonts w:asciiTheme="majorBidi" w:hAnsiTheme="majorBidi" w:cstheme="majorBidi"/>
        </w:rPr>
        <w:t>test perform</w:t>
      </w:r>
      <w:r w:rsidR="002074D4">
        <w:rPr>
          <w:rFonts w:asciiTheme="majorBidi" w:hAnsiTheme="majorBidi" w:cstheme="majorBidi"/>
        </w:rPr>
        <w:t>ed</w:t>
      </w:r>
      <w:r w:rsidRPr="00063768">
        <w:rPr>
          <w:rFonts w:asciiTheme="majorBidi" w:hAnsiTheme="majorBidi" w:cstheme="majorBidi"/>
        </w:rPr>
        <w:t xml:space="preserve"> to identify HHV6 infection using specific primers for </w:t>
      </w:r>
      <w:r w:rsidR="00063768" w:rsidRPr="00063768">
        <w:rPr>
          <w:rFonts w:asciiTheme="majorBidi" w:hAnsiTheme="majorBidi" w:cstheme="majorBidi"/>
        </w:rPr>
        <w:t>HHV-6B.</w:t>
      </w:r>
    </w:p>
    <w:p w14:paraId="3A705671" w14:textId="237BE412" w:rsidR="00063768" w:rsidRDefault="00063768" w:rsidP="00063768">
      <w:pPr>
        <w:spacing w:line="36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Outer primers: (Forward: 5’ -CGAAGCGGTAAAAACTGCGT-3’), (Reverse: 5’ -CGTAAGCTTGCACAATGCCA-3’)</w:t>
      </w:r>
    </w:p>
    <w:p w14:paraId="66702301" w14:textId="3E3D8C9B" w:rsidR="00063768" w:rsidRDefault="00063768" w:rsidP="00063768">
      <w:pPr>
        <w:spacing w:line="36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Inner primers: </w:t>
      </w:r>
      <w:r w:rsidR="00972006">
        <w:rPr>
          <w:rFonts w:asciiTheme="majorBidi" w:hAnsiTheme="majorBidi" w:cstheme="majorBidi"/>
        </w:rPr>
        <w:t xml:space="preserve">(Forward: </w:t>
      </w:r>
      <w:r>
        <w:rPr>
          <w:rFonts w:asciiTheme="majorBidi" w:hAnsiTheme="majorBidi" w:cstheme="majorBidi"/>
        </w:rPr>
        <w:t>5’ -ACAAGTTGCCATTTCGGGGA-3’</w:t>
      </w:r>
    </w:p>
    <w:p w14:paraId="2F4E476B" w14:textId="62E94268" w:rsidR="00A66AE6" w:rsidRDefault="00063768" w:rsidP="00972006">
      <w:pPr>
        <w:spacing w:line="36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</w:t>
      </w:r>
      <w:r w:rsidR="00972006">
        <w:rPr>
          <w:rFonts w:asciiTheme="majorBidi" w:hAnsiTheme="majorBidi" w:cstheme="majorBidi"/>
        </w:rPr>
        <w:t xml:space="preserve">Revers: </w:t>
      </w:r>
      <w:r>
        <w:rPr>
          <w:rFonts w:asciiTheme="majorBidi" w:hAnsiTheme="majorBidi" w:cstheme="majorBidi"/>
        </w:rPr>
        <w:t>5’ -CGCGGCATTATATCCCGTCT-3’</w:t>
      </w:r>
      <w:r w:rsidR="00972006">
        <w:rPr>
          <w:rFonts w:asciiTheme="majorBidi" w:hAnsiTheme="majorBidi" w:cstheme="majorBidi"/>
        </w:rPr>
        <w:t>)</w:t>
      </w:r>
    </w:p>
    <w:p w14:paraId="6916AD69" w14:textId="0B2BDED1" w:rsidR="00A66AE6" w:rsidRDefault="00A66AE6" w:rsidP="007D46B3">
      <w:pPr>
        <w:spacing w:line="360" w:lineRule="auto"/>
        <w:rPr>
          <w:rFonts w:asciiTheme="majorBidi" w:hAnsiTheme="majorBidi" w:cstheme="majorBidi"/>
        </w:rPr>
      </w:pPr>
      <w:r w:rsidRPr="001949EB">
        <w:rPr>
          <w:rFonts w:asciiTheme="majorBidi" w:hAnsiTheme="majorBidi" w:cstheme="majorBidi"/>
        </w:rPr>
        <w:t xml:space="preserve">The reaction started with 1 cycle of 95˚C for 5 min, followed by 35 cycles of 30 </w:t>
      </w:r>
      <w:proofErr w:type="gramStart"/>
      <w:r w:rsidRPr="001949EB">
        <w:rPr>
          <w:rFonts w:asciiTheme="majorBidi" w:hAnsiTheme="majorBidi" w:cstheme="majorBidi"/>
        </w:rPr>
        <w:t>sec</w:t>
      </w:r>
      <w:proofErr w:type="gramEnd"/>
      <w:r w:rsidRPr="001949EB">
        <w:rPr>
          <w:rFonts w:asciiTheme="majorBidi" w:hAnsiTheme="majorBidi" w:cstheme="majorBidi"/>
        </w:rPr>
        <w:t xml:space="preserve"> at 95˚C, 30 sec at 5</w:t>
      </w:r>
      <w:r w:rsidR="007D46B3">
        <w:rPr>
          <w:rFonts w:asciiTheme="majorBidi" w:hAnsiTheme="majorBidi" w:cstheme="majorBidi"/>
        </w:rPr>
        <w:t>6</w:t>
      </w:r>
      <w:r w:rsidRPr="001949EB">
        <w:rPr>
          <w:rFonts w:asciiTheme="majorBidi" w:hAnsiTheme="majorBidi" w:cstheme="majorBidi"/>
        </w:rPr>
        <w:t xml:space="preserve">˚C, 1 min and 30 sec at </w:t>
      </w:r>
      <w:r w:rsidR="007D46B3">
        <w:rPr>
          <w:rFonts w:asciiTheme="majorBidi" w:hAnsiTheme="majorBidi" w:cstheme="majorBidi"/>
        </w:rPr>
        <w:t>72</w:t>
      </w:r>
      <w:r w:rsidRPr="001949EB">
        <w:rPr>
          <w:rFonts w:asciiTheme="majorBidi" w:hAnsiTheme="majorBidi" w:cstheme="majorBidi"/>
        </w:rPr>
        <w:t xml:space="preserve">, and 1 cycle of </w:t>
      </w:r>
      <w:r w:rsidR="007D46B3">
        <w:rPr>
          <w:rFonts w:asciiTheme="majorBidi" w:hAnsiTheme="majorBidi" w:cstheme="majorBidi"/>
        </w:rPr>
        <w:t>72</w:t>
      </w:r>
      <w:r w:rsidRPr="001949EB">
        <w:rPr>
          <w:rFonts w:asciiTheme="majorBidi" w:hAnsiTheme="majorBidi" w:cstheme="majorBidi"/>
        </w:rPr>
        <w:t xml:space="preserve"> for 10 min. The PCR product of the first-round was amplified using </w:t>
      </w:r>
      <w:proofErr w:type="gramStart"/>
      <w:r>
        <w:rPr>
          <w:rFonts w:asciiTheme="majorBidi" w:hAnsiTheme="majorBidi" w:cstheme="majorBidi"/>
        </w:rPr>
        <w:t>Round</w:t>
      </w:r>
      <w:proofErr w:type="gramEnd"/>
      <w:r>
        <w:rPr>
          <w:rFonts w:asciiTheme="majorBidi" w:hAnsiTheme="majorBidi" w:cstheme="majorBidi"/>
        </w:rPr>
        <w:t xml:space="preserve"> 2</w:t>
      </w:r>
      <w:r w:rsidRPr="001949EB">
        <w:rPr>
          <w:rFonts w:asciiTheme="majorBidi" w:hAnsiTheme="majorBidi" w:cstheme="majorBidi"/>
        </w:rPr>
        <w:t xml:space="preserve"> primers under the same reaction conditions used for the first round. The final products were then visualized by electro</w:t>
      </w:r>
      <w:r>
        <w:rPr>
          <w:rFonts w:asciiTheme="majorBidi" w:hAnsiTheme="majorBidi" w:cstheme="majorBidi"/>
        </w:rPr>
        <w:t>phoresis in a 1% agarose gel</w:t>
      </w:r>
      <w:r w:rsidRPr="001949EB">
        <w:rPr>
          <w:rFonts w:asciiTheme="majorBidi" w:hAnsiTheme="majorBidi" w:cstheme="majorBidi"/>
        </w:rPr>
        <w:t xml:space="preserve">. The products were then sequenced </w:t>
      </w:r>
      <w:proofErr w:type="spellStart"/>
      <w:r w:rsidRPr="001949EB">
        <w:rPr>
          <w:rFonts w:asciiTheme="majorBidi" w:hAnsiTheme="majorBidi" w:cstheme="majorBidi"/>
        </w:rPr>
        <w:t>bidirectionally</w:t>
      </w:r>
      <w:proofErr w:type="spellEnd"/>
      <w:r w:rsidRPr="001949EB">
        <w:rPr>
          <w:rFonts w:asciiTheme="majorBidi" w:hAnsiTheme="majorBidi" w:cstheme="majorBidi"/>
        </w:rPr>
        <w:t xml:space="preserve"> with inner primers using a </w:t>
      </w:r>
      <w:proofErr w:type="spellStart"/>
      <w:r w:rsidRPr="001949EB">
        <w:rPr>
          <w:rFonts w:asciiTheme="majorBidi" w:hAnsiTheme="majorBidi" w:cstheme="majorBidi"/>
        </w:rPr>
        <w:t>BigDye</w:t>
      </w:r>
      <w:proofErr w:type="spellEnd"/>
      <w:r w:rsidRPr="001949EB">
        <w:rPr>
          <w:rFonts w:asciiTheme="majorBidi" w:hAnsiTheme="majorBidi" w:cstheme="majorBidi"/>
        </w:rPr>
        <w:t xml:space="preserve"> terminator cycle sequencing kit (Applied Biosystems) and a 3,130 genetic analyzer (Applied Biosystems)</w:t>
      </w:r>
      <w:r>
        <w:rPr>
          <w:rFonts w:asciiTheme="majorBidi" w:hAnsiTheme="majorBidi" w:cstheme="majorBidi"/>
        </w:rPr>
        <w:t>.</w:t>
      </w:r>
    </w:p>
    <w:p w14:paraId="157E74A9" w14:textId="77777777" w:rsidR="00A66AE6" w:rsidRDefault="00A66AE6"/>
    <w:p w14:paraId="5381A2C1" w14:textId="63937656" w:rsidR="00063768" w:rsidRDefault="00E3498E" w:rsidP="00E3498E">
      <w:pPr>
        <w:jc w:val="center"/>
      </w:pPr>
      <w:r w:rsidRPr="00E3498E">
        <w:rPr>
          <w:noProof/>
        </w:rPr>
        <w:drawing>
          <wp:inline distT="0" distB="0" distL="0" distR="0" wp14:anchorId="2B2FA3C6" wp14:editId="7DF97E2B">
            <wp:extent cx="2680335" cy="1863348"/>
            <wp:effectExtent l="0" t="0" r="1206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87695" cy="1868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A242AC" w14:paraId="32234122" w14:textId="77777777" w:rsidTr="000C240B">
        <w:tc>
          <w:tcPr>
            <w:tcW w:w="9350" w:type="dxa"/>
          </w:tcPr>
          <w:p w14:paraId="33D5F4F6" w14:textId="47155DA1" w:rsidR="00A242AC" w:rsidRDefault="00A242AC" w:rsidP="000C240B">
            <w:pPr>
              <w:spacing w:line="360" w:lineRule="auto"/>
              <w:jc w:val="center"/>
            </w:pPr>
          </w:p>
        </w:tc>
      </w:tr>
      <w:tr w:rsidR="00A242AC" w14:paraId="7BC05888" w14:textId="77777777" w:rsidTr="000C240B">
        <w:tc>
          <w:tcPr>
            <w:tcW w:w="9350" w:type="dxa"/>
          </w:tcPr>
          <w:p w14:paraId="0D867EEF" w14:textId="4D32EF74" w:rsidR="00A242AC" w:rsidRDefault="00A242AC" w:rsidP="00E3498E">
            <w:pPr>
              <w:spacing w:line="360" w:lineRule="auto"/>
              <w:jc w:val="center"/>
            </w:pPr>
            <w:r w:rsidRPr="00E03322">
              <w:rPr>
                <w:rFonts w:asciiTheme="majorBidi" w:hAnsiTheme="majorBidi" w:cstheme="majorBidi"/>
                <w:b/>
                <w:bCs/>
                <w:color w:val="000000" w:themeColor="text1"/>
              </w:rPr>
              <w:t>Figure</w:t>
            </w:r>
            <w:r w:rsidR="00492429">
              <w:rPr>
                <w:rFonts w:asciiTheme="majorBidi" w:hAnsiTheme="majorBidi" w:cstheme="majorBidi"/>
                <w:b/>
                <w:bCs/>
                <w:color w:val="000000" w:themeColor="text1"/>
              </w:rPr>
              <w:t>2</w:t>
            </w:r>
            <w:r w:rsidRPr="00E03322">
              <w:rPr>
                <w:rFonts w:asciiTheme="majorBidi" w:hAnsiTheme="majorBidi" w:cstheme="majorBidi"/>
                <w:b/>
                <w:bCs/>
                <w:color w:val="000000" w:themeColor="text1"/>
              </w:rPr>
              <w:t>: Gel electrophoresis of nested-PCR products.</w:t>
            </w:r>
            <w:r w:rsidRPr="00BE6BE7">
              <w:rPr>
                <w:rFonts w:asciiTheme="majorBidi" w:hAnsiTheme="majorBidi" w:cstheme="majorBidi"/>
                <w:color w:val="000000" w:themeColor="text1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</w:rPr>
              <w:t>P</w:t>
            </w:r>
            <w:r w:rsidRPr="00BE6BE7">
              <w:rPr>
                <w:rFonts w:asciiTheme="majorBidi" w:hAnsiTheme="majorBidi" w:cstheme="majorBidi"/>
                <w:color w:val="000000" w:themeColor="text1"/>
              </w:rPr>
              <w:t xml:space="preserve"> show</w:t>
            </w:r>
            <w:r>
              <w:rPr>
                <w:rFonts w:asciiTheme="majorBidi" w:hAnsiTheme="majorBidi" w:cstheme="majorBidi"/>
                <w:color w:val="000000" w:themeColor="text1"/>
              </w:rPr>
              <w:t>s positive control</w:t>
            </w:r>
            <w:r w:rsidRPr="00BE6BE7">
              <w:rPr>
                <w:rFonts w:asciiTheme="majorBidi" w:hAnsiTheme="majorBidi" w:cstheme="majorBidi"/>
                <w:color w:val="000000" w:themeColor="text1"/>
              </w:rPr>
              <w:t xml:space="preserve">, </w:t>
            </w:r>
            <w:r>
              <w:rPr>
                <w:rFonts w:asciiTheme="majorBidi" w:hAnsiTheme="majorBidi" w:cstheme="majorBidi"/>
                <w:color w:val="000000" w:themeColor="text1"/>
              </w:rPr>
              <w:t>M</w:t>
            </w:r>
            <w:r w:rsidRPr="00BE6BE7">
              <w:rPr>
                <w:rFonts w:asciiTheme="majorBidi" w:hAnsiTheme="majorBidi" w:cstheme="majorBidi"/>
                <w:color w:val="000000" w:themeColor="text1"/>
              </w:rPr>
              <w:t xml:space="preserve"> show</w:t>
            </w:r>
            <w:r>
              <w:rPr>
                <w:rFonts w:asciiTheme="majorBidi" w:hAnsiTheme="majorBidi" w:cstheme="majorBidi"/>
                <w:color w:val="000000" w:themeColor="text1"/>
              </w:rPr>
              <w:t>s</w:t>
            </w:r>
            <w:r w:rsidRPr="00BE6BE7">
              <w:rPr>
                <w:rFonts w:asciiTheme="majorBidi" w:hAnsiTheme="majorBidi" w:cstheme="majorBidi"/>
                <w:color w:val="000000" w:themeColor="text1"/>
              </w:rPr>
              <w:t xml:space="preserve"> 100bp </w:t>
            </w:r>
            <w:r>
              <w:rPr>
                <w:rFonts w:asciiTheme="majorBidi" w:hAnsiTheme="majorBidi" w:cstheme="majorBidi"/>
                <w:color w:val="000000" w:themeColor="text1"/>
              </w:rPr>
              <w:t xml:space="preserve">Size Marker, </w:t>
            </w:r>
            <w:r w:rsidR="00E3498E">
              <w:rPr>
                <w:rFonts w:asciiTheme="majorBidi" w:hAnsiTheme="majorBidi" w:cstheme="majorBidi"/>
                <w:color w:val="000000" w:themeColor="text1"/>
              </w:rPr>
              <w:t>No</w:t>
            </w:r>
            <w:r>
              <w:rPr>
                <w:rFonts w:asciiTheme="majorBidi" w:hAnsiTheme="majorBidi" w:cstheme="majorBidi"/>
                <w:color w:val="000000" w:themeColor="text1"/>
              </w:rPr>
              <w:t xml:space="preserve"> HHV6 infection </w:t>
            </w:r>
            <w:r w:rsidR="00E3498E">
              <w:rPr>
                <w:rFonts w:asciiTheme="majorBidi" w:hAnsiTheme="majorBidi" w:cstheme="majorBidi"/>
                <w:color w:val="000000" w:themeColor="text1"/>
              </w:rPr>
              <w:t xml:space="preserve">observed </w:t>
            </w:r>
            <w:r>
              <w:rPr>
                <w:rFonts w:asciiTheme="majorBidi" w:hAnsiTheme="majorBidi" w:cstheme="majorBidi"/>
                <w:color w:val="000000" w:themeColor="text1"/>
              </w:rPr>
              <w:t>among case and control groups</w:t>
            </w:r>
            <w:r w:rsidR="00E3498E">
              <w:rPr>
                <w:rFonts w:asciiTheme="majorBidi" w:hAnsiTheme="majorBidi" w:cstheme="majorBidi"/>
                <w:color w:val="000000" w:themeColor="text1"/>
              </w:rPr>
              <w:t>.</w:t>
            </w:r>
          </w:p>
        </w:tc>
      </w:tr>
    </w:tbl>
    <w:p w14:paraId="50547BB4" w14:textId="77777777" w:rsidR="007E4F27" w:rsidRDefault="007E4F27">
      <w:pPr>
        <w:sectPr w:rsidR="007E4F27" w:rsidSect="00891658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8664E18" w14:textId="3784FDEF" w:rsidR="001949EB" w:rsidRDefault="001949EB" w:rsidP="001949EB">
      <w:pPr>
        <w:spacing w:line="360" w:lineRule="auto"/>
        <w:rPr>
          <w:rFonts w:asciiTheme="majorBidi" w:hAnsiTheme="majorBidi" w:cstheme="majorBidi"/>
          <w:b/>
          <w:bCs/>
        </w:rPr>
      </w:pPr>
      <w:r w:rsidRPr="001949EB">
        <w:rPr>
          <w:rFonts w:asciiTheme="majorBidi" w:hAnsiTheme="majorBidi" w:cstheme="majorBidi"/>
          <w:b/>
          <w:bCs/>
        </w:rPr>
        <w:t>S2-</w:t>
      </w:r>
      <w:r>
        <w:rPr>
          <w:rFonts w:asciiTheme="majorBidi" w:hAnsiTheme="majorBidi" w:cstheme="majorBidi"/>
          <w:b/>
          <w:bCs/>
        </w:rPr>
        <w:t>3</w:t>
      </w:r>
      <w:r w:rsidRPr="001949EB">
        <w:rPr>
          <w:rFonts w:asciiTheme="majorBidi" w:hAnsiTheme="majorBidi" w:cstheme="majorBidi"/>
          <w:b/>
          <w:bCs/>
        </w:rPr>
        <w:t xml:space="preserve">- Nested-PCR test on </w:t>
      </w:r>
      <w:r>
        <w:rPr>
          <w:rFonts w:asciiTheme="majorBidi" w:hAnsiTheme="majorBidi" w:cstheme="majorBidi"/>
          <w:b/>
          <w:bCs/>
        </w:rPr>
        <w:t>BKV</w:t>
      </w:r>
    </w:p>
    <w:p w14:paraId="0E7545EB" w14:textId="3DD17DBA" w:rsidR="00795C8F" w:rsidRDefault="0036222D" w:rsidP="00795C8F">
      <w:pPr>
        <w:spacing w:line="360" w:lineRule="auto"/>
        <w:rPr>
          <w:rFonts w:asciiTheme="majorBidi" w:hAnsiTheme="majorBidi" w:cstheme="majorBidi"/>
        </w:rPr>
      </w:pPr>
      <w:r w:rsidRPr="0036222D">
        <w:rPr>
          <w:rFonts w:asciiTheme="majorBidi" w:hAnsiTheme="majorBidi" w:cstheme="majorBidi"/>
        </w:rPr>
        <w:t>The outer primer pair 5'AAGTCTTTAGGGTCTTCTAC3' and 5'GTGCCAACC- TATGGAACAGA3' was used to generate a common 176-bp am</w:t>
      </w:r>
      <w:r w:rsidR="00795C8F" w:rsidRPr="00795C8F">
        <w:rPr>
          <w:rFonts w:asciiTheme="majorBidi" w:hAnsiTheme="majorBidi" w:cstheme="majorBidi"/>
        </w:rPr>
        <w:t>plicon. For specific detection, we used the common primer 5'AAG- TCTTTAGGGTCTTCTAC3' with 5'GAGTCCTGGTGGAGTT- CC3' to obtain the 14</w:t>
      </w:r>
      <w:r w:rsidR="00795C8F">
        <w:rPr>
          <w:rFonts w:asciiTheme="majorBidi" w:hAnsiTheme="majorBidi" w:cstheme="majorBidi"/>
        </w:rPr>
        <w:t>9-bp BK virus–specific fragment.</w:t>
      </w:r>
    </w:p>
    <w:p w14:paraId="4DED178E" w14:textId="68F5B9FE" w:rsidR="007D46B3" w:rsidRDefault="007D46B3" w:rsidP="007D46B3">
      <w:pPr>
        <w:spacing w:line="360" w:lineRule="auto"/>
        <w:rPr>
          <w:rFonts w:asciiTheme="majorBidi" w:hAnsiTheme="majorBidi" w:cstheme="majorBidi"/>
        </w:rPr>
      </w:pPr>
      <w:r w:rsidRPr="001949EB">
        <w:rPr>
          <w:rFonts w:asciiTheme="majorBidi" w:hAnsiTheme="majorBidi" w:cstheme="majorBidi"/>
        </w:rPr>
        <w:t xml:space="preserve">The reaction started with 1 cycle of 95˚C for 5 min, followed by 35 cycles of 30 </w:t>
      </w:r>
      <w:proofErr w:type="gramStart"/>
      <w:r w:rsidRPr="001949EB">
        <w:rPr>
          <w:rFonts w:asciiTheme="majorBidi" w:hAnsiTheme="majorBidi" w:cstheme="majorBidi"/>
        </w:rPr>
        <w:t>sec</w:t>
      </w:r>
      <w:proofErr w:type="gramEnd"/>
      <w:r w:rsidRPr="001949EB">
        <w:rPr>
          <w:rFonts w:asciiTheme="majorBidi" w:hAnsiTheme="majorBidi" w:cstheme="majorBidi"/>
        </w:rPr>
        <w:t xml:space="preserve"> at 95˚C, 30 sec at 5</w:t>
      </w:r>
      <w:r>
        <w:rPr>
          <w:rFonts w:asciiTheme="majorBidi" w:hAnsiTheme="majorBidi" w:cstheme="majorBidi"/>
        </w:rPr>
        <w:t>5</w:t>
      </w:r>
      <w:r w:rsidRPr="001949EB">
        <w:rPr>
          <w:rFonts w:asciiTheme="majorBidi" w:hAnsiTheme="majorBidi" w:cstheme="majorBidi"/>
        </w:rPr>
        <w:t xml:space="preserve">˚C, 1 min and 30 sec at </w:t>
      </w:r>
      <w:r>
        <w:rPr>
          <w:rFonts w:asciiTheme="majorBidi" w:hAnsiTheme="majorBidi" w:cstheme="majorBidi"/>
        </w:rPr>
        <w:t>72</w:t>
      </w:r>
      <w:r w:rsidRPr="001949EB">
        <w:rPr>
          <w:rFonts w:asciiTheme="majorBidi" w:hAnsiTheme="majorBidi" w:cstheme="majorBidi"/>
        </w:rPr>
        <w:t xml:space="preserve">, and 1 cycle of </w:t>
      </w:r>
      <w:r>
        <w:rPr>
          <w:rFonts w:asciiTheme="majorBidi" w:hAnsiTheme="majorBidi" w:cstheme="majorBidi"/>
        </w:rPr>
        <w:t>72</w:t>
      </w:r>
      <w:r w:rsidRPr="001949EB">
        <w:rPr>
          <w:rFonts w:asciiTheme="majorBidi" w:hAnsiTheme="majorBidi" w:cstheme="majorBidi"/>
        </w:rPr>
        <w:t xml:space="preserve"> for 10 min. The PCR product of the first-round was amplified using </w:t>
      </w:r>
      <w:proofErr w:type="gramStart"/>
      <w:r>
        <w:rPr>
          <w:rFonts w:asciiTheme="majorBidi" w:hAnsiTheme="majorBidi" w:cstheme="majorBidi"/>
        </w:rPr>
        <w:t>Round</w:t>
      </w:r>
      <w:proofErr w:type="gramEnd"/>
      <w:r>
        <w:rPr>
          <w:rFonts w:asciiTheme="majorBidi" w:hAnsiTheme="majorBidi" w:cstheme="majorBidi"/>
        </w:rPr>
        <w:t xml:space="preserve"> 2</w:t>
      </w:r>
      <w:r w:rsidRPr="001949EB">
        <w:rPr>
          <w:rFonts w:asciiTheme="majorBidi" w:hAnsiTheme="majorBidi" w:cstheme="majorBidi"/>
        </w:rPr>
        <w:t xml:space="preserve"> primers under the same reaction conditions used for the first round. The final products were then visualized by electro</w:t>
      </w:r>
      <w:r>
        <w:rPr>
          <w:rFonts w:asciiTheme="majorBidi" w:hAnsiTheme="majorBidi" w:cstheme="majorBidi"/>
        </w:rPr>
        <w:t>phoresis in a 1% agarose gel</w:t>
      </w:r>
      <w:r w:rsidRPr="001949EB">
        <w:rPr>
          <w:rFonts w:asciiTheme="majorBidi" w:hAnsiTheme="majorBidi" w:cstheme="majorBidi"/>
        </w:rPr>
        <w:t xml:space="preserve">. The products were then sequenced </w:t>
      </w:r>
      <w:proofErr w:type="spellStart"/>
      <w:r w:rsidRPr="001949EB">
        <w:rPr>
          <w:rFonts w:asciiTheme="majorBidi" w:hAnsiTheme="majorBidi" w:cstheme="majorBidi"/>
        </w:rPr>
        <w:t>bidirectionally</w:t>
      </w:r>
      <w:proofErr w:type="spellEnd"/>
      <w:r w:rsidRPr="001949EB">
        <w:rPr>
          <w:rFonts w:asciiTheme="majorBidi" w:hAnsiTheme="majorBidi" w:cstheme="majorBidi"/>
        </w:rPr>
        <w:t xml:space="preserve"> with inner primers using a </w:t>
      </w:r>
      <w:proofErr w:type="spellStart"/>
      <w:r w:rsidRPr="001949EB">
        <w:rPr>
          <w:rFonts w:asciiTheme="majorBidi" w:hAnsiTheme="majorBidi" w:cstheme="majorBidi"/>
        </w:rPr>
        <w:t>BigDye</w:t>
      </w:r>
      <w:proofErr w:type="spellEnd"/>
      <w:r w:rsidRPr="001949EB">
        <w:rPr>
          <w:rFonts w:asciiTheme="majorBidi" w:hAnsiTheme="majorBidi" w:cstheme="majorBidi"/>
        </w:rPr>
        <w:t xml:space="preserve"> terminator cycle sequencing kit (Applied Biosystems) and a 3,130 genetic analyzer (Applied Biosystems)</w:t>
      </w:r>
      <w:r>
        <w:rPr>
          <w:rFonts w:asciiTheme="majorBidi" w:hAnsiTheme="majorBidi" w:cstheme="majorBidi"/>
        </w:rPr>
        <w:t>.</w:t>
      </w:r>
    </w:p>
    <w:p w14:paraId="34C32790" w14:textId="77777777" w:rsidR="00795C8F" w:rsidRPr="00795C8F" w:rsidRDefault="00795C8F" w:rsidP="00795C8F">
      <w:pPr>
        <w:spacing w:line="360" w:lineRule="auto"/>
        <w:rPr>
          <w:rFonts w:asciiTheme="majorBidi" w:hAnsiTheme="majorBidi" w:cstheme="majorBidi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7D46B3" w14:paraId="236C68FA" w14:textId="77777777" w:rsidTr="00492429">
        <w:tc>
          <w:tcPr>
            <w:tcW w:w="9350" w:type="dxa"/>
          </w:tcPr>
          <w:p w14:paraId="3C7D066D" w14:textId="705DD7A4" w:rsidR="007D46B3" w:rsidRDefault="007D46B3" w:rsidP="007D46B3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0A1580">
              <w:rPr>
                <w:noProof/>
              </w:rPr>
              <w:drawing>
                <wp:inline distT="0" distB="0" distL="0" distR="0" wp14:anchorId="5B2694EE" wp14:editId="722C6405">
                  <wp:extent cx="2451735" cy="2305363"/>
                  <wp:effectExtent l="0" t="0" r="12065" b="635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7228" cy="23199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46B3" w14:paraId="63D14CF9" w14:textId="77777777" w:rsidTr="00492429">
        <w:tc>
          <w:tcPr>
            <w:tcW w:w="9350" w:type="dxa"/>
          </w:tcPr>
          <w:p w14:paraId="11040F72" w14:textId="19162EF9" w:rsidR="007D46B3" w:rsidRDefault="00492429" w:rsidP="00492429">
            <w:pPr>
              <w:spacing w:line="360" w:lineRule="auto"/>
              <w:rPr>
                <w:rFonts w:asciiTheme="majorBidi" w:hAnsiTheme="majorBidi" w:cstheme="majorBidi"/>
              </w:rPr>
            </w:pPr>
            <w:r w:rsidRPr="00E03322">
              <w:rPr>
                <w:rFonts w:asciiTheme="majorBidi" w:hAnsiTheme="majorBidi" w:cstheme="majorBidi"/>
                <w:b/>
                <w:bCs/>
                <w:color w:val="000000" w:themeColor="text1"/>
              </w:rPr>
              <w:t>Figure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</w:rPr>
              <w:t>3</w:t>
            </w:r>
            <w:r w:rsidRPr="00E03322">
              <w:rPr>
                <w:rFonts w:asciiTheme="majorBidi" w:hAnsiTheme="majorBidi" w:cstheme="majorBidi"/>
                <w:b/>
                <w:bCs/>
                <w:color w:val="000000" w:themeColor="text1"/>
              </w:rPr>
              <w:t>: Gel electrophoresis of nested-PCR products.</w:t>
            </w:r>
            <w:r w:rsidRPr="00BE6BE7">
              <w:rPr>
                <w:rFonts w:asciiTheme="majorBidi" w:hAnsiTheme="majorBidi" w:cstheme="majorBidi"/>
                <w:color w:val="000000" w:themeColor="text1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</w:rPr>
              <w:t>P</w:t>
            </w:r>
            <w:r w:rsidRPr="00BE6BE7">
              <w:rPr>
                <w:rFonts w:asciiTheme="majorBidi" w:hAnsiTheme="majorBidi" w:cstheme="majorBidi"/>
                <w:color w:val="000000" w:themeColor="text1"/>
              </w:rPr>
              <w:t xml:space="preserve"> show</w:t>
            </w:r>
            <w:r>
              <w:rPr>
                <w:rFonts w:asciiTheme="majorBidi" w:hAnsiTheme="majorBidi" w:cstheme="majorBidi"/>
                <w:color w:val="000000" w:themeColor="text1"/>
              </w:rPr>
              <w:t>s positive control</w:t>
            </w:r>
            <w:r w:rsidRPr="00BE6BE7">
              <w:rPr>
                <w:rFonts w:asciiTheme="majorBidi" w:hAnsiTheme="majorBidi" w:cstheme="majorBidi"/>
                <w:color w:val="000000" w:themeColor="text1"/>
              </w:rPr>
              <w:t xml:space="preserve">, </w:t>
            </w:r>
            <w:r>
              <w:rPr>
                <w:rFonts w:asciiTheme="majorBidi" w:hAnsiTheme="majorBidi" w:cstheme="majorBidi"/>
                <w:color w:val="000000" w:themeColor="text1"/>
              </w:rPr>
              <w:t>M</w:t>
            </w:r>
            <w:r w:rsidRPr="00BE6BE7">
              <w:rPr>
                <w:rFonts w:asciiTheme="majorBidi" w:hAnsiTheme="majorBidi" w:cstheme="majorBidi"/>
                <w:color w:val="000000" w:themeColor="text1"/>
              </w:rPr>
              <w:t xml:space="preserve"> show</w:t>
            </w:r>
            <w:r>
              <w:rPr>
                <w:rFonts w:asciiTheme="majorBidi" w:hAnsiTheme="majorBidi" w:cstheme="majorBidi"/>
                <w:color w:val="000000" w:themeColor="text1"/>
              </w:rPr>
              <w:t>s</w:t>
            </w:r>
            <w:r w:rsidRPr="00BE6BE7">
              <w:rPr>
                <w:rFonts w:asciiTheme="majorBidi" w:hAnsiTheme="majorBidi" w:cstheme="majorBidi"/>
                <w:color w:val="000000" w:themeColor="text1"/>
              </w:rPr>
              <w:t xml:space="preserve"> 100bp </w:t>
            </w:r>
            <w:r>
              <w:rPr>
                <w:rFonts w:asciiTheme="majorBidi" w:hAnsiTheme="majorBidi" w:cstheme="majorBidi"/>
                <w:color w:val="000000" w:themeColor="text1"/>
              </w:rPr>
              <w:t>Size Marker, Track 60,61 and 3 shows BKV infection among control patients.</w:t>
            </w:r>
          </w:p>
        </w:tc>
      </w:tr>
    </w:tbl>
    <w:p w14:paraId="07DA2B67" w14:textId="77777777" w:rsidR="0036222D" w:rsidRPr="0036222D" w:rsidRDefault="0036222D" w:rsidP="0036222D">
      <w:pPr>
        <w:spacing w:line="360" w:lineRule="auto"/>
        <w:rPr>
          <w:rFonts w:asciiTheme="majorBidi" w:hAnsiTheme="majorBidi" w:cstheme="majorBidi"/>
        </w:rPr>
      </w:pPr>
    </w:p>
    <w:p w14:paraId="7B09FEF5" w14:textId="61D1C3C9" w:rsidR="000A1580" w:rsidRDefault="00A86FBF" w:rsidP="001949EB">
      <w:pPr>
        <w:spacing w:line="36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We detected 19 positive BK virus among candidate patients in the control group and excluded them.</w:t>
      </w:r>
      <w:bookmarkStart w:id="0" w:name="_GoBack"/>
      <w:bookmarkEnd w:id="0"/>
    </w:p>
    <w:p w14:paraId="107B5132" w14:textId="77777777" w:rsidR="00A242AC" w:rsidRDefault="00A242AC" w:rsidP="001949EB">
      <w:pPr>
        <w:spacing w:line="360" w:lineRule="auto"/>
        <w:rPr>
          <w:rFonts w:asciiTheme="majorBidi" w:hAnsiTheme="majorBidi" w:cstheme="majorBidi"/>
        </w:rPr>
      </w:pPr>
    </w:p>
    <w:p w14:paraId="65E6ACCD" w14:textId="77777777" w:rsidR="00A242AC" w:rsidRDefault="00A242AC" w:rsidP="001949EB">
      <w:pPr>
        <w:spacing w:line="360" w:lineRule="auto"/>
        <w:rPr>
          <w:rFonts w:asciiTheme="majorBidi" w:hAnsiTheme="majorBidi" w:cstheme="majorBidi"/>
        </w:rPr>
      </w:pPr>
    </w:p>
    <w:p w14:paraId="5D8012CE" w14:textId="77777777" w:rsidR="00A242AC" w:rsidRPr="000A1580" w:rsidRDefault="00A242AC" w:rsidP="001949EB">
      <w:pPr>
        <w:spacing w:line="360" w:lineRule="auto"/>
        <w:rPr>
          <w:rFonts w:asciiTheme="majorBidi" w:hAnsiTheme="majorBidi" w:cstheme="majorBidi"/>
        </w:rPr>
      </w:pPr>
    </w:p>
    <w:p w14:paraId="59814F17" w14:textId="03019FD8" w:rsidR="00E16F73" w:rsidRDefault="00A86FBF" w:rsidP="00A242AC">
      <w:pPr>
        <w:jc w:val="center"/>
      </w:pPr>
    </w:p>
    <w:sectPr w:rsidR="00E16F73" w:rsidSect="008916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3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743B"/>
    <w:rsid w:val="00011257"/>
    <w:rsid w:val="00011D9F"/>
    <w:rsid w:val="00012786"/>
    <w:rsid w:val="000173B4"/>
    <w:rsid w:val="00022C4F"/>
    <w:rsid w:val="00024CC5"/>
    <w:rsid w:val="00036353"/>
    <w:rsid w:val="000464B3"/>
    <w:rsid w:val="00062D8F"/>
    <w:rsid w:val="00063768"/>
    <w:rsid w:val="00067C98"/>
    <w:rsid w:val="000730C3"/>
    <w:rsid w:val="00074FBE"/>
    <w:rsid w:val="0007501A"/>
    <w:rsid w:val="000765E4"/>
    <w:rsid w:val="0007767B"/>
    <w:rsid w:val="00083EDF"/>
    <w:rsid w:val="0008518D"/>
    <w:rsid w:val="00090F7A"/>
    <w:rsid w:val="00094DC9"/>
    <w:rsid w:val="00096543"/>
    <w:rsid w:val="000A1580"/>
    <w:rsid w:val="000A1B30"/>
    <w:rsid w:val="000A2DA0"/>
    <w:rsid w:val="000A55A7"/>
    <w:rsid w:val="000B77EA"/>
    <w:rsid w:val="000C5301"/>
    <w:rsid w:val="000C5C5A"/>
    <w:rsid w:val="000C7EDB"/>
    <w:rsid w:val="000D0E9B"/>
    <w:rsid w:val="000F3EFD"/>
    <w:rsid w:val="000F459B"/>
    <w:rsid w:val="000F5C56"/>
    <w:rsid w:val="000F7289"/>
    <w:rsid w:val="00101B9B"/>
    <w:rsid w:val="001041F2"/>
    <w:rsid w:val="00110E7C"/>
    <w:rsid w:val="00111C55"/>
    <w:rsid w:val="0011626D"/>
    <w:rsid w:val="0012673F"/>
    <w:rsid w:val="001336CD"/>
    <w:rsid w:val="00136DE2"/>
    <w:rsid w:val="001476A7"/>
    <w:rsid w:val="0015680C"/>
    <w:rsid w:val="00156D85"/>
    <w:rsid w:val="00160F1D"/>
    <w:rsid w:val="001648D4"/>
    <w:rsid w:val="00171DB0"/>
    <w:rsid w:val="00175830"/>
    <w:rsid w:val="00180F4F"/>
    <w:rsid w:val="00184DE1"/>
    <w:rsid w:val="00186304"/>
    <w:rsid w:val="00190355"/>
    <w:rsid w:val="00190C0D"/>
    <w:rsid w:val="001949EB"/>
    <w:rsid w:val="0019781E"/>
    <w:rsid w:val="0019794E"/>
    <w:rsid w:val="001B0973"/>
    <w:rsid w:val="001B1541"/>
    <w:rsid w:val="001B22E8"/>
    <w:rsid w:val="001C2B5B"/>
    <w:rsid w:val="001C30EF"/>
    <w:rsid w:val="001C38F4"/>
    <w:rsid w:val="001D2D1A"/>
    <w:rsid w:val="001E2B77"/>
    <w:rsid w:val="001F1635"/>
    <w:rsid w:val="001F35ED"/>
    <w:rsid w:val="00205E3B"/>
    <w:rsid w:val="002074D4"/>
    <w:rsid w:val="0020779A"/>
    <w:rsid w:val="00210BC1"/>
    <w:rsid w:val="00217AB0"/>
    <w:rsid w:val="00237F98"/>
    <w:rsid w:val="00244AD6"/>
    <w:rsid w:val="00250A63"/>
    <w:rsid w:val="00256A8D"/>
    <w:rsid w:val="00257F07"/>
    <w:rsid w:val="002627B4"/>
    <w:rsid w:val="002662E4"/>
    <w:rsid w:val="002667BD"/>
    <w:rsid w:val="00273F14"/>
    <w:rsid w:val="002759F5"/>
    <w:rsid w:val="00283F92"/>
    <w:rsid w:val="00286E7C"/>
    <w:rsid w:val="0029030B"/>
    <w:rsid w:val="00290EBD"/>
    <w:rsid w:val="00296881"/>
    <w:rsid w:val="002A4513"/>
    <w:rsid w:val="002A5CD5"/>
    <w:rsid w:val="002A6660"/>
    <w:rsid w:val="002C191C"/>
    <w:rsid w:val="002C249F"/>
    <w:rsid w:val="002D21DF"/>
    <w:rsid w:val="002D3EA5"/>
    <w:rsid w:val="002D6182"/>
    <w:rsid w:val="002F5322"/>
    <w:rsid w:val="002F7F34"/>
    <w:rsid w:val="003013F7"/>
    <w:rsid w:val="003103D6"/>
    <w:rsid w:val="00310436"/>
    <w:rsid w:val="0032015F"/>
    <w:rsid w:val="00340CFE"/>
    <w:rsid w:val="003447C8"/>
    <w:rsid w:val="00357308"/>
    <w:rsid w:val="0036066F"/>
    <w:rsid w:val="0036222D"/>
    <w:rsid w:val="00367E6F"/>
    <w:rsid w:val="00373AAC"/>
    <w:rsid w:val="00375535"/>
    <w:rsid w:val="00376A77"/>
    <w:rsid w:val="00382F6B"/>
    <w:rsid w:val="00385615"/>
    <w:rsid w:val="0039541A"/>
    <w:rsid w:val="00395FD8"/>
    <w:rsid w:val="003969AF"/>
    <w:rsid w:val="0039743B"/>
    <w:rsid w:val="003A5D5C"/>
    <w:rsid w:val="003B0FEF"/>
    <w:rsid w:val="003B6784"/>
    <w:rsid w:val="003C45D5"/>
    <w:rsid w:val="003C6585"/>
    <w:rsid w:val="003D20F5"/>
    <w:rsid w:val="003F2313"/>
    <w:rsid w:val="003F28CA"/>
    <w:rsid w:val="00400F25"/>
    <w:rsid w:val="0040754C"/>
    <w:rsid w:val="00413FE0"/>
    <w:rsid w:val="00424C6D"/>
    <w:rsid w:val="0043041B"/>
    <w:rsid w:val="00434D6A"/>
    <w:rsid w:val="004533FD"/>
    <w:rsid w:val="00467917"/>
    <w:rsid w:val="00473D1B"/>
    <w:rsid w:val="004765F2"/>
    <w:rsid w:val="004838C3"/>
    <w:rsid w:val="004873DB"/>
    <w:rsid w:val="004879A9"/>
    <w:rsid w:val="00490A7B"/>
    <w:rsid w:val="00492429"/>
    <w:rsid w:val="00492AA9"/>
    <w:rsid w:val="004943E7"/>
    <w:rsid w:val="004954DE"/>
    <w:rsid w:val="004A27AF"/>
    <w:rsid w:val="004A2B7A"/>
    <w:rsid w:val="004A3B1C"/>
    <w:rsid w:val="004B5EAD"/>
    <w:rsid w:val="004B65D1"/>
    <w:rsid w:val="004C27E1"/>
    <w:rsid w:val="004C407D"/>
    <w:rsid w:val="004D61C6"/>
    <w:rsid w:val="004E389F"/>
    <w:rsid w:val="004E5356"/>
    <w:rsid w:val="004F12C5"/>
    <w:rsid w:val="004F3760"/>
    <w:rsid w:val="004F4090"/>
    <w:rsid w:val="00512007"/>
    <w:rsid w:val="00516D99"/>
    <w:rsid w:val="00525E45"/>
    <w:rsid w:val="0052677A"/>
    <w:rsid w:val="005325EB"/>
    <w:rsid w:val="00535DB8"/>
    <w:rsid w:val="00537B46"/>
    <w:rsid w:val="00545090"/>
    <w:rsid w:val="005450B7"/>
    <w:rsid w:val="005635AB"/>
    <w:rsid w:val="00565BBE"/>
    <w:rsid w:val="005766F3"/>
    <w:rsid w:val="00577450"/>
    <w:rsid w:val="00577980"/>
    <w:rsid w:val="0058729C"/>
    <w:rsid w:val="0059042D"/>
    <w:rsid w:val="00590826"/>
    <w:rsid w:val="00595AE7"/>
    <w:rsid w:val="00597A60"/>
    <w:rsid w:val="005A7773"/>
    <w:rsid w:val="005B14FC"/>
    <w:rsid w:val="005B180C"/>
    <w:rsid w:val="005B4595"/>
    <w:rsid w:val="005B7377"/>
    <w:rsid w:val="005B7B44"/>
    <w:rsid w:val="005C19F2"/>
    <w:rsid w:val="005C54FB"/>
    <w:rsid w:val="005D7117"/>
    <w:rsid w:val="005F6F98"/>
    <w:rsid w:val="005F73D3"/>
    <w:rsid w:val="006100EB"/>
    <w:rsid w:val="00615308"/>
    <w:rsid w:val="00620FC1"/>
    <w:rsid w:val="00636118"/>
    <w:rsid w:val="00646ACF"/>
    <w:rsid w:val="00646C0B"/>
    <w:rsid w:val="006547D1"/>
    <w:rsid w:val="006547EB"/>
    <w:rsid w:val="00671909"/>
    <w:rsid w:val="0067586B"/>
    <w:rsid w:val="006763AA"/>
    <w:rsid w:val="00680B33"/>
    <w:rsid w:val="006A176F"/>
    <w:rsid w:val="006A777C"/>
    <w:rsid w:val="006B245D"/>
    <w:rsid w:val="006B2988"/>
    <w:rsid w:val="006C1581"/>
    <w:rsid w:val="006C2781"/>
    <w:rsid w:val="006C387C"/>
    <w:rsid w:val="006D33DF"/>
    <w:rsid w:val="006E3C0A"/>
    <w:rsid w:val="006E58E0"/>
    <w:rsid w:val="006E7319"/>
    <w:rsid w:val="006F4F57"/>
    <w:rsid w:val="006F63A4"/>
    <w:rsid w:val="006F72EC"/>
    <w:rsid w:val="00700CFA"/>
    <w:rsid w:val="0070574F"/>
    <w:rsid w:val="007059CF"/>
    <w:rsid w:val="00706510"/>
    <w:rsid w:val="00715CB0"/>
    <w:rsid w:val="00716B34"/>
    <w:rsid w:val="00717357"/>
    <w:rsid w:val="007219DD"/>
    <w:rsid w:val="00742626"/>
    <w:rsid w:val="0075394E"/>
    <w:rsid w:val="007622C5"/>
    <w:rsid w:val="00767AF8"/>
    <w:rsid w:val="00767D91"/>
    <w:rsid w:val="007708C1"/>
    <w:rsid w:val="00777414"/>
    <w:rsid w:val="007802DD"/>
    <w:rsid w:val="00782B04"/>
    <w:rsid w:val="00784434"/>
    <w:rsid w:val="00784F99"/>
    <w:rsid w:val="007861D6"/>
    <w:rsid w:val="00787EFF"/>
    <w:rsid w:val="00795C8F"/>
    <w:rsid w:val="0079645E"/>
    <w:rsid w:val="00797478"/>
    <w:rsid w:val="007A024C"/>
    <w:rsid w:val="007A0D25"/>
    <w:rsid w:val="007A1B8F"/>
    <w:rsid w:val="007A3088"/>
    <w:rsid w:val="007A42CE"/>
    <w:rsid w:val="007B69AA"/>
    <w:rsid w:val="007C1DE9"/>
    <w:rsid w:val="007C411B"/>
    <w:rsid w:val="007C5327"/>
    <w:rsid w:val="007C5A99"/>
    <w:rsid w:val="007D3DFC"/>
    <w:rsid w:val="007D46B3"/>
    <w:rsid w:val="007D4792"/>
    <w:rsid w:val="007D7B70"/>
    <w:rsid w:val="007E08BA"/>
    <w:rsid w:val="007E4824"/>
    <w:rsid w:val="007E4F27"/>
    <w:rsid w:val="007F5F46"/>
    <w:rsid w:val="0080223C"/>
    <w:rsid w:val="00805AFA"/>
    <w:rsid w:val="00810CBD"/>
    <w:rsid w:val="0082202E"/>
    <w:rsid w:val="008234BE"/>
    <w:rsid w:val="008354D3"/>
    <w:rsid w:val="00835EC9"/>
    <w:rsid w:val="0084779C"/>
    <w:rsid w:val="00865391"/>
    <w:rsid w:val="0086582C"/>
    <w:rsid w:val="00865F04"/>
    <w:rsid w:val="00883582"/>
    <w:rsid w:val="00885B11"/>
    <w:rsid w:val="0089103B"/>
    <w:rsid w:val="00891658"/>
    <w:rsid w:val="00891E93"/>
    <w:rsid w:val="00892AF8"/>
    <w:rsid w:val="008A13C4"/>
    <w:rsid w:val="008A1A52"/>
    <w:rsid w:val="008A219E"/>
    <w:rsid w:val="008A22F2"/>
    <w:rsid w:val="008B3310"/>
    <w:rsid w:val="008B4A0A"/>
    <w:rsid w:val="008C18E1"/>
    <w:rsid w:val="008C258A"/>
    <w:rsid w:val="008C2EAF"/>
    <w:rsid w:val="008C496D"/>
    <w:rsid w:val="008D15CC"/>
    <w:rsid w:val="008D5602"/>
    <w:rsid w:val="008E40A9"/>
    <w:rsid w:val="008E697F"/>
    <w:rsid w:val="008E7955"/>
    <w:rsid w:val="008F3EE3"/>
    <w:rsid w:val="008F5E4F"/>
    <w:rsid w:val="008F6A15"/>
    <w:rsid w:val="009116CF"/>
    <w:rsid w:val="00911B36"/>
    <w:rsid w:val="00921BC5"/>
    <w:rsid w:val="00927D08"/>
    <w:rsid w:val="0095262D"/>
    <w:rsid w:val="009552EA"/>
    <w:rsid w:val="00972006"/>
    <w:rsid w:val="0097543B"/>
    <w:rsid w:val="0098055A"/>
    <w:rsid w:val="00980DEB"/>
    <w:rsid w:val="00981B81"/>
    <w:rsid w:val="00984FB7"/>
    <w:rsid w:val="0098637A"/>
    <w:rsid w:val="009875E9"/>
    <w:rsid w:val="009908D0"/>
    <w:rsid w:val="009A1764"/>
    <w:rsid w:val="009A232D"/>
    <w:rsid w:val="009A55C5"/>
    <w:rsid w:val="009B13CB"/>
    <w:rsid w:val="009C0D10"/>
    <w:rsid w:val="009D03D6"/>
    <w:rsid w:val="009D6A6E"/>
    <w:rsid w:val="009D7172"/>
    <w:rsid w:val="009E0303"/>
    <w:rsid w:val="009E507E"/>
    <w:rsid w:val="009F0A65"/>
    <w:rsid w:val="009F0BD7"/>
    <w:rsid w:val="009F49BC"/>
    <w:rsid w:val="009F7B63"/>
    <w:rsid w:val="00A000DF"/>
    <w:rsid w:val="00A00348"/>
    <w:rsid w:val="00A02EAA"/>
    <w:rsid w:val="00A12633"/>
    <w:rsid w:val="00A12D85"/>
    <w:rsid w:val="00A12EB2"/>
    <w:rsid w:val="00A13EE0"/>
    <w:rsid w:val="00A14177"/>
    <w:rsid w:val="00A172B6"/>
    <w:rsid w:val="00A21124"/>
    <w:rsid w:val="00A242AC"/>
    <w:rsid w:val="00A27194"/>
    <w:rsid w:val="00A4350F"/>
    <w:rsid w:val="00A43923"/>
    <w:rsid w:val="00A45CA9"/>
    <w:rsid w:val="00A46A21"/>
    <w:rsid w:val="00A50A6A"/>
    <w:rsid w:val="00A66135"/>
    <w:rsid w:val="00A66AE6"/>
    <w:rsid w:val="00A67213"/>
    <w:rsid w:val="00A730A8"/>
    <w:rsid w:val="00A860AA"/>
    <w:rsid w:val="00A86FBF"/>
    <w:rsid w:val="00A96851"/>
    <w:rsid w:val="00A96EEC"/>
    <w:rsid w:val="00AB4365"/>
    <w:rsid w:val="00AB439A"/>
    <w:rsid w:val="00AB6CCA"/>
    <w:rsid w:val="00AB79F1"/>
    <w:rsid w:val="00AC1453"/>
    <w:rsid w:val="00AC16C6"/>
    <w:rsid w:val="00AC5450"/>
    <w:rsid w:val="00AD7BE5"/>
    <w:rsid w:val="00AF06B2"/>
    <w:rsid w:val="00AF3033"/>
    <w:rsid w:val="00B079C8"/>
    <w:rsid w:val="00B10896"/>
    <w:rsid w:val="00B15D79"/>
    <w:rsid w:val="00B3640C"/>
    <w:rsid w:val="00B50AAF"/>
    <w:rsid w:val="00B5270D"/>
    <w:rsid w:val="00B7283C"/>
    <w:rsid w:val="00B77CC9"/>
    <w:rsid w:val="00B871EA"/>
    <w:rsid w:val="00B93721"/>
    <w:rsid w:val="00B97516"/>
    <w:rsid w:val="00BA1A9D"/>
    <w:rsid w:val="00BB2FDE"/>
    <w:rsid w:val="00BB72CE"/>
    <w:rsid w:val="00BC6198"/>
    <w:rsid w:val="00BD675B"/>
    <w:rsid w:val="00BE5F86"/>
    <w:rsid w:val="00BF0225"/>
    <w:rsid w:val="00BF219E"/>
    <w:rsid w:val="00BF566E"/>
    <w:rsid w:val="00C019AF"/>
    <w:rsid w:val="00C01F37"/>
    <w:rsid w:val="00C07BBE"/>
    <w:rsid w:val="00C25886"/>
    <w:rsid w:val="00C357C4"/>
    <w:rsid w:val="00C567CB"/>
    <w:rsid w:val="00C6003D"/>
    <w:rsid w:val="00C766F7"/>
    <w:rsid w:val="00C8112C"/>
    <w:rsid w:val="00C84D0F"/>
    <w:rsid w:val="00C9146D"/>
    <w:rsid w:val="00C93044"/>
    <w:rsid w:val="00CA2986"/>
    <w:rsid w:val="00CB1AB1"/>
    <w:rsid w:val="00CB3CF9"/>
    <w:rsid w:val="00CC1809"/>
    <w:rsid w:val="00CC5065"/>
    <w:rsid w:val="00CF053B"/>
    <w:rsid w:val="00CF1CF4"/>
    <w:rsid w:val="00CF264F"/>
    <w:rsid w:val="00CF44FF"/>
    <w:rsid w:val="00CF5357"/>
    <w:rsid w:val="00D003B1"/>
    <w:rsid w:val="00D12FC5"/>
    <w:rsid w:val="00D17AFB"/>
    <w:rsid w:val="00D17E6A"/>
    <w:rsid w:val="00D25BE3"/>
    <w:rsid w:val="00D279D1"/>
    <w:rsid w:val="00D33DC9"/>
    <w:rsid w:val="00D34B6F"/>
    <w:rsid w:val="00D37221"/>
    <w:rsid w:val="00D40BE0"/>
    <w:rsid w:val="00D47F60"/>
    <w:rsid w:val="00D52B4E"/>
    <w:rsid w:val="00D546B5"/>
    <w:rsid w:val="00D54AF0"/>
    <w:rsid w:val="00D6670C"/>
    <w:rsid w:val="00D76AA3"/>
    <w:rsid w:val="00D76B09"/>
    <w:rsid w:val="00D85E08"/>
    <w:rsid w:val="00D916D5"/>
    <w:rsid w:val="00D93BEB"/>
    <w:rsid w:val="00D95A7E"/>
    <w:rsid w:val="00DA007C"/>
    <w:rsid w:val="00DA1D6B"/>
    <w:rsid w:val="00DA612B"/>
    <w:rsid w:val="00DB489D"/>
    <w:rsid w:val="00DB79ED"/>
    <w:rsid w:val="00DB7B00"/>
    <w:rsid w:val="00DE59E0"/>
    <w:rsid w:val="00DE6CB1"/>
    <w:rsid w:val="00DF0F7B"/>
    <w:rsid w:val="00DF1C09"/>
    <w:rsid w:val="00DF578D"/>
    <w:rsid w:val="00E014A5"/>
    <w:rsid w:val="00E03322"/>
    <w:rsid w:val="00E0498D"/>
    <w:rsid w:val="00E113B6"/>
    <w:rsid w:val="00E137ED"/>
    <w:rsid w:val="00E13974"/>
    <w:rsid w:val="00E141F7"/>
    <w:rsid w:val="00E14DE2"/>
    <w:rsid w:val="00E21925"/>
    <w:rsid w:val="00E2315C"/>
    <w:rsid w:val="00E279E1"/>
    <w:rsid w:val="00E3005D"/>
    <w:rsid w:val="00E30728"/>
    <w:rsid w:val="00E31EE7"/>
    <w:rsid w:val="00E334D2"/>
    <w:rsid w:val="00E335C6"/>
    <w:rsid w:val="00E3498E"/>
    <w:rsid w:val="00E370E7"/>
    <w:rsid w:val="00E41A2E"/>
    <w:rsid w:val="00E55333"/>
    <w:rsid w:val="00E56E23"/>
    <w:rsid w:val="00E604E6"/>
    <w:rsid w:val="00E6217C"/>
    <w:rsid w:val="00E64846"/>
    <w:rsid w:val="00E84B4F"/>
    <w:rsid w:val="00E85BDC"/>
    <w:rsid w:val="00EA310B"/>
    <w:rsid w:val="00EB0EAD"/>
    <w:rsid w:val="00EC5976"/>
    <w:rsid w:val="00EC5CD1"/>
    <w:rsid w:val="00EC7091"/>
    <w:rsid w:val="00EE0BA3"/>
    <w:rsid w:val="00F0052E"/>
    <w:rsid w:val="00F12D68"/>
    <w:rsid w:val="00F14F35"/>
    <w:rsid w:val="00F16EA4"/>
    <w:rsid w:val="00F2007A"/>
    <w:rsid w:val="00F26664"/>
    <w:rsid w:val="00F30DA4"/>
    <w:rsid w:val="00F32029"/>
    <w:rsid w:val="00F47213"/>
    <w:rsid w:val="00F51B93"/>
    <w:rsid w:val="00F55D30"/>
    <w:rsid w:val="00F565BA"/>
    <w:rsid w:val="00F5724B"/>
    <w:rsid w:val="00F60366"/>
    <w:rsid w:val="00F61146"/>
    <w:rsid w:val="00F77321"/>
    <w:rsid w:val="00F80B69"/>
    <w:rsid w:val="00F911DE"/>
    <w:rsid w:val="00F9144A"/>
    <w:rsid w:val="00F94309"/>
    <w:rsid w:val="00F94A06"/>
    <w:rsid w:val="00F9508B"/>
    <w:rsid w:val="00FA2EFB"/>
    <w:rsid w:val="00FA72C8"/>
    <w:rsid w:val="00FB2863"/>
    <w:rsid w:val="00FB7473"/>
    <w:rsid w:val="00FB7E2E"/>
    <w:rsid w:val="00FC1DB5"/>
    <w:rsid w:val="00FC4BF7"/>
    <w:rsid w:val="00FD3DEA"/>
    <w:rsid w:val="00FD6EBA"/>
    <w:rsid w:val="00FE2579"/>
    <w:rsid w:val="00FE69B8"/>
    <w:rsid w:val="00FE69E2"/>
    <w:rsid w:val="00FF2984"/>
    <w:rsid w:val="00FF6412"/>
    <w:rsid w:val="00FF7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49DA0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95C8F"/>
    <w:rPr>
      <w:rFonts w:ascii="Times New Roman" w:hAnsi="Times New Roman" w:cs="Times New Roman"/>
    </w:rPr>
  </w:style>
  <w:style w:type="paragraph" w:styleId="Heading1">
    <w:name w:val="heading 1"/>
    <w:aliases w:val="Paragraphs"/>
    <w:basedOn w:val="Normal"/>
    <w:next w:val="Normal"/>
    <w:link w:val="Heading1Char"/>
    <w:uiPriority w:val="9"/>
    <w:qFormat/>
    <w:rsid w:val="00D95A7E"/>
    <w:pPr>
      <w:keepNext/>
      <w:keepLines/>
      <w:spacing w:before="120" w:after="120" w:line="360" w:lineRule="auto"/>
      <w:ind w:firstLine="288"/>
      <w:outlineLvl w:val="0"/>
    </w:pPr>
    <w:rPr>
      <w:rFonts w:asciiTheme="majorBidi" w:eastAsiaTheme="majorEastAsia" w:hAnsiTheme="majorBidi" w:cstheme="majorBidi"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aliases w:val="Head Line 1"/>
    <w:basedOn w:val="Normal"/>
    <w:next w:val="Normal"/>
    <w:link w:val="TitleChar"/>
    <w:uiPriority w:val="10"/>
    <w:qFormat/>
    <w:rsid w:val="0040754C"/>
    <w:pPr>
      <w:spacing w:before="240" w:after="240" w:line="360" w:lineRule="auto"/>
      <w:contextualSpacing/>
    </w:pPr>
    <w:rPr>
      <w:rFonts w:asciiTheme="majorBidi" w:eastAsiaTheme="majorEastAsia" w:hAnsiTheme="majorBidi" w:cstheme="majorBidi"/>
      <w:b/>
      <w:color w:val="000000" w:themeColor="text1"/>
      <w:spacing w:val="-10"/>
      <w:kern w:val="28"/>
      <w:sz w:val="32"/>
      <w:szCs w:val="56"/>
    </w:rPr>
  </w:style>
  <w:style w:type="character" w:customStyle="1" w:styleId="TitleChar">
    <w:name w:val="Title Char"/>
    <w:aliases w:val="Head Line 1 Char"/>
    <w:basedOn w:val="DefaultParagraphFont"/>
    <w:link w:val="Title"/>
    <w:uiPriority w:val="10"/>
    <w:rsid w:val="0040754C"/>
    <w:rPr>
      <w:rFonts w:asciiTheme="majorBidi" w:eastAsiaTheme="majorEastAsia" w:hAnsiTheme="majorBidi" w:cstheme="majorBidi"/>
      <w:b/>
      <w:color w:val="000000" w:themeColor="text1"/>
      <w:spacing w:val="-10"/>
      <w:kern w:val="28"/>
      <w:sz w:val="32"/>
      <w:szCs w:val="56"/>
    </w:rPr>
  </w:style>
  <w:style w:type="character" w:customStyle="1" w:styleId="Heading1Char">
    <w:name w:val="Heading 1 Char"/>
    <w:aliases w:val="Paragraphs Char"/>
    <w:basedOn w:val="DefaultParagraphFont"/>
    <w:link w:val="Heading1"/>
    <w:uiPriority w:val="9"/>
    <w:rsid w:val="00D95A7E"/>
    <w:rPr>
      <w:rFonts w:asciiTheme="majorBidi" w:eastAsiaTheme="majorEastAsia" w:hAnsiTheme="majorBidi" w:cstheme="majorBidi"/>
      <w:color w:val="000000" w:themeColor="text1"/>
    </w:rPr>
  </w:style>
  <w:style w:type="table" w:styleId="TableGrid">
    <w:name w:val="Table Grid"/>
    <w:basedOn w:val="TableNormal"/>
    <w:uiPriority w:val="39"/>
    <w:rsid w:val="0086539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400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73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2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emf"/><Relationship Id="rId5" Type="http://schemas.openxmlformats.org/officeDocument/2006/relationships/image" Target="media/image2.emf"/><Relationship Id="rId6" Type="http://schemas.openxmlformats.org/officeDocument/2006/relationships/image" Target="media/image3.emf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499</Words>
  <Characters>2846</Characters>
  <Application>Microsoft Macintosh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Najmeh Parhizgari</dc:creator>
  <cp:keywords/>
  <dc:description/>
  <cp:lastModifiedBy>Najmeh Parhizgari</cp:lastModifiedBy>
  <cp:revision>3</cp:revision>
  <dcterms:created xsi:type="dcterms:W3CDTF">2021-04-23T10:13:00Z</dcterms:created>
  <dcterms:modified xsi:type="dcterms:W3CDTF">2021-04-23T10:19:00Z</dcterms:modified>
</cp:coreProperties>
</file>