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FD561" w14:textId="2AC6ED6C" w:rsidR="00F01603" w:rsidRDefault="00F01603" w:rsidP="00F01603">
      <w:pPr>
        <w:spacing w:line="360" w:lineRule="auto"/>
        <w:rPr>
          <w:rFonts w:hint="eastAsia"/>
        </w:rPr>
      </w:pPr>
      <w:r w:rsidRPr="00820CFC">
        <w:rPr>
          <w:noProof/>
        </w:rPr>
        <w:drawing>
          <wp:inline distT="0" distB="0" distL="0" distR="0" wp14:anchorId="50FACF4E" wp14:editId="07EA7DCC">
            <wp:extent cx="5400675" cy="3114675"/>
            <wp:effectExtent l="0" t="0" r="9525" b="9525"/>
            <wp:docPr id="1359450434" name="Picture 1" descr="A diagram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450434" name="Picture 1" descr="A diagram of a ce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9AF3F" w14:textId="77777777" w:rsidR="00F01603" w:rsidRPr="00A3367F" w:rsidRDefault="00F01603" w:rsidP="00F01603">
      <w:pPr>
        <w:spacing w:line="360" w:lineRule="auto"/>
        <w:rPr>
          <w:rFonts w:eastAsia="Times New Roman" w:hint="eastAsia"/>
        </w:rPr>
      </w:pPr>
      <w:r>
        <w:rPr>
          <w:rFonts w:eastAsia="Times New Roman"/>
          <w:b/>
          <w:bCs/>
        </w:rPr>
        <w:t>Scheme 1.</w:t>
      </w:r>
      <w:r>
        <w:rPr>
          <w:rFonts w:eastAsia="Times New Roman"/>
        </w:rPr>
        <w:t xml:space="preserve"> </w:t>
      </w:r>
      <w:r>
        <w:rPr>
          <w:rFonts w:eastAsia="Times New Roman"/>
          <w:b/>
        </w:rPr>
        <w:t xml:space="preserve">Schematic illustration of preparation and mechanisms of </w:t>
      </w:r>
      <w:r>
        <w:rPr>
          <w:rFonts w:eastAsia="Times New Roman" w:hint="eastAsia"/>
          <w:b/>
        </w:rPr>
        <w:t>CCM-CS/ZnO</w:t>
      </w:r>
      <w:r>
        <w:rPr>
          <w:rFonts w:eastAsia="Times New Roman"/>
          <w:b/>
        </w:rPr>
        <w:t xml:space="preserve">@siSurvivin. </w:t>
      </w:r>
      <w:r w:rsidRPr="00B14B0F">
        <w:rPr>
          <w:rFonts w:eastAsia="Times New Roman"/>
        </w:rPr>
        <w:t>CCM-CS/ZnO@siSurvivin accumulated in the tumor through the homologous targeting effect of the coated tumor cell membranes. Upon internalization into lysosomes under acidic conditions, ZnO nanoparticles dissolved into Zn²⁺, facilitating lysosomal escape of siSurvivin and enhancing its survivin protein silencing effect. Meanwhile, the simultaneous release of Zn²⁺ promoted oxidative stress in tumor cells, further inducing an oxidative stress response and achieving a synergistic anti-tumor effect.</w:t>
      </w:r>
    </w:p>
    <w:p w14:paraId="1C9883A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03"/>
    <w:rsid w:val="00331A6B"/>
    <w:rsid w:val="00755780"/>
    <w:rsid w:val="007A56E4"/>
    <w:rsid w:val="00857596"/>
    <w:rsid w:val="00F0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1F339"/>
  <w15:chartTrackingRefBased/>
  <w15:docId w15:val="{60F29FE3-499F-4028-B3EB-E2E0B6550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60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1603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603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603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603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603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603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603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603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603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60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1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603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1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603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1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603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1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60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6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>Springer Nature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2025-04-07T07:45:00Z</dcterms:created>
  <dcterms:modified xsi:type="dcterms:W3CDTF">2025-04-07T07:45:00Z</dcterms:modified>
</cp:coreProperties>
</file>