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51961">
      <w:pPr>
        <w:pStyle w:val="16"/>
        <w:spacing w:before="78" w:after="78" w:line="480" w:lineRule="auto"/>
        <w:rPr>
          <w:color w:val="auto"/>
        </w:rPr>
      </w:pPr>
      <w:bookmarkStart w:id="0" w:name="_Hlk192864024"/>
      <w:bookmarkStart w:id="1" w:name="_Hlk153205124"/>
      <w:r>
        <w:rPr>
          <w:color w:val="auto"/>
        </w:rPr>
        <w:t>Appendix 1</w:t>
      </w:r>
    </w:p>
    <w:bookmarkEnd w:id="0"/>
    <w:p w14:paraId="38D6B14E">
      <w:pPr>
        <w:pStyle w:val="16"/>
        <w:spacing w:before="78" w:after="78" w:line="480" w:lineRule="auto"/>
        <w:rPr>
          <w:color w:val="auto"/>
        </w:rPr>
      </w:pPr>
      <w:r>
        <w:rPr>
          <w:color w:val="auto"/>
        </w:rPr>
        <w:t xml:space="preserve">Deep Learning for </w:t>
      </w:r>
      <w:r>
        <w:rPr>
          <w:rFonts w:hint="eastAsia"/>
          <w:color w:val="auto"/>
        </w:rPr>
        <w:t>T</w:t>
      </w:r>
      <w:r>
        <w:rPr>
          <w:color w:val="auto"/>
        </w:rPr>
        <w:t>issue Region Identification</w:t>
      </w:r>
    </w:p>
    <w:p w14:paraId="4FFC9FF5">
      <w:pPr>
        <w:pStyle w:val="16"/>
        <w:spacing w:before="78" w:after="78" w:line="480" w:lineRule="auto"/>
        <w:rPr>
          <w:color w:val="auto"/>
        </w:rPr>
      </w:pPr>
      <w:r>
        <w:rPr>
          <w:color w:val="auto"/>
        </w:rPr>
        <w:t>Tumor classification</w:t>
      </w:r>
      <w:bookmarkStart w:id="5" w:name="_GoBack"/>
      <w:bookmarkEnd w:id="5"/>
    </w:p>
    <w:p w14:paraId="299152F2">
      <w:pPr>
        <w:pStyle w:val="11"/>
        <w:spacing w:line="360" w:lineRule="auto"/>
        <w:rPr>
          <w:color w:val="auto"/>
        </w:rPr>
      </w:pPr>
      <w:r>
        <w:rPr>
          <w:color w:val="auto"/>
        </w:rPr>
        <w:t xml:space="preserve">We utilized 195 WSIs at 40X magnification from The Cancer Genome Atlas and corresponding annotation masks provided by Angel Cruz-Roa et al. </w:t>
      </w:r>
      <w:r>
        <w:rPr>
          <w:color w:val="auto"/>
        </w:rPr>
        <w:fldChar w:fldCharType="begin"/>
      </w:r>
      <w:r>
        <w:rPr>
          <w:color w:val="auto"/>
        </w:rPr>
        <w:instrText xml:space="preserve"> ADDIN EN.CITE &lt;EndNote&gt;&lt;Cite&gt;&lt;Author&gt;Janowczyk&lt;/Author&gt;&lt;Year&gt;2016&lt;/Year&gt;&lt;RecNum&gt;40&lt;/RecNum&gt;&lt;DisplayText&gt;[1]&lt;/DisplayText&gt;&lt;record&gt;&lt;rec-number&gt;40&lt;/rec-number&gt;&lt;foreign-keys&gt;&lt;key app="EN" db-id="a2rrpt5vaxp2dpe9tvjxxtdfw20220ar55sz" timestamp="1736253311"&gt;40&lt;/key&gt;&lt;/foreign-keys&gt;&lt;ref-type name="Journal Article"&gt;17&lt;/ref-type&gt;&lt;contributors&gt;&lt;authors&gt;&lt;author&gt;Janowczyk, Andrew&lt;/author&gt;&lt;author&gt;Madabhushi, Anant&lt;/author&gt;&lt;/authors&gt;&lt;/contributors&gt;&lt;titles&gt;&lt;title&gt;Deep learning for digital pathology image analysis: A comprehensive tutorial with selected use cases&lt;/title&gt;&lt;secondary-title&gt;Journal of pathology informatics&lt;/secondary-title&gt;&lt;/titles&gt;&lt;periodical&gt;&lt;full-title&gt;Journal of pathology informatics&lt;/full-title&gt;&lt;/periodical&gt;&lt;pages&gt;29-29&lt;/pages&gt;&lt;volume&gt;7&lt;/volume&gt;&lt;dates&gt;&lt;year&gt;2016&lt;/year&gt;&lt;pub-dates&gt;&lt;date&gt;2016&lt;/date&gt;&lt;/pub-dates&gt;&lt;/dates&gt;&lt;isbn&gt;2229-5089&lt;/isbn&gt;&lt;accession-num&gt;MEDLINE:27563488&lt;/accession-num&gt;&lt;urls&gt;&lt;related-urls&gt;&lt;url&gt;&amp;lt;Go to ISI&amp;gt;://MEDLINE:27563488&lt;/url&gt;&lt;/related-urls&gt;&lt;/urls&gt;&lt;electronic-resource-num&gt;10.4103/2153-3539.186902&lt;/electronic-resource-num&gt;&lt;/record&gt;&lt;/Cite&gt;&lt;/EndNote&gt;</w:instrText>
      </w:r>
      <w:r>
        <w:rPr>
          <w:color w:val="auto"/>
        </w:rPr>
        <w:fldChar w:fldCharType="separate"/>
      </w:r>
      <w:r>
        <w:rPr>
          <w:color w:val="auto"/>
        </w:rPr>
        <w:t>[1]</w:t>
      </w:r>
      <w:r>
        <w:rPr>
          <w:color w:val="auto"/>
        </w:rPr>
        <w:fldChar w:fldCharType="end"/>
      </w:r>
      <w:r>
        <w:rPr>
          <w:color w:val="auto"/>
        </w:rPr>
        <w:t>.</w:t>
      </w:r>
      <w:r>
        <w:rPr>
          <w:color w:val="auto"/>
        </w:rPr>
        <w:t xml:space="preserve"> Initially, we converted WSIs to tile images, setting the image size to 350*350*3. </w:t>
      </w:r>
      <w:r>
        <w:rPr>
          <w:color w:val="auto"/>
        </w:rPr>
        <w:t>Otsu’s thresholding method was employed to remove non-essential tissue regions by discarding tiles with a tissue pixel fraction below 26%.</w:t>
      </w:r>
      <w:r>
        <w:rPr>
          <w:rFonts w:hint="eastAsia"/>
          <w:color w:val="auto"/>
        </w:rPr>
        <w:t xml:space="preserve"> </w:t>
      </w:r>
      <w:r>
        <w:rPr>
          <w:color w:val="auto"/>
        </w:rPr>
        <w:t xml:space="preserve">Tumor regions were annotated using mask images, which delineate tumor areas. The non-tumor region refers to the tissue area outside the mask, excluding fat. By mapping the spatial coordinates of the mask images onto the WSIs, we assigned each Tile a "tumor" or "non-tumor" label accordingly. </w:t>
      </w:r>
      <w:r>
        <w:rPr>
          <w:color w:val="auto"/>
        </w:rPr>
        <w:t>This process yielded approximately 2.26 million tiles. Subsequently, we divided the 195 patient WSIs into training, validation, and test sets. The training set comprised 157 patients (about 1.76 million tiles), the validation set included 18 patients (about 200,000 tiles), and the test set contained 20 patients (about 300,000 tiles). To enhance model training efficiency, we randomly sampled 20% of the 157 patients in the training set, resulting in a training set of approximately 350,000 tiles. To improve training efficiency and model performance, we employed the Xception model for tumor and non-tumor classification, based on transfer learning principles</w:t>
      </w:r>
      <w:r>
        <w:rPr>
          <w:color w:val="auto"/>
        </w:rPr>
        <w:fldChar w:fldCharType="begin"/>
      </w:r>
      <w:r>
        <w:rPr>
          <w:color w:val="auto"/>
        </w:rPr>
        <w:instrText xml:space="preserve"> ADDIN EN.CITE &lt;EndNote&gt;&lt;Cite&gt;&lt;Author&gt;Chollet&lt;/Author&gt;&lt;Year&gt;2017&lt;/Year&gt;&lt;RecNum&gt;41&lt;/RecNum&gt;&lt;DisplayText&gt;[2]&lt;/DisplayText&gt;&lt;record&gt;&lt;rec-number&gt;41&lt;/rec-number&gt;&lt;foreign-keys&gt;&lt;key app="EN" db-id="a2rrpt5vaxp2dpe9tvjxxtdfw20220ar55sz" timestamp="1736253311"&gt;41&lt;/key&gt;&lt;/foreign-keys&gt;&lt;ref-type name="Conference Proceedings"&gt;10&lt;/ref-type&gt;&lt;contributors&gt;&lt;authors&gt;&lt;author&gt;Chollet, François&lt;/author&gt;&lt;/authors&gt;&lt;/contributors&gt;&lt;titles&gt;&lt;title&gt;Xception: Deep learning with depthwise separable convolutions&lt;/title&gt;&lt;secondary-title&gt;Proceedings of the IEEE conference on computer vision and pattern recognition&lt;/secondary-title&gt;&lt;/titles&gt;&lt;pages&gt;1251-1258&lt;/pages&gt;&lt;dates&gt;&lt;year&gt;2017&lt;/year&gt;&lt;/dates&gt;&lt;urls&gt;&lt;/urls&gt;&lt;/record&gt;&lt;/Cite&gt;&lt;/EndNote&gt;</w:instrText>
      </w:r>
      <w:r>
        <w:rPr>
          <w:color w:val="auto"/>
        </w:rPr>
        <w:fldChar w:fldCharType="separate"/>
      </w:r>
      <w:r>
        <w:rPr>
          <w:color w:val="auto"/>
        </w:rPr>
        <w:t>[2]</w:t>
      </w:r>
      <w:r>
        <w:rPr>
          <w:color w:val="auto"/>
        </w:rPr>
        <w:fldChar w:fldCharType="end"/>
      </w:r>
      <w:r>
        <w:rPr>
          <w:color w:val="auto"/>
        </w:rPr>
        <w:t>. We modified the Xception model by replacing the fully connected layer with a global maximum pooling layer, followed by two neurons for the classification layer (with a SoftMax activation function). This approach facilitates the input of images with varying tile specifications while reducing model parameters and enhancing model generalization. The model hyperparameters were configured using the Stochastic Gradient Descent optimizer with a learning rate of 0.01, a momentum value of 0.9, a batch size of 128, and the cross-entropy loss function.</w:t>
      </w:r>
    </w:p>
    <w:p w14:paraId="4727D8B1">
      <w:pPr>
        <w:pStyle w:val="16"/>
        <w:spacing w:before="78" w:after="78" w:line="360" w:lineRule="auto"/>
        <w:rPr>
          <w:color w:val="auto"/>
        </w:rPr>
      </w:pPr>
      <w:r>
        <w:rPr>
          <w:color w:val="auto"/>
        </w:rPr>
        <w:t>Necrosis classification</w:t>
      </w:r>
    </w:p>
    <w:p w14:paraId="5EB0E2C7">
      <w:pPr>
        <w:pStyle w:val="11"/>
        <w:spacing w:line="360" w:lineRule="auto"/>
        <w:rPr>
          <w:color w:val="auto"/>
        </w:rPr>
      </w:pPr>
      <w:r>
        <w:rPr>
          <w:color w:val="auto"/>
        </w:rPr>
        <w:t>Due to the potential similarity between cell nuclei in necrosis and TILs, we developed a CNN model to identify necrosis, which aids in reducing false positives in the classification process. The dataset, comprising 2237 samples of LUAD at 20× magnification with an image size of 500×500×3, was obtained from a public dataset in the literature</w:t>
      </w:r>
      <w:r>
        <w:rPr>
          <w:color w:val="auto"/>
        </w:rPr>
        <w:fldChar w:fldCharType="begin"/>
      </w:r>
      <w:r>
        <w:rPr>
          <w:color w:val="auto"/>
        </w:rPr>
        <w:instrText xml:space="preserve"> ADDIN EN.CITE &lt;EndNote&gt;&lt;Cite&gt;&lt;Author&gt;Saltz&lt;/Author&gt;&lt;Year&gt;2018&lt;/Year&gt;&lt;RecNum&gt;39&lt;/RecNum&gt;&lt;DisplayText&gt;[3]&lt;/DisplayText&gt;&lt;record&gt;&lt;rec-number&gt;39&lt;/rec-number&gt;&lt;foreign-keys&gt;&lt;key app="EN" db-id="a2rrpt5vaxp2dpe9tvjxxtdfw20220ar55sz" timestamp="1736253311"&gt;39&lt;/key&gt;&lt;/foreign-keys&gt;&lt;ref-type name="Journal Article"&gt;17&lt;/ref-type&gt;&lt;contributors&gt;&lt;authors&gt;&lt;author&gt;Saltz, Joel&lt;/author&gt;&lt;author&gt;Gupta, Rajarsi&lt;/author&gt;&lt;author&gt;Hou, Le&lt;/author&gt;&lt;author&gt;Kurc, Tahsin&lt;/author&gt;&lt;author&gt;Singh, Pankaj&lt;/author&gt;&lt;author&gt;Vu, Nguyen&lt;/author&gt;&lt;author&gt;Samaras, Dimitris&lt;/author&gt;&lt;author&gt;Shroyer, Kenneth R.&lt;/author&gt;&lt;author&gt;Zhao, Tianhao&lt;/author&gt;&lt;author&gt;Batiste, Rebecca&lt;/author&gt;&lt;author&gt;Van Arnam, John&lt;/author&gt;&lt;author&gt;Shmulevich, Ilya&lt;/author&gt;&lt;author&gt;Rao, Arvind U. K.&lt;/author&gt;&lt;author&gt;Lazar, Alexander J.&lt;/author&gt;&lt;author&gt;Sharma, Ashish&lt;/author&gt;&lt;author&gt;Thorsson, Vesteinn&lt;/author&gt;&lt;author&gt;Canc Genome Atlas Res, Network&lt;/author&gt;&lt;/authors&gt;&lt;/contributors&gt;&lt;titles&gt;&lt;title&gt;Spatial Organization and Molecular Correlation of Tumor-Infiltrating Lymphocytes Using Deep Learning on Pathology Images&lt;/title&gt;&lt;secondary-title&gt;Cell Reports&lt;/secondary-title&gt;&lt;/titles&gt;&lt;periodical&gt;&lt;full-title&gt;Cell Reports&lt;/full-title&gt;&lt;/periodical&gt;&lt;pages&gt;181-+&lt;/pages&gt;&lt;volume&gt;23&lt;/volume&gt;&lt;number&gt;1&lt;/number&gt;&lt;dates&gt;&lt;year&gt;2018&lt;/year&gt;&lt;pub-dates&gt;&lt;date&gt;Apr 3&lt;/date&gt;&lt;/pub-dates&gt;&lt;/dates&gt;&lt;isbn&gt;2211-1247&lt;/isbn&gt;&lt;accession-num&gt;WOS:000429092900017&lt;/accession-num&gt;&lt;work-type&gt;Article&lt;/work-type&gt;&lt;urls&gt;&lt;related-urls&gt;&lt;url&gt;&amp;lt;Go to ISI&amp;gt;://WOS:000429092900017&lt;/url&gt;&lt;/related-urls&gt;&lt;/urls&gt;&lt;electronic-resource-num&gt;10.1016/j.celrep.2018.03.086&lt;/electronic-resource-num&gt;&lt;/record&gt;&lt;/Cite&gt;&lt;/EndNote&gt;</w:instrText>
      </w:r>
      <w:r>
        <w:rPr>
          <w:color w:val="auto"/>
        </w:rPr>
        <w:fldChar w:fldCharType="separate"/>
      </w:r>
      <w:r>
        <w:rPr>
          <w:color w:val="auto"/>
        </w:rPr>
        <w:t>[3]</w:t>
      </w:r>
      <w:r>
        <w:rPr>
          <w:color w:val="auto"/>
        </w:rPr>
        <w:fldChar w:fldCharType="end"/>
      </w:r>
      <w:r>
        <w:rPr>
          <w:color w:val="auto"/>
        </w:rPr>
        <w:t>.</w:t>
      </w:r>
      <w:r>
        <w:rPr>
          <w:color w:val="auto"/>
        </w:rPr>
        <w:t xml:space="preserve"> To enhance model fit and generalization, we employed a small window sliding approach for sampling and augmenting the dataset, utilizing a window size of 100×100 pixels and a stride of 100 pixels. A Tile was labeled as "Necrosis" if necrotic regions occupied more than 20% of its pixels</w:t>
      </w:r>
      <w:r>
        <w:rPr>
          <w:color w:val="auto"/>
        </w:rPr>
        <w:fldChar w:fldCharType="begin"/>
      </w:r>
      <w:r>
        <w:rPr>
          <w:color w:val="auto"/>
        </w:rPr>
        <w:instrText xml:space="preserve"> ADDIN EN.CITE &lt;EndNote&gt;&lt;Cite&gt;&lt;Author&gt;Dagher&lt;/Author&gt;&lt;Year&gt;2019&lt;/Year&gt;&lt;RecNum&gt;55&lt;/RecNum&gt;&lt;DisplayText&gt;[4]&lt;/DisplayText&gt;&lt;record&gt;&lt;rec-number&gt;55&lt;/rec-number&gt;&lt;foreign-keys&gt;&lt;key app="EN" db-id="a2rrpt5vaxp2dpe9tvjxxtdfw20220ar55sz" timestamp="1741766436"&gt;55&lt;/k</w:instrText>
      </w:r>
      <w:r>
        <w:rPr>
          <w:rFonts w:hint="eastAsia"/>
          <w:color w:val="auto"/>
        </w:rPr>
        <w:instrText xml:space="preserve">ey&gt;&lt;/foreign-keys&gt;&lt;ref-type name="Journal Article"&gt;17&lt;/ref-type&gt;&lt;contributors&gt;&lt;authors&gt;&lt;author&gt;Dagher, Julien&lt;/author&gt;&lt;author&gt;Delahunt, Brett&lt;/author&gt;&lt;author&gt;Rioux‐Leclercq, Nathalie&lt;/author&gt;&lt;author&gt;Egevad, Lars&lt;/author&gt;&lt;author&gt;Coughlin, Geoff&lt;/author&gt;&lt;author&gt;Dunglison, Nigel&lt;/author&gt;&lt;author&gt;Gianduzzo, Troy&lt;/author&gt;&lt;author&gt;Kua, Boon&lt;/author&gt;&lt;author&gt;Malone, Greg&lt;/author&gt;&lt;author&gt;Martin, Ben&lt;/author&gt;&lt;/authors&gt;&lt;/contributors&gt;&lt;titles&gt;&lt;title&gt;Assessment of tumour‐associated necrosis provides prognostic informati</w:instrText>
      </w:r>
      <w:r>
        <w:rPr>
          <w:color w:val="auto"/>
        </w:rPr>
        <w:instrText xml:space="preserve">on additional to World Health Organization/International Society of Urological Pathology grading for clear cell renal cell carcinoma&lt;/title&gt;&lt;secondary-title&gt;Histopathology&lt;/secondary-title&gt;&lt;/titles&gt;&lt;periodical&gt;&lt;full-title&gt;Histopathology&lt;/full-title&gt;&lt;/periodical&gt;&lt;pages&gt;284-290&lt;/pages&gt;&lt;volume&gt;74&lt;/volume&gt;&lt;number&gt;2&lt;/number&gt;&lt;dates&gt;&lt;year&gt;2019&lt;/year&gt;&lt;/dates&gt;&lt;isbn&gt;0309-0167&lt;/isbn&gt;&lt;urls&gt;&lt;/urls&gt;&lt;/record&gt;&lt;/Cite&gt;&lt;/EndNote&gt;</w:instrText>
      </w:r>
      <w:r>
        <w:rPr>
          <w:color w:val="auto"/>
        </w:rPr>
        <w:fldChar w:fldCharType="separate"/>
      </w:r>
      <w:r>
        <w:rPr>
          <w:color w:val="auto"/>
        </w:rPr>
        <w:t>[4]</w:t>
      </w:r>
      <w:r>
        <w:rPr>
          <w:color w:val="auto"/>
        </w:rPr>
        <w:fldChar w:fldCharType="end"/>
      </w:r>
      <w:r>
        <w:rPr>
          <w:color w:val="auto"/>
        </w:rPr>
        <w:t>.</w:t>
      </w:r>
      <w:r>
        <w:rPr>
          <w:color w:val="auto"/>
        </w:rPr>
        <w:t xml:space="preserve"> We implemented fine-tuned transfer learning using the VGG-16 model, then trained and evaluated it using the stratified 5-fold cross-validation method</w:t>
      </w:r>
      <w:r>
        <w:rPr>
          <w:color w:val="auto"/>
        </w:rPr>
        <w:fldChar w:fldCharType="begin"/>
      </w:r>
      <w:r>
        <w:rPr>
          <w:color w:val="auto"/>
        </w:rPr>
        <w:instrText xml:space="preserve"> ADDIN EN.CITE &lt;EndNote&gt;&lt;Cite&gt;&lt;Author&gt;Simonyan&lt;/Author&gt;&lt;Year&gt;2014&lt;/Year&gt;&lt;RecNum&gt;42&lt;/RecNum&gt;&lt;DisplayText&gt;[5]&lt;/DisplayText&gt;&lt;record&gt;&lt;rec-number&gt;42&lt;/rec-number&gt;&lt;foreign-keys&gt;&lt;key app="EN" db-id="a2rrpt5vaxp2dpe9tvjxxtdfw20220ar55sz" timestamp="1736253311"&gt;42&lt;/key&gt;&lt;/foreign-keys&gt;&lt;ref-type name="Journal Article"&gt;17&lt;/ref-type&gt;&lt;contributors&gt;&lt;authors&gt;&lt;author&gt;Simonyan, Karen&lt;/author&gt;&lt;author&gt;Zisserman, Andrew&lt;/author&gt;&lt;/authors&gt;&lt;/contributors&gt;&lt;titles&gt;&lt;title&gt;Very deep convolutional networks for large-scale image recognition&lt;/title&gt;&lt;secondary-title&gt;arXiv preprint arXiv:1409.1556&lt;/secondary-title&gt;&lt;/titles&gt;&lt;periodical&gt;&lt;full-title&gt;arXiv preprint arXiv:1409.1556&lt;/full-title&gt;&lt;/periodical&gt;&lt;dates&gt;&lt;year&gt;2014&lt;/year&gt;&lt;/dates&gt;&lt;urls&gt;&lt;/urls&gt;&lt;/record&gt;&lt;/Cite&gt;&lt;/EndNote&gt;</w:instrText>
      </w:r>
      <w:r>
        <w:rPr>
          <w:color w:val="auto"/>
        </w:rPr>
        <w:fldChar w:fldCharType="separate"/>
      </w:r>
      <w:r>
        <w:rPr>
          <w:color w:val="auto"/>
        </w:rPr>
        <w:t>[5]</w:t>
      </w:r>
      <w:r>
        <w:rPr>
          <w:color w:val="auto"/>
        </w:rPr>
        <w:fldChar w:fldCharType="end"/>
      </w:r>
      <w:r>
        <w:rPr>
          <w:color w:val="auto"/>
        </w:rPr>
        <w:t>. To optimize the model's performance, we modified its structure by replacing the fully connected layers with a global max pooling layer, a dropout layer (dropout rate = 0.5), a fully connected layer (128 neurons, ReLU activation function), and a classification layer (SoftMax activation function). For the model's hyperparameter configuration, we utilized the Adam optimizer with a learning rate of 0.0001, a batch size of 16, and 100 epochs.</w:t>
      </w:r>
    </w:p>
    <w:p w14:paraId="42F8DC63">
      <w:pPr>
        <w:pStyle w:val="16"/>
        <w:spacing w:before="78" w:after="78" w:line="360" w:lineRule="auto"/>
        <w:rPr>
          <w:color w:val="auto"/>
        </w:rPr>
      </w:pPr>
      <w:r>
        <w:rPr>
          <w:color w:val="auto"/>
        </w:rPr>
        <w:t>Lymphocytes classification</w:t>
      </w:r>
    </w:p>
    <w:p w14:paraId="602B919D">
      <w:pPr>
        <w:pStyle w:val="11"/>
        <w:spacing w:line="360" w:lineRule="auto"/>
        <w:rPr>
          <w:color w:val="auto"/>
        </w:rPr>
      </w:pPr>
      <w:r>
        <w:rPr>
          <w:color w:val="auto"/>
        </w:rPr>
        <w:t>We utilized a deep learning model to identify lymphocytes, providing insights into the tumor immune microenvironment (TIME). The model was trained and evaluated using public datasets from the literature, comprising data from LUAD (10 patients) and BRCA (18 patients) at 20× magnification, totaling 34,404 samples with image dimensions of 500×500×3</w:t>
      </w:r>
      <w:r>
        <w:rPr>
          <w:color w:val="auto"/>
        </w:rPr>
        <w:fldChar w:fldCharType="begin"/>
      </w:r>
      <w:r>
        <w:rPr>
          <w:color w:val="auto"/>
        </w:rPr>
        <w:instrText xml:space="preserve"> ADDIN EN.CITE &lt;EndNote&gt;&lt;Cite&gt;&lt;Author&gt;Simonyan&lt;/Author&gt;&lt;Year&gt;2014&lt;/Year&gt;&lt;RecNum&gt;42&lt;/RecNum&gt;&lt;DisplayText&gt;[5]&lt;/DisplayText&gt;&lt;record&gt;&lt;rec-number&gt;42&lt;/rec-number&gt;&lt;foreign-keys&gt;&lt;key app="EN" db-id="a2rrpt5vaxp2dpe9tvjxxtdfw20220ar55sz" timestamp="1736253311"&gt;42&lt;/key&gt;&lt;/foreign-keys&gt;&lt;ref-type name="Journal Article"&gt;17&lt;/ref-type&gt;&lt;contributors&gt;&lt;authors&gt;&lt;author&gt;Simonyan, Karen&lt;/author&gt;&lt;author&gt;Zisserman, Andrew&lt;/author&gt;&lt;/authors&gt;&lt;/contributors&gt;&lt;titles&gt;&lt;title&gt;Very deep convolutional networks for large-scale image recognition&lt;/title&gt;&lt;secondary-title&gt;arXiv preprint arXiv:1409.1556&lt;/secondary-title&gt;&lt;/titles&gt;&lt;periodical&gt;&lt;full-title&gt;arXiv preprint arXiv:1409.1556&lt;/full-title&gt;&lt;/periodical&gt;&lt;dates&gt;&lt;year&gt;2014&lt;/year&gt;&lt;/dates&gt;&lt;urls&gt;&lt;/urls&gt;&lt;/record&gt;&lt;/Cite&gt;&lt;/EndNote&gt;</w:instrText>
      </w:r>
      <w:r>
        <w:rPr>
          <w:color w:val="auto"/>
        </w:rPr>
        <w:fldChar w:fldCharType="separate"/>
      </w:r>
      <w:r>
        <w:rPr>
          <w:color w:val="auto"/>
        </w:rPr>
        <w:t>[5]</w:t>
      </w:r>
      <w:r>
        <w:rPr>
          <w:color w:val="auto"/>
        </w:rPr>
        <w:fldChar w:fldCharType="end"/>
      </w:r>
      <w:r>
        <w:rPr>
          <w:color w:val="auto"/>
        </w:rPr>
        <w:t xml:space="preserve">. </w:t>
      </w:r>
      <w:r>
        <w:rPr>
          <w:color w:val="auto"/>
        </w:rPr>
        <w:t xml:space="preserve">Lymphocyte classification was determined by analyzing the central 100×100pixel region within each Tile. If this central region contained visible lymphocytes, the Tile was labeled as lymphocyte-infiltrated; otherwise, it was considered non-infiltrated. </w:t>
      </w:r>
      <w:r>
        <w:rPr>
          <w:color w:val="auto"/>
        </w:rPr>
        <w:t>We employed a stratified 5-fold cross-validation method for model training and evaluation, maintaining the same hyperparameter configuration as the necrosis model.</w:t>
      </w:r>
    </w:p>
    <w:p w14:paraId="18647B71">
      <w:pPr>
        <w:pStyle w:val="22"/>
        <w:spacing w:before="78" w:after="78" w:line="480" w:lineRule="auto"/>
        <w:rPr>
          <w:color w:val="auto"/>
        </w:rPr>
      </w:pPr>
      <w:r>
        <w:rPr>
          <w:color w:val="auto"/>
        </w:rPr>
        <w:t xml:space="preserve">Tissue </w:t>
      </w:r>
      <w:r>
        <w:rPr>
          <w:rFonts w:hint="eastAsia"/>
          <w:color w:val="auto"/>
        </w:rPr>
        <w:t>r</w:t>
      </w:r>
      <w:r>
        <w:rPr>
          <w:color w:val="auto"/>
        </w:rPr>
        <w:t>egion identification results</w:t>
      </w:r>
    </w:p>
    <w:p w14:paraId="61E059EB">
      <w:pPr>
        <w:pStyle w:val="11"/>
        <w:spacing w:line="480" w:lineRule="auto"/>
        <w:rPr>
          <w:color w:val="auto"/>
        </w:rPr>
      </w:pPr>
      <w:r>
        <w:rPr>
          <w:color w:val="auto"/>
        </w:rPr>
        <w:t>During the generation of TS-images, we developed and trained three distinct models, each designed to perform specific functions. The following section outlines the modeling process for each of these models in detail.</w:t>
      </w:r>
    </w:p>
    <w:p w14:paraId="76E66B3A">
      <w:pPr>
        <w:pStyle w:val="11"/>
        <w:spacing w:line="480" w:lineRule="auto"/>
        <w:rPr>
          <w:color w:val="auto"/>
        </w:rPr>
      </w:pPr>
      <w:r>
        <w:rPr>
          <w:color w:val="auto"/>
        </w:rPr>
        <w:t>In the tumor classification model training and evaluation stage, the Xception model undergoes full network layer fine-tuning, employing an early-stop training strategy to mitigate overfitting. The model training concluded at the 25th epoch. Subsequent evaluation on the validation and test sets yielded classification accuracies of 0.865 and 0.860, respectively, with corresponding AUC values of 0.927 and 0.917. The comparable performance across validation and test sets demonstrates the model's generalization capability and validates the data sampling approach. Due to magnification disparities between the Yale Response and IMPRESS HER2+ datasets (20×) and the classification model's requirements (40×), the NAC dataset was upsampled from 175×175×3 to 350×350×3 using bidirectional interpolation.</w:t>
      </w:r>
    </w:p>
    <w:p w14:paraId="00AC8EA1">
      <w:pPr>
        <w:pStyle w:val="11"/>
        <w:spacing w:line="480" w:lineRule="auto"/>
        <w:rPr>
          <w:color w:val="auto"/>
        </w:rPr>
      </w:pPr>
      <w:r>
        <w:rPr>
          <w:color w:val="auto"/>
        </w:rPr>
        <w:t>During the training and evaluation phase of the necrosis classification model, the VGG-16 architecture underwent full network layer fine-tuning. The experimental methodology employed a stratified 5-fold cross-validation approach. The model achieved an average accuracy of 0.964 ± 0.035. For necrosis classification, an ensemble scheme was implemented, utilizing the mean predicted probability from the 5-fold cross-validation models as the final prediction outcome.</w:t>
      </w:r>
    </w:p>
    <w:p w14:paraId="6BE44897">
      <w:pPr>
        <w:pStyle w:val="11"/>
        <w:spacing w:line="480" w:lineRule="auto"/>
        <w:rPr>
          <w:color w:val="auto"/>
        </w:rPr>
      </w:pPr>
      <w:r>
        <w:rPr>
          <w:color w:val="auto"/>
        </w:rPr>
        <w:t>For the training and evaluation of the lymphocytes classification model, we employed identical experimental tools as those used for the necrosis classifier. The model ultimately demonstrated a mean accuracy of 0.914 ± 0.031. We utilized an ensemble classification approach for lymphocyte identification, with the final prediction result derived from the average predicted probabilities of the 5-fold cross-validated model.</w:t>
      </w:r>
    </w:p>
    <w:p w14:paraId="4843E0CD">
      <w:pPr>
        <w:widowControl/>
        <w:jc w:val="left"/>
        <w:rPr>
          <w:rFonts w:ascii="Times New Roman" w:hAnsi="Times New Roman" w:eastAsia="宋体"/>
          <w:color w:val="auto"/>
          <w:szCs w:val="21"/>
        </w:rPr>
      </w:pPr>
      <w:r>
        <w:rPr>
          <w:color w:val="auto"/>
        </w:rPr>
        <w:br w:type="page"/>
      </w:r>
    </w:p>
    <w:p w14:paraId="1247B9FB">
      <w:pPr>
        <w:pStyle w:val="16"/>
        <w:spacing w:before="78" w:after="78" w:line="360" w:lineRule="auto"/>
        <w:rPr>
          <w:color w:val="auto"/>
        </w:rPr>
      </w:pPr>
      <w:r>
        <w:rPr>
          <w:color w:val="auto"/>
        </w:rPr>
        <w:t>Relative Feature</w:t>
      </w:r>
    </w:p>
    <w:p w14:paraId="290112C8">
      <w:pPr>
        <w:pStyle w:val="11"/>
        <w:spacing w:line="480" w:lineRule="auto"/>
        <w:rPr>
          <w:b/>
          <w:bCs/>
          <w:color w:val="auto"/>
        </w:rPr>
      </w:pPr>
      <w:r>
        <w:rPr>
          <w:b/>
          <w:bCs/>
          <w:color w:val="auto"/>
        </w:rPr>
        <w:t>Tumor-to-Non-Tumor Ratio (TNR)</w:t>
      </w:r>
    </w:p>
    <w:p w14:paraId="2929A7E8">
      <w:pPr>
        <w:pStyle w:val="5"/>
        <w:widowControl/>
        <w:jc w:val="both"/>
        <w:rPr>
          <w:color w:val="auto"/>
        </w:rPr>
      </w:pPr>
      <m:oMathPara>
        <m:oMathParaPr>
          <m:jc m:val="center"/>
        </m:oMathParaPr>
        <m:oMath>
          <m:eqArr>
            <m:eqArrPr>
              <m:maxDist m:val="1"/>
              <m:ctrlPr>
                <w:rPr>
                  <w:rFonts w:ascii="Cambria Math" w:hAnsi="Cambria Math"/>
                  <w:i/>
                  <w:color w:val="auto"/>
                  <w:sz w:val="21"/>
                  <w:szCs w:val="21"/>
                </w:rPr>
              </m:ctrlPr>
            </m:eqArrPr>
            <m:e>
              <m:r>
                <m:rPr/>
                <w:rPr>
                  <w:rFonts w:ascii="Cambria Math" w:hAnsi="Cambria Math"/>
                  <w:color w:val="auto"/>
                  <w:sz w:val="21"/>
                  <w:szCs w:val="21"/>
                </w:rPr>
                <m:t>TNR=</m:t>
              </m:r>
              <m:f>
                <m:fPr>
                  <m:ctrlPr>
                    <w:rPr>
                      <w:rFonts w:ascii="Cambria Math" w:hAnsi="Cambria Math"/>
                      <w:i/>
                      <w:color w:val="auto"/>
                      <w:sz w:val="21"/>
                      <w:szCs w:val="21"/>
                    </w:rPr>
                  </m:ctrlPr>
                </m:fPr>
                <m:num>
                  <m:r>
                    <m:rPr/>
                    <w:rPr>
                      <w:rFonts w:ascii="Cambria Math" w:hAnsi="Cambria Math"/>
                      <w:color w:val="auto"/>
                      <w:sz w:val="21"/>
                      <w:szCs w:val="21"/>
                    </w:rPr>
                    <m:t>Tumor Tile Counts</m:t>
                  </m:r>
                  <m:ctrlPr>
                    <w:rPr>
                      <w:rFonts w:ascii="Cambria Math" w:hAnsi="Cambria Math"/>
                      <w:i/>
                      <w:color w:val="auto"/>
                      <w:sz w:val="21"/>
                      <w:szCs w:val="21"/>
                    </w:rPr>
                  </m:ctrlPr>
                </m:num>
                <m:den>
                  <m:r>
                    <m:rPr/>
                    <w:rPr>
                      <w:rFonts w:ascii="Cambria Math" w:hAnsi="Cambria Math"/>
                      <w:color w:val="auto"/>
                      <w:sz w:val="21"/>
                      <w:szCs w:val="21"/>
                    </w:rPr>
                    <m:t>Non</m:t>
                  </m:r>
                  <m:r>
                    <m:rPr/>
                    <w:rPr>
                      <w:rFonts w:hint="eastAsia" w:ascii="Cambria Math" w:hAnsi="Cambria Math"/>
                      <w:color w:val="auto"/>
                      <w:sz w:val="21"/>
                      <w:szCs w:val="21"/>
                    </w:rPr>
                    <m:t>‐</m:t>
                  </m:r>
                  <m:r>
                    <m:rPr/>
                    <w:rPr>
                      <w:rFonts w:ascii="Cambria Math" w:hAnsi="Cambria Math"/>
                      <w:color w:val="auto"/>
                      <w:sz w:val="21"/>
                      <w:szCs w:val="21"/>
                    </w:rPr>
                    <m:t>Tumor Tile Counts+Tumor Tile Counts</m:t>
                  </m:r>
                  <m:ctrlPr>
                    <w:rPr>
                      <w:rFonts w:ascii="Cambria Math" w:hAnsi="Cambria Math"/>
                      <w:i/>
                      <w:color w:val="auto"/>
                      <w:sz w:val="21"/>
                      <w:szCs w:val="21"/>
                    </w:rPr>
                  </m:ctrlPr>
                </m:den>
              </m:f>
              <m:r>
                <m:rPr/>
                <w:rPr>
                  <w:rFonts w:ascii="Cambria Math" w:hAnsi="Cambria Math"/>
                  <w:color w:val="auto"/>
                  <w:sz w:val="21"/>
                  <w:szCs w:val="21"/>
                </w:rPr>
                <m:t>#</m:t>
              </m:r>
              <m:d>
                <m:dPr>
                  <m:ctrlPr>
                    <w:rPr>
                      <w:rFonts w:ascii="Cambria Math" w:hAnsi="Cambria Math"/>
                      <w:i/>
                      <w:color w:val="auto"/>
                      <w:sz w:val="21"/>
                      <w:szCs w:val="21"/>
                    </w:rPr>
                  </m:ctrlPr>
                </m:dPr>
                <m:e>
                  <m:r>
                    <m:rPr/>
                    <w:rPr>
                      <w:rFonts w:ascii="Cambria Math" w:hAnsi="Cambria Math"/>
                      <w:color w:val="auto"/>
                      <w:sz w:val="21"/>
                      <w:szCs w:val="21"/>
                    </w:rPr>
                    <m:t>1</m:t>
                  </m:r>
                  <m:ctrlPr>
                    <w:rPr>
                      <w:rFonts w:ascii="Cambria Math" w:hAnsi="Cambria Math"/>
                      <w:i/>
                      <w:color w:val="auto"/>
                      <w:sz w:val="21"/>
                      <w:szCs w:val="21"/>
                    </w:rPr>
                  </m:ctrlPr>
                </m:e>
              </m:d>
              <m:ctrlPr>
                <w:rPr>
                  <w:rFonts w:ascii="Cambria Math" w:hAnsi="Cambria Math"/>
                  <w:i/>
                  <w:color w:val="auto"/>
                  <w:sz w:val="21"/>
                  <w:szCs w:val="21"/>
                </w:rPr>
              </m:ctrlPr>
            </m:e>
          </m:eqArr>
        </m:oMath>
      </m:oMathPara>
    </w:p>
    <w:p w14:paraId="076CD245">
      <w:pPr>
        <w:pStyle w:val="11"/>
        <w:spacing w:line="480" w:lineRule="auto"/>
        <w:rPr>
          <w:b/>
          <w:bCs/>
          <w:color w:val="auto"/>
        </w:rPr>
      </w:pPr>
      <w:r>
        <w:rPr>
          <w:b/>
          <w:bCs/>
          <w:color w:val="auto"/>
        </w:rPr>
        <w:t>Intratumoral-Lymphocytes-to-Tumor Ratio (ILTR)</w:t>
      </w:r>
    </w:p>
    <w:p w14:paraId="59062BAC">
      <w:pPr>
        <w:pStyle w:val="5"/>
        <w:widowControl/>
        <w:jc w:val="both"/>
        <w:rPr>
          <w:color w:val="auto"/>
        </w:rPr>
      </w:pPr>
      <m:oMathPara>
        <m:oMath>
          <m:eqArr>
            <m:eqArrPr>
              <m:maxDist m:val="1"/>
              <m:ctrlPr>
                <w:rPr>
                  <w:rFonts w:ascii="Cambria Math" w:hAnsi="Cambria Math"/>
                  <w:i/>
                  <w:iCs/>
                  <w:color w:val="auto"/>
                  <w:kern w:val="2"/>
                  <w:sz w:val="21"/>
                </w:rPr>
              </m:ctrlPr>
            </m:eqArrPr>
            <m:e>
              <m:r>
                <m:rPr/>
                <w:rPr>
                  <w:rFonts w:ascii="Cambria Math" w:hAnsi="Cambria Math"/>
                  <w:color w:val="auto"/>
                </w:rPr>
                <m:t>ILTR</m:t>
              </m:r>
              <m:r>
                <m:rPr>
                  <m:sty m:val="p"/>
                </m:rPr>
                <w:rPr>
                  <w:rFonts w:ascii="Cambria Math" w:hAnsi="Cambria Math"/>
                  <w:color w:val="auto"/>
                  <w:kern w:val="2"/>
                  <w:sz w:val="21"/>
                </w:rPr>
                <m:t>=</m:t>
              </m:r>
              <m:f>
                <m:fPr>
                  <m:ctrlPr>
                    <w:rPr>
                      <w:rFonts w:ascii="Cambria Math" w:hAnsi="Cambria Math"/>
                      <w:i/>
                      <w:iCs/>
                      <w:color w:val="auto"/>
                      <w:kern w:val="2"/>
                      <w:sz w:val="21"/>
                    </w:rPr>
                  </m:ctrlPr>
                </m:fPr>
                <m:num>
                  <m:r>
                    <m:rPr/>
                    <w:rPr>
                      <w:rFonts w:ascii="Cambria Math" w:hAnsi="Cambria Math"/>
                      <w:color w:val="auto"/>
                      <w:kern w:val="2"/>
                      <w:sz w:val="21"/>
                    </w:rPr>
                    <m:t>Intratumoral Lympℎocytes Tile Counts</m:t>
                  </m:r>
                  <m:ctrlPr>
                    <w:rPr>
                      <w:rFonts w:ascii="Cambria Math" w:hAnsi="Cambria Math"/>
                      <w:i/>
                      <w:iCs/>
                      <w:color w:val="auto"/>
                      <w:kern w:val="2"/>
                      <w:sz w:val="21"/>
                    </w:rPr>
                  </m:ctrlPr>
                </m:num>
                <m:den>
                  <m:r>
                    <m:rPr/>
                    <w:rPr>
                      <w:rFonts w:ascii="Cambria Math" w:hAnsi="Cambria Math"/>
                      <w:color w:val="auto"/>
                      <w:kern w:val="2"/>
                      <w:sz w:val="21"/>
                    </w:rPr>
                    <m:t>Tumor Tile Counts+Intratumor Lympℎocytes Tile Counts</m:t>
                  </m:r>
                  <m:ctrlPr>
                    <w:rPr>
                      <w:rFonts w:ascii="Cambria Math" w:hAnsi="Cambria Math"/>
                      <w:i/>
                      <w:iCs/>
                      <w:color w:val="auto"/>
                      <w:kern w:val="2"/>
                      <w:sz w:val="21"/>
                    </w:rPr>
                  </m:ctrlPr>
                </m:den>
              </m:f>
              <m:r>
                <m:rPr/>
                <w:rPr>
                  <w:rFonts w:ascii="Cambria Math" w:hAnsi="Cambria Math"/>
                  <w:color w:val="auto"/>
                </w:rPr>
                <m:t>#</m:t>
              </m:r>
              <m:d>
                <m:dPr>
                  <m:ctrlPr>
                    <w:rPr>
                      <w:rFonts w:ascii="Cambria Math" w:hAnsi="Cambria Math"/>
                      <w:i/>
                      <w:iCs/>
                      <w:color w:val="auto"/>
                      <w:kern w:val="2"/>
                      <w:sz w:val="21"/>
                    </w:rPr>
                  </m:ctrlPr>
                </m:dPr>
                <m:e>
                  <m:r>
                    <m:rPr/>
                    <w:rPr>
                      <w:rFonts w:ascii="Cambria Math" w:hAnsi="Cambria Math"/>
                      <w:color w:val="auto"/>
                      <w:kern w:val="2"/>
                      <w:sz w:val="21"/>
                    </w:rPr>
                    <m:t>2</m:t>
                  </m:r>
                  <m:ctrlPr>
                    <w:rPr>
                      <w:rFonts w:ascii="Cambria Math" w:hAnsi="Cambria Math"/>
                      <w:i/>
                      <w:iCs/>
                      <w:color w:val="auto"/>
                      <w:kern w:val="2"/>
                      <w:sz w:val="21"/>
                    </w:rPr>
                  </m:ctrlPr>
                </m:e>
              </m:d>
              <m:ctrlPr>
                <w:rPr>
                  <w:rFonts w:ascii="Cambria Math" w:hAnsi="Cambria Math"/>
                  <w:i/>
                  <w:color w:val="auto"/>
                </w:rPr>
              </m:ctrlPr>
            </m:e>
          </m:eqArr>
        </m:oMath>
      </m:oMathPara>
    </w:p>
    <w:p w14:paraId="11CF9603">
      <w:pPr>
        <w:pStyle w:val="11"/>
        <w:spacing w:line="480" w:lineRule="auto"/>
        <w:rPr>
          <w:b/>
          <w:bCs/>
          <w:color w:val="auto"/>
        </w:rPr>
      </w:pPr>
      <w:r>
        <w:rPr>
          <w:b/>
          <w:bCs/>
          <w:color w:val="auto"/>
        </w:rPr>
        <w:t>Non-Tumor-to-Lymphocyte Ratio (NTLR)</w:t>
      </w:r>
    </w:p>
    <w:p w14:paraId="76FBCA5E">
      <w:pPr>
        <w:pStyle w:val="5"/>
        <w:widowControl/>
        <w:jc w:val="both"/>
        <w:rPr>
          <w:color w:val="auto"/>
          <w:sz w:val="21"/>
          <w:szCs w:val="21"/>
        </w:rPr>
      </w:pPr>
      <m:oMathPara>
        <m:oMath>
          <m:eqArr>
            <m:eqArrPr>
              <m:maxDist m:val="1"/>
              <m:ctrlPr>
                <w:rPr>
                  <w:rFonts w:ascii="Cambria Math" w:hAnsi="Cambria Math"/>
                  <w:i/>
                  <w:color w:val="auto"/>
                  <w:sz w:val="21"/>
                  <w:szCs w:val="21"/>
                </w:rPr>
              </m:ctrlPr>
            </m:eqArrPr>
            <m:e>
              <m:r>
                <m:rPr/>
                <w:rPr>
                  <w:rFonts w:ascii="Cambria Math" w:hAnsi="Cambria Math"/>
                  <w:color w:val="auto"/>
                  <w:sz w:val="21"/>
                  <w:szCs w:val="21"/>
                </w:rPr>
                <m:t>NTLR=</m:t>
              </m:r>
              <m:f>
                <m:fPr>
                  <m:ctrlPr>
                    <w:rPr>
                      <w:rFonts w:ascii="Cambria Math" w:hAnsi="Cambria Math"/>
                      <w:i/>
                      <w:iCs/>
                      <w:color w:val="auto"/>
                      <w:kern w:val="2"/>
                      <w:sz w:val="21"/>
                    </w:rPr>
                  </m:ctrlPr>
                </m:fPr>
                <m:num>
                  <m:r>
                    <m:rPr/>
                    <w:rPr>
                      <w:rFonts w:ascii="Cambria Math" w:hAnsi="Cambria Math"/>
                      <w:color w:val="auto"/>
                      <w:kern w:val="2"/>
                      <w:sz w:val="21"/>
                    </w:rPr>
                    <m:t>Non–Tumor Lympℎocytes Tile Counts</m:t>
                  </m:r>
                  <m:ctrlPr>
                    <w:rPr>
                      <w:rFonts w:ascii="Cambria Math" w:hAnsi="Cambria Math"/>
                      <w:i/>
                      <w:iCs/>
                      <w:color w:val="auto"/>
                      <w:kern w:val="2"/>
                      <w:sz w:val="21"/>
                    </w:rPr>
                  </m:ctrlPr>
                </m:num>
                <m:den>
                  <m:r>
                    <m:rPr/>
                    <w:rPr>
                      <w:rFonts w:ascii="Cambria Math" w:hAnsi="Cambria Math"/>
                      <w:color w:val="auto"/>
                      <w:kern w:val="2"/>
                      <w:sz w:val="21"/>
                    </w:rPr>
                    <m:t>Non</m:t>
                  </m:r>
                  <m:r>
                    <m:rPr/>
                    <w:rPr>
                      <w:rFonts w:hint="eastAsia" w:ascii="Cambria Math" w:hAnsi="Cambria Math"/>
                      <w:color w:val="auto"/>
                      <w:kern w:val="2"/>
                      <w:sz w:val="21"/>
                    </w:rPr>
                    <m:t>‐</m:t>
                  </m:r>
                  <m:r>
                    <m:rPr/>
                    <w:rPr>
                      <w:rFonts w:ascii="Cambria Math" w:hAnsi="Cambria Math"/>
                      <w:color w:val="auto"/>
                      <w:kern w:val="2"/>
                      <w:sz w:val="21"/>
                    </w:rPr>
                    <m:t>Tumor Tile Counts+Non</m:t>
                  </m:r>
                  <m:r>
                    <m:rPr/>
                    <w:rPr>
                      <w:rFonts w:hint="eastAsia" w:ascii="Cambria Math" w:hAnsi="Cambria Math"/>
                      <w:color w:val="auto"/>
                      <w:kern w:val="2"/>
                      <w:sz w:val="21"/>
                    </w:rPr>
                    <m:t>‐</m:t>
                  </m:r>
                  <m:r>
                    <m:rPr/>
                    <w:rPr>
                      <w:rFonts w:ascii="Cambria Math" w:hAnsi="Cambria Math"/>
                      <w:color w:val="auto"/>
                      <w:kern w:val="2"/>
                      <w:sz w:val="21"/>
                    </w:rPr>
                    <m:t>Tumor Lympℎocytes Tile Counts</m:t>
                  </m:r>
                  <m:ctrlPr>
                    <w:rPr>
                      <w:rFonts w:ascii="Cambria Math" w:hAnsi="Cambria Math"/>
                      <w:i/>
                      <w:iCs/>
                      <w:color w:val="auto"/>
                      <w:kern w:val="2"/>
                      <w:sz w:val="21"/>
                    </w:rPr>
                  </m:ctrlPr>
                </m:den>
              </m:f>
              <m:r>
                <m:rPr/>
                <w:rPr>
                  <w:rFonts w:ascii="Cambria Math" w:hAnsi="Cambria Math"/>
                  <w:color w:val="auto"/>
                  <w:sz w:val="21"/>
                  <w:szCs w:val="21"/>
                </w:rPr>
                <m:t>#</m:t>
              </m:r>
              <m:d>
                <m:dPr>
                  <m:ctrlPr>
                    <w:rPr>
                      <w:rFonts w:ascii="Cambria Math" w:hAnsi="Cambria Math"/>
                      <w:i/>
                      <w:color w:val="auto"/>
                      <w:sz w:val="21"/>
                      <w:szCs w:val="21"/>
                    </w:rPr>
                  </m:ctrlPr>
                </m:dPr>
                <m:e>
                  <m:r>
                    <m:rPr/>
                    <w:rPr>
                      <w:rFonts w:ascii="Cambria Math" w:hAnsi="Cambria Math"/>
                      <w:color w:val="auto"/>
                      <w:sz w:val="21"/>
                      <w:szCs w:val="21"/>
                    </w:rPr>
                    <m:t>3</m:t>
                  </m:r>
                  <m:ctrlPr>
                    <w:rPr>
                      <w:rFonts w:ascii="Cambria Math" w:hAnsi="Cambria Math"/>
                      <w:i/>
                      <w:color w:val="auto"/>
                      <w:sz w:val="21"/>
                      <w:szCs w:val="21"/>
                    </w:rPr>
                  </m:ctrlPr>
                </m:e>
              </m:d>
              <m:ctrlPr>
                <w:rPr>
                  <w:rFonts w:ascii="Cambria Math" w:hAnsi="Cambria Math"/>
                  <w:i/>
                  <w:color w:val="auto"/>
                  <w:sz w:val="21"/>
                  <w:szCs w:val="21"/>
                </w:rPr>
              </m:ctrlPr>
            </m:e>
          </m:eqArr>
        </m:oMath>
      </m:oMathPara>
    </w:p>
    <w:p w14:paraId="46BA5FD8">
      <w:pPr>
        <w:pStyle w:val="11"/>
        <w:spacing w:line="480" w:lineRule="auto"/>
        <w:rPr>
          <w:b/>
          <w:bCs/>
          <w:color w:val="auto"/>
        </w:rPr>
      </w:pPr>
      <w:r>
        <w:rPr>
          <w:b/>
          <w:bCs/>
          <w:color w:val="auto"/>
        </w:rPr>
        <w:t>Lymphocyte-to-Non-Tumor Ratio (LNTR)</w:t>
      </w:r>
    </w:p>
    <w:p w14:paraId="67AF0BDC">
      <w:pPr>
        <w:pStyle w:val="5"/>
        <w:widowControl/>
        <w:jc w:val="both"/>
        <w:rPr>
          <w:color w:val="auto"/>
        </w:rPr>
      </w:pPr>
      <m:oMathPara>
        <m:oMath>
          <m:eqArr>
            <m:eqArrPr>
              <m:maxDist m:val="1"/>
              <m:ctrlPr>
                <w:rPr>
                  <w:rFonts w:ascii="Cambria Math" w:hAnsi="Cambria Math"/>
                  <w:i/>
                  <w:color w:val="auto"/>
                  <w:sz w:val="21"/>
                  <w:szCs w:val="21"/>
                </w:rPr>
              </m:ctrlPr>
            </m:eqArrPr>
            <m:e>
              <m:r>
                <m:rPr/>
                <w:rPr>
                  <w:rFonts w:hint="eastAsia" w:ascii="Cambria Math" w:hAnsi="Cambria Math"/>
                  <w:color w:val="auto"/>
                  <w:sz w:val="21"/>
                  <w:szCs w:val="21"/>
                </w:rPr>
                <m:t>LNTR</m:t>
              </m:r>
              <m:r>
                <m:rPr/>
                <w:rPr>
                  <w:rFonts w:ascii="Cambria Math" w:hAnsi="Cambria Math"/>
                  <w:color w:val="auto"/>
                  <w:sz w:val="21"/>
                  <w:szCs w:val="21"/>
                </w:rPr>
                <m:t>=</m:t>
              </m:r>
              <m:f>
                <m:fPr>
                  <m:ctrlPr>
                    <w:rPr>
                      <w:rFonts w:ascii="Cambria Math" w:hAnsi="Cambria Math"/>
                      <w:i/>
                      <w:color w:val="auto"/>
                      <w:sz w:val="21"/>
                      <w:szCs w:val="21"/>
                    </w:rPr>
                  </m:ctrlPr>
                </m:fPr>
                <m:num>
                  <w:bookmarkStart w:id="2" w:name="_Hlk192750817"/>
                  <m:r>
                    <m:rPr/>
                    <w:rPr>
                      <w:rFonts w:ascii="Cambria Math" w:hAnsi="Cambria Math"/>
                      <w:color w:val="auto"/>
                      <w:sz w:val="21"/>
                      <w:szCs w:val="21"/>
                    </w:rPr>
                    <m:t xml:space="preserve">Lympℎocytes </m:t>
                  </m:r>
                  <w:bookmarkEnd w:id="2"/>
                  <m:r>
                    <m:rPr/>
                    <w:rPr>
                      <w:rFonts w:ascii="Cambria Math" w:hAnsi="Cambria Math"/>
                      <w:color w:val="auto"/>
                      <w:sz w:val="21"/>
                      <w:szCs w:val="21"/>
                    </w:rPr>
                    <m:t>Tile Counts</m:t>
                  </m:r>
                  <m:ctrlPr>
                    <w:rPr>
                      <w:rFonts w:ascii="Cambria Math" w:hAnsi="Cambria Math"/>
                      <w:i/>
                      <w:color w:val="auto"/>
                      <w:sz w:val="21"/>
                      <w:szCs w:val="21"/>
                    </w:rPr>
                  </m:ctrlPr>
                </m:num>
                <m:den>
                  <m:r>
                    <m:rPr/>
                    <w:rPr>
                      <w:rFonts w:ascii="Cambria Math" w:hAnsi="Cambria Math"/>
                      <w:color w:val="auto"/>
                      <w:sz w:val="21"/>
                      <w:szCs w:val="21"/>
                    </w:rPr>
                    <m:t xml:space="preserve">Lympℎocytes Tile </m:t>
                  </m:r>
                  <m:r>
                    <m:rPr/>
                    <w:rPr>
                      <w:rFonts w:hint="eastAsia" w:ascii="Cambria Math" w:hAnsi="Cambria Math"/>
                      <w:color w:val="auto"/>
                      <w:sz w:val="21"/>
                      <w:szCs w:val="21"/>
                    </w:rPr>
                    <m:t>Count</m:t>
                  </m:r>
                  <m:r>
                    <m:rPr/>
                    <w:rPr>
                      <w:rFonts w:ascii="Cambria Math" w:hAnsi="Cambria Math"/>
                      <w:color w:val="auto"/>
                      <w:sz w:val="21"/>
                      <w:szCs w:val="21"/>
                    </w:rPr>
                    <m:t>s+Non−TILs Counts</m:t>
                  </m:r>
                  <m:ctrlPr>
                    <w:rPr>
                      <w:rFonts w:ascii="Cambria Math" w:hAnsi="Cambria Math"/>
                      <w:i/>
                      <w:color w:val="auto"/>
                      <w:sz w:val="21"/>
                      <w:szCs w:val="21"/>
                    </w:rPr>
                  </m:ctrlPr>
                </m:den>
              </m:f>
              <m:r>
                <m:rPr/>
                <w:rPr>
                  <w:rFonts w:ascii="Cambria Math" w:hAnsi="Cambria Math"/>
                  <w:color w:val="auto"/>
                  <w:sz w:val="21"/>
                  <w:szCs w:val="21"/>
                </w:rPr>
                <m:t>#</m:t>
              </m:r>
              <m:d>
                <m:dPr>
                  <m:ctrlPr>
                    <w:rPr>
                      <w:rFonts w:ascii="Cambria Math" w:hAnsi="Cambria Math"/>
                      <w:i/>
                      <w:color w:val="auto"/>
                      <w:sz w:val="21"/>
                      <w:szCs w:val="21"/>
                    </w:rPr>
                  </m:ctrlPr>
                </m:dPr>
                <m:e>
                  <m:r>
                    <m:rPr/>
                    <w:rPr>
                      <w:rFonts w:ascii="Cambria Math" w:hAnsi="Cambria Math"/>
                      <w:color w:val="auto"/>
                      <w:sz w:val="21"/>
                      <w:szCs w:val="21"/>
                    </w:rPr>
                    <m:t>4</m:t>
                  </m:r>
                  <m:ctrlPr>
                    <w:rPr>
                      <w:rFonts w:ascii="Cambria Math" w:hAnsi="Cambria Math"/>
                      <w:i/>
                      <w:color w:val="auto"/>
                      <w:sz w:val="21"/>
                      <w:szCs w:val="21"/>
                    </w:rPr>
                  </m:ctrlPr>
                </m:e>
              </m:d>
              <m:ctrlPr>
                <w:rPr>
                  <w:rFonts w:ascii="Cambria Math" w:hAnsi="Cambria Math"/>
                  <w:i/>
                  <w:color w:val="auto"/>
                  <w:sz w:val="21"/>
                  <w:szCs w:val="21"/>
                </w:rPr>
              </m:ctrlPr>
            </m:e>
          </m:eqArr>
        </m:oMath>
      </m:oMathPara>
    </w:p>
    <w:p w14:paraId="646C5930">
      <w:pPr>
        <w:pStyle w:val="11"/>
        <w:spacing w:line="480" w:lineRule="auto"/>
        <w:rPr>
          <w:b/>
          <w:bCs/>
          <w:color w:val="auto"/>
        </w:rPr>
      </w:pPr>
      <w:r>
        <w:rPr>
          <w:b/>
          <w:bCs/>
          <w:color w:val="auto"/>
        </w:rPr>
        <w:t>Lymphocyte Density (LD)</w:t>
      </w:r>
    </w:p>
    <w:p w14:paraId="379381B4">
      <w:pPr>
        <w:pStyle w:val="5"/>
        <w:widowControl/>
        <w:jc w:val="both"/>
        <w:rPr>
          <w:color w:val="auto"/>
        </w:rPr>
      </w:pPr>
      <m:oMathPara>
        <m:oMath>
          <m:eqArr>
            <m:eqArrPr>
              <m:maxDist m:val="1"/>
              <m:ctrlPr>
                <w:rPr>
                  <w:rFonts w:ascii="Cambria Math" w:hAnsi="Cambria Math"/>
                  <w:i/>
                  <w:color w:val="auto"/>
                  <w:sz w:val="21"/>
                  <w:szCs w:val="21"/>
                </w:rPr>
              </m:ctrlPr>
            </m:eqArrPr>
            <m:e>
              <m:r>
                <m:rPr/>
                <w:rPr>
                  <w:rFonts w:ascii="Cambria Math" w:hAnsi="Cambria Math"/>
                  <w:color w:val="auto"/>
                  <w:sz w:val="21"/>
                  <w:szCs w:val="21"/>
                </w:rPr>
                <m:t>LD=</m:t>
              </m:r>
              <m:f>
                <m:fPr>
                  <m:ctrlPr>
                    <w:rPr>
                      <w:rFonts w:ascii="Cambria Math" w:hAnsi="Cambria Math"/>
                      <w:i/>
                      <w:color w:val="auto"/>
                      <w:sz w:val="21"/>
                      <w:szCs w:val="21"/>
                    </w:rPr>
                  </m:ctrlPr>
                </m:fPr>
                <m:num>
                  <m:r>
                    <m:rPr/>
                    <w:rPr>
                      <w:rFonts w:ascii="Cambria Math" w:hAnsi="Cambria Math"/>
                      <w:color w:val="auto"/>
                      <w:sz w:val="21"/>
                      <w:szCs w:val="21"/>
                    </w:rPr>
                    <m:t>Lympℎocytes  Tile Counts</m:t>
                  </m:r>
                  <m:ctrlPr>
                    <w:rPr>
                      <w:rFonts w:ascii="Cambria Math" w:hAnsi="Cambria Math"/>
                      <w:i/>
                      <w:color w:val="auto"/>
                      <w:sz w:val="21"/>
                      <w:szCs w:val="21"/>
                    </w:rPr>
                  </m:ctrlPr>
                </m:num>
                <m:den>
                  <m:r>
                    <m:rPr/>
                    <w:rPr>
                      <w:rFonts w:ascii="Cambria Math" w:hAnsi="Cambria Math"/>
                      <w:color w:val="auto"/>
                      <w:sz w:val="21"/>
                      <w:szCs w:val="21"/>
                    </w:rPr>
                    <m:t>ToTal Tissue Counts</m:t>
                  </m:r>
                  <m:ctrlPr>
                    <w:rPr>
                      <w:rFonts w:ascii="Cambria Math" w:hAnsi="Cambria Math"/>
                      <w:i/>
                      <w:color w:val="auto"/>
                      <w:sz w:val="21"/>
                      <w:szCs w:val="21"/>
                    </w:rPr>
                  </m:ctrlPr>
                </m:den>
              </m:f>
              <m:r>
                <m:rPr/>
                <w:rPr>
                  <w:rFonts w:ascii="Cambria Math" w:hAnsi="Cambria Math"/>
                  <w:color w:val="auto"/>
                  <w:sz w:val="21"/>
                  <w:szCs w:val="21"/>
                </w:rPr>
                <m:t>#</m:t>
              </m:r>
              <m:d>
                <m:dPr>
                  <m:ctrlPr>
                    <w:rPr>
                      <w:rFonts w:ascii="Cambria Math" w:hAnsi="Cambria Math"/>
                      <w:i/>
                      <w:color w:val="auto"/>
                      <w:sz w:val="21"/>
                      <w:szCs w:val="21"/>
                    </w:rPr>
                  </m:ctrlPr>
                </m:dPr>
                <m:e>
                  <m:r>
                    <m:rPr/>
                    <w:rPr>
                      <w:rFonts w:ascii="Cambria Math" w:hAnsi="Cambria Math"/>
                      <w:color w:val="auto"/>
                      <w:sz w:val="21"/>
                      <w:szCs w:val="21"/>
                    </w:rPr>
                    <m:t>5</m:t>
                  </m:r>
                  <m:ctrlPr>
                    <w:rPr>
                      <w:rFonts w:ascii="Cambria Math" w:hAnsi="Cambria Math"/>
                      <w:i/>
                      <w:color w:val="auto"/>
                      <w:sz w:val="21"/>
                      <w:szCs w:val="21"/>
                    </w:rPr>
                  </m:ctrlPr>
                </m:e>
              </m:d>
              <m:ctrlPr>
                <w:rPr>
                  <w:rFonts w:ascii="Cambria Math" w:hAnsi="Cambria Math"/>
                  <w:i/>
                  <w:color w:val="auto"/>
                  <w:sz w:val="21"/>
                  <w:szCs w:val="21"/>
                </w:rPr>
              </m:ctrlPr>
            </m:e>
          </m:eqArr>
        </m:oMath>
      </m:oMathPara>
    </w:p>
    <w:p w14:paraId="2E1AD437">
      <w:pPr>
        <w:widowControl/>
        <w:jc w:val="left"/>
        <w:rPr>
          <w:rFonts w:ascii="Times New Roman" w:hAnsi="Times New Roman" w:cs="Times New Roman"/>
          <w:color w:val="auto"/>
        </w:rPr>
      </w:pPr>
      <w:r>
        <w:rPr>
          <w:rFonts w:ascii="Times New Roman" w:hAnsi="Times New Roman" w:cs="Times New Roman"/>
          <w:color w:val="auto"/>
        </w:rPr>
        <w:br w:type="page"/>
      </w:r>
    </w:p>
    <w:p w14:paraId="7436426B">
      <w:pPr>
        <w:rPr>
          <w:rFonts w:ascii="Times New Roman" w:hAnsi="Times New Roman" w:cs="Times New Roman"/>
          <w:color w:val="auto"/>
        </w:rPr>
      </w:pPr>
      <w:r>
        <w:rPr>
          <w:rFonts w:ascii="Times New Roman" w:hAnsi="Times New Roman" w:cs="Times New Roman"/>
          <w:color w:val="auto"/>
        </w:rPr>
        <w:t>Table S1 Feature weight information for the non-tumor and non-TILs of the Yale Response Dataset. s represents for significance, L represents for largest, and A represents for ALL.</w:t>
      </w:r>
    </w:p>
    <w:tbl>
      <w:tblPr>
        <w:tblStyle w:val="7"/>
        <w:tblpPr w:leftFromText="180" w:rightFromText="180" w:vertAnchor="page" w:horzAnchor="margin" w:tblpY="2513"/>
        <w:tblW w:w="54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697"/>
        <w:gridCol w:w="2772"/>
        <w:gridCol w:w="751"/>
        <w:gridCol w:w="697"/>
        <w:gridCol w:w="2226"/>
        <w:gridCol w:w="843"/>
      </w:tblGrid>
      <w:tr w14:paraId="7CF6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trPr>
        <w:tc>
          <w:tcPr>
            <w:tcW w:w="670" w:type="pct"/>
            <w:vMerge w:val="restart"/>
            <w:vAlign w:val="center"/>
          </w:tcPr>
          <w:p w14:paraId="609EF596">
            <w:pPr>
              <w:jc w:val="center"/>
              <w:rPr>
                <w:rFonts w:ascii="Times New Roman" w:hAnsi="Times New Roman" w:cs="Times New Roman"/>
                <w:color w:val="auto"/>
              </w:rPr>
            </w:pPr>
            <w:bookmarkStart w:id="3" w:name="_Hlk153122524"/>
            <w:r>
              <w:rPr>
                <w:rFonts w:ascii="Times New Roman" w:hAnsi="Times New Roman" w:cs="Times New Roman"/>
                <w:color w:val="auto"/>
              </w:rPr>
              <w:t>Cohort</w:t>
            </w:r>
          </w:p>
        </w:tc>
        <w:tc>
          <w:tcPr>
            <w:tcW w:w="2288" w:type="pct"/>
            <w:gridSpan w:val="3"/>
            <w:vAlign w:val="center"/>
          </w:tcPr>
          <w:p w14:paraId="4D4058ED">
            <w:pPr>
              <w:jc w:val="center"/>
              <w:rPr>
                <w:rFonts w:ascii="Times New Roman" w:hAnsi="Times New Roman" w:cs="Times New Roman"/>
                <w:color w:val="auto"/>
              </w:rPr>
            </w:pPr>
            <w:r>
              <w:rPr>
                <w:rFonts w:ascii="Times New Roman" w:hAnsi="Times New Roman" w:cs="Times New Roman"/>
                <w:color w:val="auto"/>
              </w:rPr>
              <w:t>Favorable Features</w:t>
            </w:r>
          </w:p>
        </w:tc>
        <w:tc>
          <w:tcPr>
            <w:tcW w:w="2042" w:type="pct"/>
            <w:gridSpan w:val="3"/>
            <w:vAlign w:val="center"/>
          </w:tcPr>
          <w:p w14:paraId="38A06958">
            <w:pPr>
              <w:jc w:val="center"/>
              <w:rPr>
                <w:rFonts w:ascii="Times New Roman" w:hAnsi="Times New Roman" w:cs="Times New Roman"/>
                <w:color w:val="auto"/>
              </w:rPr>
            </w:pPr>
            <w:r>
              <w:rPr>
                <w:rFonts w:ascii="Times New Roman" w:hAnsi="Times New Roman" w:cs="Times New Roman"/>
                <w:color w:val="auto"/>
              </w:rPr>
              <w:t>Adverse Features</w:t>
            </w:r>
          </w:p>
        </w:tc>
      </w:tr>
      <w:tr w14:paraId="641E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 w:hRule="atLeast"/>
        </w:trPr>
        <w:tc>
          <w:tcPr>
            <w:tcW w:w="670" w:type="pct"/>
            <w:vMerge w:val="continue"/>
            <w:vAlign w:val="center"/>
          </w:tcPr>
          <w:p w14:paraId="0A7757FF">
            <w:pPr>
              <w:rPr>
                <w:rFonts w:ascii="Times New Roman" w:hAnsi="Times New Roman" w:cs="Times New Roman"/>
                <w:color w:val="auto"/>
              </w:rPr>
            </w:pPr>
          </w:p>
        </w:tc>
        <w:tc>
          <w:tcPr>
            <w:tcW w:w="378" w:type="pct"/>
            <w:vAlign w:val="center"/>
          </w:tcPr>
          <w:p w14:paraId="1F778DCE">
            <w:pPr>
              <w:jc w:val="center"/>
              <w:rPr>
                <w:rFonts w:ascii="Times New Roman" w:hAnsi="Times New Roman" w:cs="Times New Roman"/>
                <w:color w:val="auto"/>
              </w:rPr>
            </w:pPr>
            <w:r>
              <w:rPr>
                <w:rFonts w:ascii="Times New Roman" w:hAnsi="Times New Roman" w:cs="Times New Roman"/>
                <w:color w:val="auto"/>
              </w:rPr>
              <w:t>Rank</w:t>
            </w:r>
          </w:p>
        </w:tc>
        <w:tc>
          <w:tcPr>
            <w:tcW w:w="1503" w:type="pct"/>
            <w:vAlign w:val="center"/>
          </w:tcPr>
          <w:p w14:paraId="4887EC34">
            <w:pPr>
              <w:rPr>
                <w:rFonts w:ascii="Times New Roman" w:hAnsi="Times New Roman" w:cs="Times New Roman"/>
                <w:color w:val="auto"/>
              </w:rPr>
            </w:pPr>
            <w:r>
              <w:rPr>
                <w:rFonts w:ascii="Times New Roman" w:hAnsi="Times New Roman" w:cs="Times New Roman"/>
                <w:color w:val="auto"/>
              </w:rPr>
              <w:t>Feature Name</w:t>
            </w:r>
          </w:p>
        </w:tc>
        <w:tc>
          <w:tcPr>
            <w:tcW w:w="407" w:type="pct"/>
            <w:vAlign w:val="center"/>
          </w:tcPr>
          <w:p w14:paraId="217D74F6">
            <w:pPr>
              <w:jc w:val="center"/>
              <w:rPr>
                <w:rFonts w:ascii="Times New Roman" w:hAnsi="Times New Roman" w:cs="Times New Roman"/>
                <w:color w:val="auto"/>
              </w:rPr>
            </w:pPr>
            <w:r>
              <w:rPr>
                <w:rFonts w:ascii="Times New Roman" w:hAnsi="Times New Roman" w:cs="Times New Roman"/>
                <w:color w:val="auto"/>
              </w:rPr>
              <w:t>Coef.</w:t>
            </w:r>
          </w:p>
        </w:tc>
        <w:tc>
          <w:tcPr>
            <w:tcW w:w="378" w:type="pct"/>
            <w:vAlign w:val="center"/>
          </w:tcPr>
          <w:p w14:paraId="64FCD4AF">
            <w:pPr>
              <w:jc w:val="center"/>
              <w:rPr>
                <w:rFonts w:ascii="Times New Roman" w:hAnsi="Times New Roman" w:cs="Times New Roman"/>
                <w:color w:val="auto"/>
              </w:rPr>
            </w:pPr>
            <w:r>
              <w:rPr>
                <w:rFonts w:ascii="Times New Roman" w:hAnsi="Times New Roman" w:cs="Times New Roman"/>
                <w:color w:val="auto"/>
              </w:rPr>
              <w:t>Rank</w:t>
            </w:r>
          </w:p>
        </w:tc>
        <w:tc>
          <w:tcPr>
            <w:tcW w:w="1207" w:type="pct"/>
            <w:vAlign w:val="center"/>
          </w:tcPr>
          <w:p w14:paraId="52783D2D">
            <w:pPr>
              <w:rPr>
                <w:rFonts w:ascii="Times New Roman" w:hAnsi="Times New Roman" w:cs="Times New Roman"/>
                <w:color w:val="auto"/>
              </w:rPr>
            </w:pPr>
            <w:r>
              <w:rPr>
                <w:rFonts w:ascii="Times New Roman" w:hAnsi="Times New Roman" w:cs="Times New Roman"/>
                <w:color w:val="auto"/>
              </w:rPr>
              <w:t>Feature Name</w:t>
            </w:r>
          </w:p>
        </w:tc>
        <w:tc>
          <w:tcPr>
            <w:tcW w:w="457" w:type="pct"/>
            <w:vAlign w:val="center"/>
          </w:tcPr>
          <w:p w14:paraId="69CFCDFF">
            <w:pPr>
              <w:jc w:val="center"/>
              <w:rPr>
                <w:rFonts w:ascii="Times New Roman" w:hAnsi="Times New Roman" w:cs="Times New Roman"/>
                <w:color w:val="auto"/>
              </w:rPr>
            </w:pPr>
            <w:r>
              <w:rPr>
                <w:rFonts w:ascii="Times New Roman" w:hAnsi="Times New Roman" w:cs="Times New Roman"/>
                <w:color w:val="auto"/>
              </w:rPr>
              <w:t>Coef.</w:t>
            </w:r>
          </w:p>
        </w:tc>
      </w:tr>
      <w:tr w14:paraId="0825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670" w:type="pct"/>
            <w:vMerge w:val="restart"/>
            <w:vAlign w:val="center"/>
          </w:tcPr>
          <w:p w14:paraId="076C66DE">
            <w:pPr>
              <w:rPr>
                <w:rFonts w:ascii="Times New Roman" w:hAnsi="Times New Roman" w:cs="Times New Roman"/>
                <w:color w:val="auto"/>
              </w:rPr>
            </w:pPr>
            <w:r>
              <w:rPr>
                <w:rFonts w:ascii="Times New Roman" w:hAnsi="Times New Roman" w:cs="Times New Roman"/>
                <w:color w:val="auto"/>
              </w:rPr>
              <w:t>Non-TILs</w:t>
            </w:r>
          </w:p>
        </w:tc>
        <w:tc>
          <w:tcPr>
            <w:tcW w:w="378" w:type="pct"/>
            <w:vAlign w:val="center"/>
          </w:tcPr>
          <w:p w14:paraId="64B31435">
            <w:pPr>
              <w:jc w:val="center"/>
              <w:rPr>
                <w:rFonts w:ascii="Times New Roman" w:hAnsi="Times New Roman" w:cs="Times New Roman"/>
                <w:color w:val="auto"/>
              </w:rPr>
            </w:pPr>
            <w:r>
              <w:rPr>
                <w:rFonts w:ascii="Times New Roman" w:hAnsi="Times New Roman" w:cs="Times New Roman"/>
                <w:color w:val="auto"/>
              </w:rPr>
              <w:t>1</w:t>
            </w:r>
          </w:p>
        </w:tc>
        <w:tc>
          <w:tcPr>
            <w:tcW w:w="1503" w:type="pct"/>
            <w:vAlign w:val="center"/>
          </w:tcPr>
          <w:p w14:paraId="451B32FC">
            <w:pPr>
              <w:rPr>
                <w:rFonts w:ascii="Times New Roman" w:hAnsi="Times New Roman" w:cs="Times New Roman"/>
                <w:color w:val="auto"/>
              </w:rPr>
            </w:pPr>
            <w:r>
              <w:rPr>
                <w:rFonts w:ascii="Times New Roman" w:hAnsi="Times New Roman" w:cs="Times New Roman"/>
                <w:color w:val="auto"/>
              </w:rPr>
              <w:t>S_number</w:t>
            </w:r>
          </w:p>
        </w:tc>
        <w:tc>
          <w:tcPr>
            <w:tcW w:w="407" w:type="pct"/>
            <w:vAlign w:val="center"/>
          </w:tcPr>
          <w:p w14:paraId="3F7FBF72">
            <w:pPr>
              <w:pStyle w:val="4"/>
              <w:shd w:val="clear" w:color="auto" w:fill="FFFFFF"/>
              <w:wordWrap w:val="0"/>
              <w:jc w:val="center"/>
              <w:textAlignment w:val="baseline"/>
              <w:rPr>
                <w:rFonts w:ascii="Times New Roman" w:hAnsi="Times New Roman" w:cs="Times New Roman" w:eastAsiaTheme="minorEastAsia"/>
                <w:color w:val="auto"/>
                <w:kern w:val="2"/>
                <w:sz w:val="21"/>
                <w:szCs w:val="22"/>
              </w:rPr>
            </w:pPr>
            <w:r>
              <w:rPr>
                <w:rFonts w:ascii="Times New Roman" w:hAnsi="Times New Roman" w:cs="Times New Roman" w:eastAsiaTheme="minorEastAsia"/>
                <w:color w:val="auto"/>
                <w:kern w:val="2"/>
                <w:sz w:val="21"/>
                <w:szCs w:val="22"/>
              </w:rPr>
              <w:t>0.101</w:t>
            </w:r>
          </w:p>
        </w:tc>
        <w:tc>
          <w:tcPr>
            <w:tcW w:w="378" w:type="pct"/>
            <w:vAlign w:val="center"/>
          </w:tcPr>
          <w:p w14:paraId="22E04059">
            <w:pPr>
              <w:jc w:val="center"/>
              <w:rPr>
                <w:rFonts w:ascii="Times New Roman" w:hAnsi="Times New Roman" w:cs="Times New Roman"/>
                <w:color w:val="auto"/>
              </w:rPr>
            </w:pPr>
            <w:r>
              <w:rPr>
                <w:rFonts w:ascii="Times New Roman" w:hAnsi="Times New Roman" w:cs="Times New Roman"/>
                <w:color w:val="auto"/>
              </w:rPr>
              <w:t>1</w:t>
            </w:r>
          </w:p>
        </w:tc>
        <w:tc>
          <w:tcPr>
            <w:tcW w:w="1207" w:type="pct"/>
            <w:vAlign w:val="center"/>
          </w:tcPr>
          <w:p w14:paraId="1011583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textAlignment w:val="baseline"/>
              <w:rPr>
                <w:rFonts w:ascii="Times New Roman" w:hAnsi="Times New Roman" w:cs="Times New Roman"/>
                <w:color w:val="auto"/>
              </w:rPr>
            </w:pPr>
            <w:r>
              <w:rPr>
                <w:rFonts w:ascii="Times New Roman" w:hAnsi="Times New Roman" w:cs="Times New Roman"/>
                <w:color w:val="auto"/>
              </w:rPr>
              <w:t>HER2/CEP17 ratio</w:t>
            </w:r>
          </w:p>
        </w:tc>
        <w:tc>
          <w:tcPr>
            <w:tcW w:w="457" w:type="pct"/>
            <w:vAlign w:val="center"/>
          </w:tcPr>
          <w:p w14:paraId="0471430B">
            <w:pPr>
              <w:jc w:val="center"/>
              <w:rPr>
                <w:rFonts w:ascii="Times New Roman" w:hAnsi="Times New Roman" w:cs="Times New Roman"/>
                <w:color w:val="auto"/>
              </w:rPr>
            </w:pPr>
            <w:r>
              <w:rPr>
                <w:rFonts w:ascii="Times New Roman" w:hAnsi="Times New Roman" w:cs="Times New Roman"/>
                <w:color w:val="auto"/>
              </w:rPr>
              <w:t>-0.089</w:t>
            </w:r>
          </w:p>
        </w:tc>
      </w:tr>
      <w:tr w14:paraId="1281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670" w:type="pct"/>
            <w:vMerge w:val="continue"/>
            <w:vAlign w:val="center"/>
          </w:tcPr>
          <w:p w14:paraId="2B068B93">
            <w:pPr>
              <w:rPr>
                <w:rFonts w:ascii="Times New Roman" w:hAnsi="Times New Roman" w:cs="Times New Roman"/>
                <w:color w:val="auto"/>
              </w:rPr>
            </w:pPr>
          </w:p>
        </w:tc>
        <w:tc>
          <w:tcPr>
            <w:tcW w:w="378" w:type="pct"/>
            <w:vAlign w:val="center"/>
          </w:tcPr>
          <w:p w14:paraId="3525608B">
            <w:pPr>
              <w:jc w:val="center"/>
              <w:rPr>
                <w:rFonts w:ascii="Times New Roman" w:hAnsi="Times New Roman" w:cs="Times New Roman"/>
                <w:color w:val="auto"/>
              </w:rPr>
            </w:pPr>
            <w:r>
              <w:rPr>
                <w:rFonts w:ascii="Times New Roman" w:hAnsi="Times New Roman" w:cs="Times New Roman"/>
                <w:color w:val="auto"/>
              </w:rPr>
              <w:t>2</w:t>
            </w:r>
          </w:p>
        </w:tc>
        <w:tc>
          <w:tcPr>
            <w:tcW w:w="1503" w:type="pct"/>
            <w:vAlign w:val="center"/>
          </w:tcPr>
          <w:p w14:paraId="75F57BAD">
            <w:pPr>
              <w:rPr>
                <w:rFonts w:ascii="Times New Roman" w:hAnsi="Times New Roman" w:cs="Times New Roman"/>
                <w:color w:val="auto"/>
              </w:rPr>
            </w:pPr>
            <w:r>
              <w:rPr>
                <w:rFonts w:ascii="Times New Roman" w:hAnsi="Times New Roman" w:cs="Times New Roman"/>
                <w:color w:val="auto"/>
              </w:rPr>
              <w:t>S__area_filled_mean</w:t>
            </w:r>
          </w:p>
        </w:tc>
        <w:tc>
          <w:tcPr>
            <w:tcW w:w="407" w:type="pct"/>
            <w:vAlign w:val="center"/>
          </w:tcPr>
          <w:p w14:paraId="65968B1D">
            <w:pPr>
              <w:jc w:val="center"/>
              <w:rPr>
                <w:rFonts w:ascii="Times New Roman" w:hAnsi="Times New Roman" w:cs="Times New Roman"/>
                <w:color w:val="auto"/>
              </w:rPr>
            </w:pPr>
            <w:r>
              <w:rPr>
                <w:rFonts w:ascii="Times New Roman" w:hAnsi="Times New Roman" w:cs="Times New Roman"/>
                <w:color w:val="auto"/>
              </w:rPr>
              <w:t>0.088</w:t>
            </w:r>
          </w:p>
        </w:tc>
        <w:tc>
          <w:tcPr>
            <w:tcW w:w="378" w:type="pct"/>
            <w:vAlign w:val="center"/>
          </w:tcPr>
          <w:p w14:paraId="5B63CDB2">
            <w:pPr>
              <w:jc w:val="center"/>
              <w:rPr>
                <w:rFonts w:ascii="Times New Roman" w:hAnsi="Times New Roman" w:cs="Times New Roman"/>
                <w:color w:val="auto"/>
              </w:rPr>
            </w:pPr>
            <w:r>
              <w:rPr>
                <w:rFonts w:ascii="Times New Roman" w:hAnsi="Times New Roman" w:cs="Times New Roman"/>
                <w:color w:val="auto"/>
              </w:rPr>
              <w:t>2</w:t>
            </w:r>
          </w:p>
        </w:tc>
        <w:tc>
          <w:tcPr>
            <w:tcW w:w="1207" w:type="pct"/>
            <w:vAlign w:val="center"/>
          </w:tcPr>
          <w:p w14:paraId="1ED710AA">
            <w:pPr>
              <w:rPr>
                <w:rFonts w:ascii="Times New Roman" w:hAnsi="Times New Roman" w:cs="Times New Roman"/>
                <w:color w:val="auto"/>
              </w:rPr>
            </w:pPr>
            <w:r>
              <w:rPr>
                <w:rFonts w:ascii="Times New Roman" w:hAnsi="Times New Roman" w:cs="Times New Roman"/>
                <w:color w:val="auto"/>
              </w:rPr>
              <w:t>L_eccentricity</w:t>
            </w:r>
          </w:p>
        </w:tc>
        <w:tc>
          <w:tcPr>
            <w:tcW w:w="457" w:type="pct"/>
            <w:vAlign w:val="center"/>
          </w:tcPr>
          <w:p w14:paraId="3BA70BEC">
            <w:pPr>
              <w:jc w:val="center"/>
              <w:rPr>
                <w:rFonts w:ascii="Times New Roman" w:hAnsi="Times New Roman" w:cs="Times New Roman"/>
                <w:color w:val="auto"/>
              </w:rPr>
            </w:pPr>
            <w:r>
              <w:rPr>
                <w:rFonts w:ascii="Times New Roman" w:hAnsi="Times New Roman" w:cs="Times New Roman"/>
                <w:color w:val="auto"/>
              </w:rPr>
              <w:t>-0.016</w:t>
            </w:r>
          </w:p>
        </w:tc>
      </w:tr>
      <w:tr w14:paraId="1DEB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70" w:type="pct"/>
            <w:vMerge w:val="continue"/>
            <w:vAlign w:val="center"/>
          </w:tcPr>
          <w:p w14:paraId="7E93BF8D">
            <w:pPr>
              <w:rPr>
                <w:rFonts w:ascii="Times New Roman" w:hAnsi="Times New Roman" w:cs="Times New Roman"/>
                <w:color w:val="auto"/>
              </w:rPr>
            </w:pPr>
          </w:p>
        </w:tc>
        <w:tc>
          <w:tcPr>
            <w:tcW w:w="378" w:type="pct"/>
            <w:vAlign w:val="center"/>
          </w:tcPr>
          <w:p w14:paraId="05287585">
            <w:pPr>
              <w:jc w:val="center"/>
              <w:rPr>
                <w:rFonts w:ascii="Times New Roman" w:hAnsi="Times New Roman" w:cs="Times New Roman"/>
                <w:color w:val="auto"/>
              </w:rPr>
            </w:pPr>
            <w:r>
              <w:rPr>
                <w:rFonts w:ascii="Times New Roman" w:hAnsi="Times New Roman" w:cs="Times New Roman"/>
                <w:color w:val="auto"/>
              </w:rPr>
              <w:t>3</w:t>
            </w:r>
          </w:p>
        </w:tc>
        <w:tc>
          <w:tcPr>
            <w:tcW w:w="1503" w:type="pct"/>
            <w:vAlign w:val="center"/>
          </w:tcPr>
          <w:p w14:paraId="7C311501">
            <w:pPr>
              <w:rPr>
                <w:rFonts w:ascii="Times New Roman" w:hAnsi="Times New Roman" w:cs="Times New Roman"/>
                <w:color w:val="auto"/>
              </w:rPr>
            </w:pPr>
            <w:r>
              <w:rPr>
                <w:rFonts w:ascii="Times New Roman" w:hAnsi="Times New Roman" w:cs="Times New Roman"/>
                <w:color w:val="auto"/>
              </w:rPr>
              <w:t>S_area_convex_mean</w:t>
            </w:r>
          </w:p>
        </w:tc>
        <w:tc>
          <w:tcPr>
            <w:tcW w:w="407" w:type="pct"/>
            <w:vAlign w:val="center"/>
          </w:tcPr>
          <w:p w14:paraId="01FFAF38">
            <w:pPr>
              <w:jc w:val="center"/>
              <w:rPr>
                <w:rFonts w:ascii="Times New Roman" w:hAnsi="Times New Roman" w:cs="Times New Roman"/>
                <w:color w:val="auto"/>
              </w:rPr>
            </w:pPr>
            <w:r>
              <w:rPr>
                <w:rFonts w:ascii="Times New Roman" w:hAnsi="Times New Roman" w:cs="Times New Roman"/>
                <w:color w:val="auto"/>
              </w:rPr>
              <w:t>0.028</w:t>
            </w:r>
          </w:p>
        </w:tc>
        <w:tc>
          <w:tcPr>
            <w:tcW w:w="378" w:type="pct"/>
            <w:vAlign w:val="center"/>
          </w:tcPr>
          <w:p w14:paraId="48F1A187">
            <w:pPr>
              <w:jc w:val="center"/>
              <w:rPr>
                <w:rFonts w:ascii="Times New Roman" w:hAnsi="Times New Roman" w:cs="Times New Roman"/>
                <w:color w:val="auto"/>
              </w:rPr>
            </w:pPr>
            <w:r>
              <w:rPr>
                <w:rFonts w:ascii="Times New Roman" w:hAnsi="Times New Roman" w:cs="Times New Roman"/>
                <w:color w:val="auto"/>
              </w:rPr>
              <w:t>3</w:t>
            </w:r>
          </w:p>
        </w:tc>
        <w:tc>
          <w:tcPr>
            <w:tcW w:w="1207" w:type="pct"/>
            <w:vAlign w:val="center"/>
          </w:tcPr>
          <w:p w14:paraId="78CE9BFF">
            <w:pPr>
              <w:rPr>
                <w:rFonts w:ascii="Times New Roman" w:hAnsi="Times New Roman" w:cs="Times New Roman"/>
                <w:color w:val="auto"/>
              </w:rPr>
            </w:pPr>
            <w:r>
              <w:rPr>
                <w:rFonts w:ascii="Times New Roman" w:hAnsi="Times New Roman" w:cs="Times New Roman"/>
                <w:color w:val="auto"/>
              </w:rPr>
              <w:t>S_ eccentricity_mean</w:t>
            </w:r>
          </w:p>
        </w:tc>
        <w:tc>
          <w:tcPr>
            <w:tcW w:w="457" w:type="pct"/>
            <w:vAlign w:val="center"/>
          </w:tcPr>
          <w:p w14:paraId="29438252">
            <w:pPr>
              <w:jc w:val="center"/>
              <w:rPr>
                <w:rFonts w:ascii="Times New Roman" w:hAnsi="Times New Roman" w:cs="Times New Roman"/>
                <w:color w:val="auto"/>
              </w:rPr>
            </w:pPr>
            <w:r>
              <w:rPr>
                <w:rFonts w:ascii="Times New Roman" w:hAnsi="Times New Roman" w:cs="Times New Roman"/>
                <w:color w:val="auto"/>
              </w:rPr>
              <w:t>-0.011</w:t>
            </w:r>
          </w:p>
        </w:tc>
      </w:tr>
      <w:tr w14:paraId="333D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670" w:type="pct"/>
            <w:vMerge w:val="restart"/>
            <w:vAlign w:val="center"/>
          </w:tcPr>
          <w:p w14:paraId="6523ECD2">
            <w:pPr>
              <w:rPr>
                <w:rFonts w:ascii="Times New Roman" w:hAnsi="Times New Roman" w:cs="Times New Roman"/>
                <w:color w:val="auto"/>
              </w:rPr>
            </w:pPr>
            <w:r>
              <w:rPr>
                <w:rFonts w:ascii="Times New Roman" w:hAnsi="Times New Roman" w:cs="Times New Roman"/>
                <w:color w:val="auto"/>
              </w:rPr>
              <w:t>Non-tumor</w:t>
            </w:r>
          </w:p>
        </w:tc>
        <w:tc>
          <w:tcPr>
            <w:tcW w:w="378" w:type="pct"/>
            <w:vAlign w:val="center"/>
          </w:tcPr>
          <w:p w14:paraId="2E411745">
            <w:pPr>
              <w:jc w:val="center"/>
              <w:rPr>
                <w:rFonts w:ascii="Times New Roman" w:hAnsi="Times New Roman" w:cs="Times New Roman"/>
                <w:color w:val="auto"/>
              </w:rPr>
            </w:pPr>
            <w:r>
              <w:rPr>
                <w:rFonts w:ascii="Times New Roman" w:hAnsi="Times New Roman" w:cs="Times New Roman"/>
                <w:color w:val="auto"/>
              </w:rPr>
              <w:t>1</w:t>
            </w:r>
          </w:p>
        </w:tc>
        <w:tc>
          <w:tcPr>
            <w:tcW w:w="1503" w:type="pct"/>
            <w:vAlign w:val="center"/>
          </w:tcPr>
          <w:p w14:paraId="122689E3">
            <w:pPr>
              <w:rPr>
                <w:rFonts w:ascii="Times New Roman" w:hAnsi="Times New Roman" w:cs="Times New Roman"/>
                <w:color w:val="auto"/>
              </w:rPr>
            </w:pPr>
            <w:r>
              <w:rPr>
                <w:rFonts w:ascii="Times New Roman" w:hAnsi="Times New Roman" w:cs="Times New Roman"/>
                <w:color w:val="auto"/>
              </w:rPr>
              <w:t>L_area</w:t>
            </w:r>
          </w:p>
        </w:tc>
        <w:tc>
          <w:tcPr>
            <w:tcW w:w="407" w:type="pct"/>
            <w:vAlign w:val="center"/>
          </w:tcPr>
          <w:p w14:paraId="6B847871">
            <w:pPr>
              <w:jc w:val="center"/>
              <w:rPr>
                <w:rFonts w:ascii="Times New Roman" w:hAnsi="Times New Roman" w:cs="Times New Roman"/>
                <w:color w:val="auto"/>
              </w:rPr>
            </w:pPr>
            <w:r>
              <w:rPr>
                <w:rFonts w:ascii="Times New Roman" w:hAnsi="Times New Roman" w:cs="Times New Roman"/>
                <w:color w:val="auto"/>
              </w:rPr>
              <w:t>0.193</w:t>
            </w:r>
          </w:p>
        </w:tc>
        <w:tc>
          <w:tcPr>
            <w:tcW w:w="378" w:type="pct"/>
            <w:vAlign w:val="center"/>
          </w:tcPr>
          <w:p w14:paraId="540D82FB">
            <w:pPr>
              <w:jc w:val="center"/>
              <w:rPr>
                <w:rFonts w:ascii="Times New Roman" w:hAnsi="Times New Roman" w:cs="Times New Roman"/>
                <w:color w:val="auto"/>
              </w:rPr>
            </w:pPr>
            <w:r>
              <w:rPr>
                <w:rFonts w:ascii="Times New Roman" w:hAnsi="Times New Roman" w:cs="Times New Roman"/>
                <w:color w:val="auto"/>
              </w:rPr>
              <w:t>1</w:t>
            </w:r>
          </w:p>
        </w:tc>
        <w:tc>
          <w:tcPr>
            <w:tcW w:w="1207" w:type="pct"/>
            <w:vAlign w:val="center"/>
          </w:tcPr>
          <w:p w14:paraId="2566C1CF">
            <w:pPr>
              <w:pStyle w:val="4"/>
              <w:shd w:val="clear" w:color="auto" w:fill="FFFFFF"/>
              <w:wordWrap w:val="0"/>
              <w:textAlignment w:val="baseline"/>
              <w:rPr>
                <w:rFonts w:ascii="Times New Roman" w:hAnsi="Times New Roman" w:cs="Times New Roman" w:eastAsiaTheme="minorEastAsia"/>
                <w:color w:val="auto"/>
                <w:kern w:val="2"/>
                <w:sz w:val="21"/>
                <w:szCs w:val="22"/>
              </w:rPr>
            </w:pPr>
            <w:r>
              <w:rPr>
                <w:rFonts w:ascii="Times New Roman" w:hAnsi="Times New Roman" w:cs="Times New Roman" w:eastAsiaTheme="minorEastAsia"/>
                <w:color w:val="auto"/>
                <w:kern w:val="2"/>
                <w:sz w:val="21"/>
                <w:szCs w:val="22"/>
              </w:rPr>
              <w:t>S_euler_number_std</w:t>
            </w:r>
          </w:p>
        </w:tc>
        <w:tc>
          <w:tcPr>
            <w:tcW w:w="457" w:type="pct"/>
            <w:vAlign w:val="center"/>
          </w:tcPr>
          <w:p w14:paraId="7225E7E1">
            <w:pPr>
              <w:jc w:val="center"/>
              <w:rPr>
                <w:rFonts w:ascii="Times New Roman" w:hAnsi="Times New Roman" w:cs="Times New Roman"/>
                <w:color w:val="auto"/>
              </w:rPr>
            </w:pPr>
            <w:r>
              <w:rPr>
                <w:rFonts w:ascii="Times New Roman" w:hAnsi="Times New Roman" w:cs="Times New Roman"/>
                <w:color w:val="auto"/>
              </w:rPr>
              <w:t>-0.170</w:t>
            </w:r>
          </w:p>
        </w:tc>
      </w:tr>
      <w:tr w14:paraId="31F8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70" w:type="pct"/>
            <w:vMerge w:val="continue"/>
            <w:vAlign w:val="center"/>
          </w:tcPr>
          <w:p w14:paraId="5E338E36">
            <w:pPr>
              <w:rPr>
                <w:rFonts w:ascii="Times New Roman" w:hAnsi="Times New Roman" w:cs="Times New Roman"/>
                <w:color w:val="auto"/>
              </w:rPr>
            </w:pPr>
          </w:p>
        </w:tc>
        <w:tc>
          <w:tcPr>
            <w:tcW w:w="378" w:type="pct"/>
            <w:vAlign w:val="center"/>
          </w:tcPr>
          <w:p w14:paraId="7AE3911E">
            <w:pPr>
              <w:jc w:val="center"/>
              <w:rPr>
                <w:rFonts w:ascii="Times New Roman" w:hAnsi="Times New Roman" w:cs="Times New Roman"/>
                <w:color w:val="auto"/>
              </w:rPr>
            </w:pPr>
            <w:r>
              <w:rPr>
                <w:rFonts w:ascii="Times New Roman" w:hAnsi="Times New Roman" w:cs="Times New Roman"/>
                <w:color w:val="auto"/>
              </w:rPr>
              <w:t>2</w:t>
            </w:r>
          </w:p>
        </w:tc>
        <w:tc>
          <w:tcPr>
            <w:tcW w:w="1503" w:type="pct"/>
            <w:vAlign w:val="center"/>
          </w:tcPr>
          <w:p w14:paraId="0743347F">
            <w:pPr>
              <w:rPr>
                <w:rFonts w:ascii="Times New Roman" w:hAnsi="Times New Roman" w:cs="Times New Roman"/>
                <w:color w:val="auto"/>
              </w:rPr>
            </w:pPr>
            <w:r>
              <w:rPr>
                <w:rFonts w:ascii="Times New Roman" w:hAnsi="Times New Roman" w:cs="Times New Roman"/>
                <w:color w:val="auto"/>
              </w:rPr>
              <w:t>L_area_convex</w:t>
            </w:r>
          </w:p>
        </w:tc>
        <w:tc>
          <w:tcPr>
            <w:tcW w:w="407" w:type="pct"/>
            <w:vAlign w:val="center"/>
          </w:tcPr>
          <w:p w14:paraId="3841A4B5">
            <w:pPr>
              <w:jc w:val="center"/>
              <w:rPr>
                <w:rFonts w:ascii="Times New Roman" w:hAnsi="Times New Roman" w:cs="Times New Roman"/>
                <w:color w:val="auto"/>
              </w:rPr>
            </w:pPr>
            <w:r>
              <w:rPr>
                <w:rFonts w:ascii="Times New Roman" w:hAnsi="Times New Roman" w:cs="Times New Roman"/>
                <w:color w:val="auto"/>
              </w:rPr>
              <w:t>0.131</w:t>
            </w:r>
          </w:p>
        </w:tc>
        <w:tc>
          <w:tcPr>
            <w:tcW w:w="378" w:type="pct"/>
            <w:vAlign w:val="center"/>
          </w:tcPr>
          <w:p w14:paraId="495892EA">
            <w:pPr>
              <w:jc w:val="center"/>
              <w:rPr>
                <w:rFonts w:ascii="Times New Roman" w:hAnsi="Times New Roman" w:cs="Times New Roman"/>
                <w:color w:val="auto"/>
              </w:rPr>
            </w:pPr>
            <w:r>
              <w:rPr>
                <w:rFonts w:ascii="Times New Roman" w:hAnsi="Times New Roman" w:cs="Times New Roman"/>
                <w:color w:val="auto"/>
              </w:rPr>
              <w:t>2</w:t>
            </w:r>
          </w:p>
        </w:tc>
        <w:tc>
          <w:tcPr>
            <w:tcW w:w="1207" w:type="pct"/>
            <w:vAlign w:val="center"/>
          </w:tcPr>
          <w:p w14:paraId="6608E8B5">
            <w:pPr>
              <w:pStyle w:val="4"/>
              <w:shd w:val="clear" w:color="auto" w:fill="FFFFFF"/>
              <w:wordWrap w:val="0"/>
              <w:textAlignment w:val="baseline"/>
              <w:rPr>
                <w:rFonts w:ascii="Times New Roman" w:hAnsi="Times New Roman" w:cs="Times New Roman" w:eastAsiaTheme="minorEastAsia"/>
                <w:color w:val="auto"/>
                <w:kern w:val="2"/>
                <w:sz w:val="21"/>
                <w:szCs w:val="22"/>
              </w:rPr>
            </w:pPr>
            <w:r>
              <w:rPr>
                <w:rFonts w:ascii="Times New Roman" w:hAnsi="Times New Roman" w:cs="Times New Roman" w:eastAsiaTheme="minorEastAsia"/>
                <w:color w:val="auto"/>
                <w:kern w:val="2"/>
                <w:sz w:val="21"/>
                <w:szCs w:val="22"/>
              </w:rPr>
              <w:t>L_axis_minor_length</w:t>
            </w:r>
          </w:p>
        </w:tc>
        <w:tc>
          <w:tcPr>
            <w:tcW w:w="457" w:type="pct"/>
            <w:vAlign w:val="center"/>
          </w:tcPr>
          <w:p w14:paraId="7ED44F73">
            <w:pPr>
              <w:jc w:val="center"/>
              <w:rPr>
                <w:rFonts w:ascii="Times New Roman" w:hAnsi="Times New Roman" w:cs="Times New Roman"/>
                <w:color w:val="auto"/>
              </w:rPr>
            </w:pPr>
            <w:r>
              <w:rPr>
                <w:rFonts w:ascii="Times New Roman" w:hAnsi="Times New Roman" w:cs="Times New Roman"/>
                <w:color w:val="auto"/>
              </w:rPr>
              <w:t>-0.158</w:t>
            </w:r>
          </w:p>
        </w:tc>
      </w:tr>
      <w:tr w14:paraId="3323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70" w:type="pct"/>
            <w:vMerge w:val="continue"/>
            <w:vAlign w:val="center"/>
          </w:tcPr>
          <w:p w14:paraId="3833CB11">
            <w:pPr>
              <w:rPr>
                <w:rFonts w:ascii="Times New Roman" w:hAnsi="Times New Roman" w:cs="Times New Roman"/>
                <w:color w:val="auto"/>
              </w:rPr>
            </w:pPr>
          </w:p>
        </w:tc>
        <w:tc>
          <w:tcPr>
            <w:tcW w:w="378" w:type="pct"/>
            <w:vAlign w:val="center"/>
          </w:tcPr>
          <w:p w14:paraId="360218F4">
            <w:pPr>
              <w:jc w:val="center"/>
              <w:rPr>
                <w:rFonts w:ascii="Times New Roman" w:hAnsi="Times New Roman" w:cs="Times New Roman"/>
                <w:color w:val="auto"/>
              </w:rPr>
            </w:pPr>
            <w:r>
              <w:rPr>
                <w:rFonts w:ascii="Times New Roman" w:hAnsi="Times New Roman" w:cs="Times New Roman"/>
                <w:color w:val="auto"/>
              </w:rPr>
              <w:t>3</w:t>
            </w:r>
          </w:p>
        </w:tc>
        <w:tc>
          <w:tcPr>
            <w:tcW w:w="1503" w:type="pct"/>
            <w:vAlign w:val="center"/>
          </w:tcPr>
          <w:p w14:paraId="098410F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textAlignment w:val="baseline"/>
              <w:rPr>
                <w:rFonts w:ascii="Times New Roman" w:hAnsi="Times New Roman" w:cs="Times New Roman"/>
                <w:color w:val="auto"/>
              </w:rPr>
            </w:pPr>
            <w:r>
              <w:rPr>
                <w:rFonts w:ascii="Times New Roman" w:hAnsi="Times New Roman" w:cs="Times New Roman"/>
                <w:color w:val="auto"/>
              </w:rPr>
              <w:t>S_area_convex_mean</w:t>
            </w:r>
          </w:p>
        </w:tc>
        <w:tc>
          <w:tcPr>
            <w:tcW w:w="407" w:type="pct"/>
            <w:vAlign w:val="center"/>
          </w:tcPr>
          <w:p w14:paraId="2A8AF89F">
            <w:pPr>
              <w:jc w:val="center"/>
              <w:rPr>
                <w:rFonts w:ascii="Times New Roman" w:hAnsi="Times New Roman" w:cs="Times New Roman"/>
                <w:color w:val="auto"/>
              </w:rPr>
            </w:pPr>
            <w:r>
              <w:rPr>
                <w:rFonts w:ascii="Times New Roman" w:hAnsi="Times New Roman" w:cs="Times New Roman"/>
                <w:color w:val="auto"/>
              </w:rPr>
              <w:t>0.092</w:t>
            </w:r>
          </w:p>
        </w:tc>
        <w:tc>
          <w:tcPr>
            <w:tcW w:w="378" w:type="pct"/>
            <w:vAlign w:val="center"/>
          </w:tcPr>
          <w:p w14:paraId="3070A409">
            <w:pPr>
              <w:jc w:val="center"/>
              <w:rPr>
                <w:rFonts w:ascii="Times New Roman" w:hAnsi="Times New Roman" w:cs="Times New Roman"/>
                <w:color w:val="auto"/>
              </w:rPr>
            </w:pPr>
            <w:r>
              <w:rPr>
                <w:rFonts w:ascii="Times New Roman" w:hAnsi="Times New Roman" w:cs="Times New Roman"/>
                <w:color w:val="auto"/>
              </w:rPr>
              <w:t>3</w:t>
            </w:r>
          </w:p>
        </w:tc>
        <w:tc>
          <w:tcPr>
            <w:tcW w:w="1207" w:type="pct"/>
            <w:vAlign w:val="center"/>
          </w:tcPr>
          <w:p w14:paraId="6C51B08E">
            <w:pPr>
              <w:pStyle w:val="4"/>
              <w:shd w:val="clear" w:color="auto" w:fill="FFFFFF"/>
              <w:wordWrap w:val="0"/>
              <w:textAlignment w:val="baseline"/>
              <w:rPr>
                <w:rFonts w:ascii="Times New Roman" w:hAnsi="Times New Roman" w:cs="Times New Roman" w:eastAsiaTheme="minorEastAsia"/>
                <w:color w:val="auto"/>
                <w:kern w:val="2"/>
                <w:sz w:val="21"/>
                <w:szCs w:val="22"/>
              </w:rPr>
            </w:pPr>
            <w:r>
              <w:rPr>
                <w:rFonts w:ascii="Times New Roman" w:hAnsi="Times New Roman" w:cs="Times New Roman" w:eastAsiaTheme="minorEastAsia"/>
                <w:color w:val="auto"/>
                <w:kern w:val="2"/>
                <w:sz w:val="21"/>
                <w:szCs w:val="22"/>
              </w:rPr>
              <w:t>HER2/CEP17 ratio</w:t>
            </w:r>
          </w:p>
        </w:tc>
        <w:tc>
          <w:tcPr>
            <w:tcW w:w="457" w:type="pct"/>
            <w:vAlign w:val="center"/>
          </w:tcPr>
          <w:p w14:paraId="14EF15C6">
            <w:pPr>
              <w:jc w:val="center"/>
              <w:rPr>
                <w:rFonts w:ascii="Times New Roman" w:hAnsi="Times New Roman" w:cs="Times New Roman"/>
                <w:color w:val="auto"/>
              </w:rPr>
            </w:pPr>
            <w:r>
              <w:rPr>
                <w:rFonts w:ascii="Times New Roman" w:hAnsi="Times New Roman" w:cs="Times New Roman"/>
                <w:color w:val="auto"/>
              </w:rPr>
              <w:t>-0.101</w:t>
            </w:r>
          </w:p>
        </w:tc>
      </w:tr>
      <w:bookmarkEnd w:id="1"/>
      <w:bookmarkEnd w:id="3"/>
    </w:tbl>
    <w:p w14:paraId="146B2B26">
      <w:pPr>
        <w:pStyle w:val="11"/>
        <w:ind w:firstLine="0"/>
        <w:rPr>
          <w:rFonts w:cs="Times New Roman"/>
          <w:b/>
          <w:bCs/>
          <w:color w:val="auto"/>
          <w:szCs w:val="44"/>
          <w:shd w:val="clear" w:color="auto" w:fill="FFFFFF"/>
        </w:rPr>
      </w:pPr>
    </w:p>
    <w:p w14:paraId="52D8D4C7">
      <w:pPr>
        <w:widowControl/>
        <w:jc w:val="left"/>
        <w:rPr>
          <w:rFonts w:cs="Times New Roman"/>
          <w:b/>
          <w:bCs/>
          <w:color w:val="auto"/>
          <w:szCs w:val="44"/>
          <w:shd w:val="clear" w:color="auto" w:fill="FFFFFF"/>
        </w:rPr>
      </w:pPr>
      <w:r>
        <w:rPr>
          <w:rFonts w:cs="Times New Roman"/>
          <w:b/>
          <w:bCs/>
          <w:color w:val="auto"/>
          <w:szCs w:val="44"/>
          <w:shd w:val="clear" w:color="auto" w:fill="FFFFFF"/>
        </w:rPr>
        <w:br w:type="page"/>
      </w:r>
    </w:p>
    <w:p w14:paraId="32EDE09A">
      <w:pPr>
        <w:pStyle w:val="5"/>
        <w:widowControl/>
        <w:jc w:val="both"/>
        <w:rPr>
          <w:rFonts w:ascii="Times New Roman" w:hAnsi="Times New Roman" w:eastAsiaTheme="minorEastAsia"/>
          <w:color w:val="auto"/>
          <w:kern w:val="2"/>
          <w:sz w:val="21"/>
          <w:szCs w:val="22"/>
        </w:rPr>
      </w:pPr>
      <w:bookmarkStart w:id="4" w:name="_Hlk192861776"/>
      <w:r>
        <w:rPr>
          <w:rFonts w:ascii="Times New Roman" w:hAnsi="Times New Roman" w:eastAsiaTheme="minorEastAsia"/>
          <w:color w:val="auto"/>
          <w:kern w:val="2"/>
          <w:sz w:val="21"/>
          <w:szCs w:val="22"/>
        </w:rPr>
        <w:t>Table S2</w:t>
      </w:r>
      <w:bookmarkEnd w:id="4"/>
      <w:r>
        <w:rPr>
          <w:rFonts w:ascii="Times New Roman" w:hAnsi="Times New Roman" w:eastAsiaTheme="minorEastAsia"/>
          <w:color w:val="auto"/>
          <w:kern w:val="2"/>
          <w:sz w:val="21"/>
          <w:szCs w:val="22"/>
        </w:rPr>
        <w:t>. Comparison of the generalization performance of morphological features for five tissue types under different significant region thresholds in the external validation set (IMPRESS_HER2+).</w:t>
      </w:r>
    </w:p>
    <w:tbl>
      <w:tblPr>
        <w:tblStyle w:val="7"/>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423"/>
        <w:gridCol w:w="968"/>
        <w:gridCol w:w="1163"/>
        <w:gridCol w:w="1163"/>
        <w:gridCol w:w="1163"/>
        <w:gridCol w:w="1163"/>
      </w:tblGrid>
      <w:tr w14:paraId="23D0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Borders>
              <w:top w:val="single" w:color="auto" w:sz="4" w:space="0"/>
              <w:left w:val="nil"/>
              <w:bottom w:val="single" w:color="auto" w:sz="4" w:space="0"/>
              <w:right w:val="nil"/>
            </w:tcBorders>
          </w:tcPr>
          <w:p w14:paraId="6ACE3295">
            <w:pPr>
              <w:jc w:val="center"/>
              <w:rPr>
                <w:rFonts w:ascii="Times New Roman" w:hAnsi="Times New Roman"/>
                <w:color w:val="auto"/>
                <w:sz w:val="18"/>
                <w:szCs w:val="18"/>
              </w:rPr>
            </w:pPr>
            <w:r>
              <w:rPr>
                <w:rFonts w:hint="eastAsia" w:ascii="Times New Roman" w:hAnsi="Times New Roman"/>
                <w:color w:val="auto"/>
                <w:sz w:val="18"/>
                <w:szCs w:val="18"/>
              </w:rPr>
              <w:t>Region</w:t>
            </w:r>
          </w:p>
        </w:tc>
        <w:tc>
          <w:tcPr>
            <w:tcW w:w="1423" w:type="dxa"/>
            <w:tcBorders>
              <w:top w:val="single" w:color="auto" w:sz="4" w:space="0"/>
              <w:left w:val="nil"/>
              <w:bottom w:val="single" w:color="auto" w:sz="4" w:space="0"/>
              <w:right w:val="nil"/>
            </w:tcBorders>
          </w:tcPr>
          <w:p w14:paraId="037778A4">
            <w:pPr>
              <w:pStyle w:val="13"/>
              <w:rPr>
                <w:color w:val="auto"/>
                <w:szCs w:val="18"/>
              </w:rPr>
            </w:pPr>
            <w:r>
              <w:rPr>
                <w:rFonts w:hint="eastAsia"/>
                <w:color w:val="auto"/>
              </w:rPr>
              <w:t>Si</w:t>
            </w:r>
            <w:r>
              <w:rPr>
                <w:color w:val="auto"/>
              </w:rPr>
              <w:t>gn. thresholds</w:t>
            </w:r>
          </w:p>
        </w:tc>
        <w:tc>
          <w:tcPr>
            <w:tcW w:w="968" w:type="dxa"/>
            <w:tcBorders>
              <w:top w:val="single" w:color="auto" w:sz="4" w:space="0"/>
              <w:left w:val="nil"/>
              <w:bottom w:val="single" w:color="auto" w:sz="4" w:space="0"/>
              <w:right w:val="nil"/>
            </w:tcBorders>
          </w:tcPr>
          <w:p w14:paraId="195BDE75">
            <w:pPr>
              <w:pStyle w:val="13"/>
              <w:jc w:val="center"/>
              <w:rPr>
                <w:color w:val="auto"/>
              </w:rPr>
            </w:pPr>
            <w:r>
              <w:rPr>
                <w:rFonts w:hint="eastAsia"/>
                <w:color w:val="auto"/>
              </w:rPr>
              <w:t>AUC</w:t>
            </w:r>
          </w:p>
        </w:tc>
        <w:tc>
          <w:tcPr>
            <w:tcW w:w="1163" w:type="dxa"/>
            <w:tcBorders>
              <w:top w:val="single" w:color="auto" w:sz="4" w:space="0"/>
              <w:left w:val="nil"/>
              <w:bottom w:val="single" w:color="auto" w:sz="4" w:space="0"/>
              <w:right w:val="nil"/>
            </w:tcBorders>
          </w:tcPr>
          <w:p w14:paraId="7471EECA">
            <w:pPr>
              <w:pStyle w:val="13"/>
              <w:jc w:val="center"/>
              <w:rPr>
                <w:color w:val="auto"/>
              </w:rPr>
            </w:pPr>
            <w:r>
              <w:rPr>
                <w:rFonts w:hint="eastAsia"/>
                <w:color w:val="auto"/>
              </w:rPr>
              <w:t>F</w:t>
            </w:r>
            <w:r>
              <w:rPr>
                <w:color w:val="auto"/>
              </w:rPr>
              <w:t xml:space="preserve">1 </w:t>
            </w:r>
            <w:r>
              <w:rPr>
                <w:rFonts w:hint="eastAsia"/>
                <w:color w:val="auto"/>
              </w:rPr>
              <w:t>score</w:t>
            </w:r>
          </w:p>
        </w:tc>
        <w:tc>
          <w:tcPr>
            <w:tcW w:w="1163" w:type="dxa"/>
            <w:tcBorders>
              <w:top w:val="single" w:color="auto" w:sz="4" w:space="0"/>
              <w:left w:val="nil"/>
              <w:bottom w:val="single" w:color="auto" w:sz="4" w:space="0"/>
              <w:right w:val="nil"/>
            </w:tcBorders>
          </w:tcPr>
          <w:p w14:paraId="51E2B5BD">
            <w:pPr>
              <w:pStyle w:val="13"/>
              <w:jc w:val="center"/>
              <w:rPr>
                <w:color w:val="auto"/>
              </w:rPr>
            </w:pPr>
            <w:r>
              <w:rPr>
                <w:rFonts w:hint="eastAsia"/>
                <w:color w:val="auto"/>
              </w:rPr>
              <w:t>PPV</w:t>
            </w:r>
          </w:p>
        </w:tc>
        <w:tc>
          <w:tcPr>
            <w:tcW w:w="1163" w:type="dxa"/>
            <w:tcBorders>
              <w:top w:val="single" w:color="auto" w:sz="4" w:space="0"/>
              <w:left w:val="nil"/>
              <w:bottom w:val="single" w:color="auto" w:sz="4" w:space="0"/>
              <w:right w:val="nil"/>
            </w:tcBorders>
          </w:tcPr>
          <w:p w14:paraId="01630555">
            <w:pPr>
              <w:pStyle w:val="13"/>
              <w:jc w:val="center"/>
              <w:rPr>
                <w:color w:val="auto"/>
              </w:rPr>
            </w:pPr>
            <w:r>
              <w:rPr>
                <w:rFonts w:hint="eastAsia"/>
                <w:color w:val="auto"/>
              </w:rPr>
              <w:t>Recall</w:t>
            </w:r>
          </w:p>
        </w:tc>
        <w:tc>
          <w:tcPr>
            <w:tcW w:w="1163" w:type="dxa"/>
            <w:tcBorders>
              <w:top w:val="single" w:color="auto" w:sz="4" w:space="0"/>
              <w:left w:val="nil"/>
              <w:bottom w:val="single" w:color="auto" w:sz="4" w:space="0"/>
              <w:right w:val="nil"/>
            </w:tcBorders>
          </w:tcPr>
          <w:p w14:paraId="4ED0300C">
            <w:pPr>
              <w:pStyle w:val="13"/>
              <w:jc w:val="center"/>
              <w:rPr>
                <w:color w:val="auto"/>
              </w:rPr>
            </w:pPr>
            <w:r>
              <w:rPr>
                <w:rFonts w:hint="eastAsia"/>
                <w:color w:val="auto"/>
              </w:rPr>
              <w:t>NPV</w:t>
            </w:r>
          </w:p>
        </w:tc>
      </w:tr>
      <w:tr w14:paraId="66E1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Merge w:val="restart"/>
            <w:tcBorders>
              <w:top w:val="nil"/>
              <w:left w:val="nil"/>
              <w:bottom w:val="single" w:color="auto" w:sz="4" w:space="0"/>
              <w:right w:val="nil"/>
            </w:tcBorders>
            <w:vAlign w:val="center"/>
          </w:tcPr>
          <w:p w14:paraId="7FF38B0A">
            <w:pPr>
              <w:jc w:val="center"/>
              <w:rPr>
                <w:rFonts w:ascii="Times New Roman" w:hAnsi="Times New Roman"/>
                <w:color w:val="auto"/>
                <w:sz w:val="18"/>
                <w:szCs w:val="18"/>
              </w:rPr>
            </w:pPr>
            <w:r>
              <w:rPr>
                <w:rFonts w:hint="eastAsia" w:ascii="Times New Roman" w:hAnsi="Times New Roman"/>
                <w:color w:val="auto"/>
                <w:sz w:val="18"/>
                <w:szCs w:val="18"/>
              </w:rPr>
              <w:t>Tumor</w:t>
            </w:r>
          </w:p>
        </w:tc>
        <w:tc>
          <w:tcPr>
            <w:tcW w:w="1423" w:type="dxa"/>
            <w:tcBorders>
              <w:top w:val="single" w:color="auto" w:sz="4" w:space="0"/>
              <w:left w:val="nil"/>
              <w:bottom w:val="nil"/>
              <w:right w:val="nil"/>
            </w:tcBorders>
          </w:tcPr>
          <w:p w14:paraId="3D2A07C1">
            <w:pPr>
              <w:rPr>
                <w:rFonts w:ascii="Times New Roman" w:hAnsi="Times New Roman"/>
                <w:color w:val="auto"/>
                <w:sz w:val="18"/>
                <w:szCs w:val="18"/>
              </w:rPr>
            </w:pPr>
            <w:r>
              <w:rPr>
                <w:rFonts w:hint="eastAsia" w:ascii="Times New Roman" w:hAnsi="Times New Roman"/>
                <w:color w:val="auto"/>
                <w:sz w:val="18"/>
                <w:szCs w:val="18"/>
              </w:rPr>
              <w:t>1</w:t>
            </w:r>
            <w:r>
              <w:rPr>
                <w:rFonts w:ascii="Times New Roman" w:hAnsi="Times New Roman"/>
                <w:color w:val="auto"/>
                <w:sz w:val="18"/>
                <w:szCs w:val="18"/>
              </w:rPr>
              <w:t>%</w:t>
            </w:r>
          </w:p>
        </w:tc>
        <w:tc>
          <w:tcPr>
            <w:tcW w:w="968" w:type="dxa"/>
            <w:tcBorders>
              <w:top w:val="single" w:color="auto" w:sz="4" w:space="0"/>
              <w:left w:val="nil"/>
              <w:bottom w:val="nil"/>
              <w:right w:val="nil"/>
            </w:tcBorders>
          </w:tcPr>
          <w:p w14:paraId="10783A2D">
            <w:pPr>
              <w:jc w:val="center"/>
              <w:rPr>
                <w:rFonts w:ascii="Times New Roman" w:hAnsi="Times New Roman"/>
                <w:color w:val="auto"/>
                <w:szCs w:val="21"/>
              </w:rPr>
            </w:pPr>
            <w:r>
              <w:rPr>
                <w:rFonts w:hint="eastAsia" w:ascii="Times New Roman" w:hAnsi="Times New Roman"/>
                <w:color w:val="auto"/>
              </w:rPr>
              <w:t>0.637</w:t>
            </w:r>
          </w:p>
        </w:tc>
        <w:tc>
          <w:tcPr>
            <w:tcW w:w="1163" w:type="dxa"/>
            <w:tcBorders>
              <w:top w:val="single" w:color="auto" w:sz="4" w:space="0"/>
              <w:left w:val="nil"/>
              <w:bottom w:val="nil"/>
              <w:right w:val="nil"/>
            </w:tcBorders>
          </w:tcPr>
          <w:p w14:paraId="6F5C99A0">
            <w:pPr>
              <w:jc w:val="center"/>
              <w:rPr>
                <w:rFonts w:ascii="Times New Roman" w:hAnsi="Times New Roman"/>
                <w:color w:val="auto"/>
              </w:rPr>
            </w:pPr>
            <w:r>
              <w:rPr>
                <w:rFonts w:hint="eastAsia" w:ascii="Times New Roman" w:hAnsi="Times New Roman"/>
                <w:b/>
                <w:bCs/>
                <w:color w:val="auto"/>
              </w:rPr>
              <w:t>0.783</w:t>
            </w:r>
          </w:p>
        </w:tc>
        <w:tc>
          <w:tcPr>
            <w:tcW w:w="1163" w:type="dxa"/>
            <w:tcBorders>
              <w:top w:val="single" w:color="auto" w:sz="4" w:space="0"/>
              <w:left w:val="nil"/>
              <w:bottom w:val="nil"/>
              <w:right w:val="nil"/>
            </w:tcBorders>
          </w:tcPr>
          <w:p w14:paraId="4E7E81B1">
            <w:pPr>
              <w:jc w:val="center"/>
              <w:rPr>
                <w:rFonts w:ascii="Times New Roman" w:hAnsi="Times New Roman"/>
                <w:color w:val="auto"/>
              </w:rPr>
            </w:pPr>
            <w:r>
              <w:rPr>
                <w:rFonts w:hint="eastAsia" w:ascii="Times New Roman" w:hAnsi="Times New Roman"/>
                <w:color w:val="auto"/>
              </w:rPr>
              <w:t>0.667</w:t>
            </w:r>
          </w:p>
        </w:tc>
        <w:tc>
          <w:tcPr>
            <w:tcW w:w="1163" w:type="dxa"/>
            <w:tcBorders>
              <w:top w:val="single" w:color="auto" w:sz="4" w:space="0"/>
              <w:left w:val="nil"/>
              <w:bottom w:val="nil"/>
              <w:right w:val="nil"/>
            </w:tcBorders>
          </w:tcPr>
          <w:p w14:paraId="664232CC">
            <w:pPr>
              <w:jc w:val="center"/>
              <w:rPr>
                <w:rFonts w:ascii="Times New Roman" w:hAnsi="Times New Roman"/>
                <w:color w:val="auto"/>
              </w:rPr>
            </w:pPr>
            <w:r>
              <w:rPr>
                <w:rFonts w:hint="eastAsia" w:ascii="Times New Roman" w:hAnsi="Times New Roman"/>
                <w:b/>
                <w:bCs/>
                <w:color w:val="auto"/>
              </w:rPr>
              <w:t>0.947</w:t>
            </w:r>
          </w:p>
        </w:tc>
        <w:tc>
          <w:tcPr>
            <w:tcW w:w="1163" w:type="dxa"/>
            <w:tcBorders>
              <w:top w:val="single" w:color="auto" w:sz="4" w:space="0"/>
              <w:left w:val="nil"/>
              <w:bottom w:val="nil"/>
              <w:right w:val="nil"/>
            </w:tcBorders>
          </w:tcPr>
          <w:p w14:paraId="14A3B19A">
            <w:pPr>
              <w:jc w:val="center"/>
              <w:rPr>
                <w:rFonts w:ascii="Times New Roman" w:hAnsi="Times New Roman"/>
                <w:b/>
                <w:bCs/>
                <w:color w:val="auto"/>
              </w:rPr>
            </w:pPr>
            <w:r>
              <w:rPr>
                <w:rFonts w:hint="eastAsia" w:ascii="Times New Roman" w:hAnsi="Times New Roman"/>
                <w:b/>
                <w:bCs/>
                <w:color w:val="auto"/>
              </w:rPr>
              <w:t>0.700</w:t>
            </w:r>
          </w:p>
        </w:tc>
      </w:tr>
      <w:tr w14:paraId="1589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vAlign w:val="center"/>
          </w:tcPr>
          <w:p w14:paraId="62C55152">
            <w:pPr>
              <w:rPr>
                <w:rFonts w:ascii="Times New Roman" w:hAnsi="Times New Roman"/>
                <w:color w:val="auto"/>
                <w:sz w:val="18"/>
                <w:szCs w:val="18"/>
              </w:rPr>
            </w:pPr>
          </w:p>
        </w:tc>
        <w:tc>
          <w:tcPr>
            <w:tcW w:w="1423" w:type="dxa"/>
            <w:tcBorders>
              <w:top w:val="nil"/>
              <w:left w:val="nil"/>
              <w:bottom w:val="nil"/>
              <w:right w:val="nil"/>
            </w:tcBorders>
          </w:tcPr>
          <w:p w14:paraId="46CD9C2B">
            <w:pPr>
              <w:rPr>
                <w:rFonts w:ascii="Times New Roman" w:hAnsi="Times New Roman"/>
                <w:color w:val="auto"/>
                <w:sz w:val="18"/>
                <w:szCs w:val="18"/>
              </w:rPr>
            </w:pPr>
            <w:r>
              <w:rPr>
                <w:rFonts w:hint="eastAsia" w:ascii="Times New Roman" w:hAnsi="Times New Roman"/>
                <w:color w:val="auto"/>
                <w:sz w:val="18"/>
                <w:szCs w:val="18"/>
              </w:rPr>
              <w:t>3</w:t>
            </w:r>
            <w:r>
              <w:rPr>
                <w:rFonts w:ascii="Times New Roman" w:hAnsi="Times New Roman"/>
                <w:color w:val="auto"/>
                <w:sz w:val="18"/>
                <w:szCs w:val="18"/>
              </w:rPr>
              <w:t>%</w:t>
            </w:r>
          </w:p>
        </w:tc>
        <w:tc>
          <w:tcPr>
            <w:tcW w:w="968" w:type="dxa"/>
            <w:tcBorders>
              <w:top w:val="nil"/>
              <w:left w:val="nil"/>
              <w:bottom w:val="nil"/>
              <w:right w:val="nil"/>
            </w:tcBorders>
          </w:tcPr>
          <w:p w14:paraId="58ECEE3E">
            <w:pPr>
              <w:jc w:val="center"/>
              <w:rPr>
                <w:rFonts w:ascii="Times New Roman" w:hAnsi="Times New Roman"/>
                <w:color w:val="auto"/>
                <w:szCs w:val="21"/>
              </w:rPr>
            </w:pPr>
            <w:r>
              <w:rPr>
                <w:rFonts w:hint="eastAsia" w:ascii="Times New Roman" w:hAnsi="Times New Roman"/>
                <w:color w:val="auto"/>
              </w:rPr>
              <w:t>0.657</w:t>
            </w:r>
          </w:p>
        </w:tc>
        <w:tc>
          <w:tcPr>
            <w:tcW w:w="1163" w:type="dxa"/>
            <w:tcBorders>
              <w:top w:val="nil"/>
              <w:left w:val="nil"/>
              <w:bottom w:val="nil"/>
              <w:right w:val="nil"/>
            </w:tcBorders>
          </w:tcPr>
          <w:p w14:paraId="147CAB73">
            <w:pPr>
              <w:jc w:val="center"/>
              <w:rPr>
                <w:rFonts w:ascii="Times New Roman" w:hAnsi="Times New Roman"/>
                <w:color w:val="auto"/>
              </w:rPr>
            </w:pPr>
            <w:r>
              <w:rPr>
                <w:rFonts w:hint="eastAsia" w:ascii="Times New Roman" w:hAnsi="Times New Roman"/>
                <w:color w:val="auto"/>
              </w:rPr>
              <w:t>0.756</w:t>
            </w:r>
          </w:p>
        </w:tc>
        <w:tc>
          <w:tcPr>
            <w:tcW w:w="1163" w:type="dxa"/>
            <w:tcBorders>
              <w:top w:val="nil"/>
              <w:left w:val="nil"/>
              <w:bottom w:val="nil"/>
              <w:right w:val="nil"/>
            </w:tcBorders>
          </w:tcPr>
          <w:p w14:paraId="0DCA15F9">
            <w:pPr>
              <w:jc w:val="center"/>
              <w:rPr>
                <w:rFonts w:ascii="Times New Roman" w:hAnsi="Times New Roman"/>
                <w:color w:val="auto"/>
              </w:rPr>
            </w:pPr>
            <w:r>
              <w:rPr>
                <w:rFonts w:hint="eastAsia" w:ascii="Times New Roman" w:hAnsi="Times New Roman"/>
                <w:color w:val="auto"/>
              </w:rPr>
              <w:t>0.705</w:t>
            </w:r>
          </w:p>
        </w:tc>
        <w:tc>
          <w:tcPr>
            <w:tcW w:w="1163" w:type="dxa"/>
            <w:tcBorders>
              <w:top w:val="nil"/>
              <w:left w:val="nil"/>
              <w:bottom w:val="nil"/>
              <w:right w:val="nil"/>
            </w:tcBorders>
          </w:tcPr>
          <w:p w14:paraId="1CB9B7F8">
            <w:pPr>
              <w:jc w:val="center"/>
              <w:rPr>
                <w:rFonts w:ascii="Times New Roman" w:hAnsi="Times New Roman"/>
                <w:color w:val="auto"/>
              </w:rPr>
            </w:pPr>
            <w:r>
              <w:rPr>
                <w:rFonts w:hint="eastAsia" w:ascii="Times New Roman" w:hAnsi="Times New Roman"/>
                <w:color w:val="auto"/>
              </w:rPr>
              <w:t>0.816</w:t>
            </w:r>
          </w:p>
        </w:tc>
        <w:tc>
          <w:tcPr>
            <w:tcW w:w="1163" w:type="dxa"/>
            <w:tcBorders>
              <w:top w:val="nil"/>
              <w:left w:val="nil"/>
              <w:bottom w:val="nil"/>
              <w:right w:val="nil"/>
            </w:tcBorders>
          </w:tcPr>
          <w:p w14:paraId="1BD355A6">
            <w:pPr>
              <w:jc w:val="center"/>
              <w:rPr>
                <w:rFonts w:ascii="Times New Roman" w:hAnsi="Times New Roman"/>
                <w:color w:val="auto"/>
              </w:rPr>
            </w:pPr>
            <w:r>
              <w:rPr>
                <w:rFonts w:hint="eastAsia" w:ascii="Times New Roman" w:hAnsi="Times New Roman"/>
                <w:color w:val="auto"/>
              </w:rPr>
              <w:t>0.600</w:t>
            </w:r>
          </w:p>
        </w:tc>
      </w:tr>
      <w:tr w14:paraId="0831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vAlign w:val="center"/>
          </w:tcPr>
          <w:p w14:paraId="595CBFC5">
            <w:pPr>
              <w:rPr>
                <w:rFonts w:ascii="Times New Roman" w:hAnsi="Times New Roman"/>
                <w:color w:val="auto"/>
                <w:sz w:val="18"/>
                <w:szCs w:val="18"/>
              </w:rPr>
            </w:pPr>
          </w:p>
        </w:tc>
        <w:tc>
          <w:tcPr>
            <w:tcW w:w="1423" w:type="dxa"/>
            <w:tcBorders>
              <w:top w:val="nil"/>
              <w:left w:val="nil"/>
              <w:bottom w:val="nil"/>
              <w:right w:val="nil"/>
            </w:tcBorders>
          </w:tcPr>
          <w:p w14:paraId="5635CE8B">
            <w:pPr>
              <w:rPr>
                <w:rFonts w:ascii="Times New Roman" w:hAnsi="Times New Roman"/>
                <w:color w:val="auto"/>
                <w:sz w:val="18"/>
                <w:szCs w:val="18"/>
              </w:rPr>
            </w:pPr>
            <w:r>
              <w:rPr>
                <w:rFonts w:hint="eastAsia" w:ascii="Times New Roman" w:hAnsi="Times New Roman"/>
                <w:color w:val="auto"/>
                <w:sz w:val="18"/>
                <w:szCs w:val="18"/>
              </w:rPr>
              <w:t>5</w:t>
            </w:r>
            <w:r>
              <w:rPr>
                <w:rFonts w:ascii="Times New Roman" w:hAnsi="Times New Roman"/>
                <w:color w:val="auto"/>
                <w:sz w:val="18"/>
                <w:szCs w:val="18"/>
              </w:rPr>
              <w:t>%</w:t>
            </w:r>
          </w:p>
        </w:tc>
        <w:tc>
          <w:tcPr>
            <w:tcW w:w="968" w:type="dxa"/>
            <w:tcBorders>
              <w:top w:val="nil"/>
              <w:left w:val="nil"/>
              <w:bottom w:val="nil"/>
              <w:right w:val="nil"/>
            </w:tcBorders>
          </w:tcPr>
          <w:p w14:paraId="69418C80">
            <w:pPr>
              <w:pStyle w:val="13"/>
              <w:jc w:val="center"/>
              <w:rPr>
                <w:color w:val="auto"/>
                <w:sz w:val="21"/>
                <w:szCs w:val="21"/>
              </w:rPr>
            </w:pPr>
            <w:r>
              <w:rPr>
                <w:rFonts w:hint="eastAsia"/>
                <w:color w:val="auto"/>
                <w:sz w:val="21"/>
                <w:szCs w:val="21"/>
              </w:rPr>
              <w:t>0.656</w:t>
            </w:r>
          </w:p>
        </w:tc>
        <w:tc>
          <w:tcPr>
            <w:tcW w:w="1163" w:type="dxa"/>
            <w:tcBorders>
              <w:top w:val="nil"/>
              <w:left w:val="nil"/>
              <w:bottom w:val="nil"/>
              <w:right w:val="nil"/>
            </w:tcBorders>
          </w:tcPr>
          <w:p w14:paraId="12B7FAD2">
            <w:pPr>
              <w:pStyle w:val="13"/>
              <w:jc w:val="center"/>
              <w:rPr>
                <w:color w:val="auto"/>
                <w:sz w:val="21"/>
                <w:szCs w:val="21"/>
              </w:rPr>
            </w:pPr>
            <w:r>
              <w:rPr>
                <w:rFonts w:hint="eastAsia"/>
                <w:color w:val="auto"/>
                <w:sz w:val="21"/>
                <w:szCs w:val="21"/>
              </w:rPr>
              <w:t>0.656</w:t>
            </w:r>
          </w:p>
        </w:tc>
        <w:tc>
          <w:tcPr>
            <w:tcW w:w="1163" w:type="dxa"/>
            <w:tcBorders>
              <w:top w:val="nil"/>
              <w:left w:val="nil"/>
              <w:bottom w:val="nil"/>
              <w:right w:val="nil"/>
            </w:tcBorders>
          </w:tcPr>
          <w:p w14:paraId="371E087B">
            <w:pPr>
              <w:pStyle w:val="13"/>
              <w:jc w:val="center"/>
              <w:rPr>
                <w:color w:val="auto"/>
                <w:sz w:val="21"/>
                <w:szCs w:val="21"/>
              </w:rPr>
            </w:pPr>
            <w:r>
              <w:rPr>
                <w:rFonts w:hint="eastAsia"/>
                <w:b/>
                <w:bCs/>
                <w:color w:val="auto"/>
                <w:sz w:val="21"/>
                <w:szCs w:val="21"/>
              </w:rPr>
              <w:t>0.808</w:t>
            </w:r>
          </w:p>
        </w:tc>
        <w:tc>
          <w:tcPr>
            <w:tcW w:w="1163" w:type="dxa"/>
            <w:tcBorders>
              <w:top w:val="nil"/>
              <w:left w:val="nil"/>
              <w:bottom w:val="nil"/>
              <w:right w:val="nil"/>
            </w:tcBorders>
          </w:tcPr>
          <w:p w14:paraId="16382762">
            <w:pPr>
              <w:pStyle w:val="13"/>
              <w:jc w:val="center"/>
              <w:rPr>
                <w:color w:val="auto"/>
                <w:sz w:val="21"/>
                <w:szCs w:val="21"/>
              </w:rPr>
            </w:pPr>
            <w:r>
              <w:rPr>
                <w:rFonts w:hint="eastAsia"/>
                <w:color w:val="auto"/>
                <w:sz w:val="21"/>
                <w:szCs w:val="21"/>
              </w:rPr>
              <w:t>0.553</w:t>
            </w:r>
          </w:p>
        </w:tc>
        <w:tc>
          <w:tcPr>
            <w:tcW w:w="1163" w:type="dxa"/>
            <w:tcBorders>
              <w:top w:val="nil"/>
              <w:left w:val="nil"/>
              <w:bottom w:val="nil"/>
              <w:right w:val="nil"/>
            </w:tcBorders>
          </w:tcPr>
          <w:p w14:paraId="034BA622">
            <w:pPr>
              <w:pStyle w:val="13"/>
              <w:jc w:val="center"/>
              <w:rPr>
                <w:color w:val="auto"/>
                <w:sz w:val="21"/>
                <w:szCs w:val="21"/>
              </w:rPr>
            </w:pPr>
            <w:r>
              <w:rPr>
                <w:rFonts w:hint="eastAsia"/>
                <w:color w:val="auto"/>
                <w:sz w:val="21"/>
                <w:szCs w:val="21"/>
              </w:rPr>
              <w:t>0.526</w:t>
            </w:r>
          </w:p>
        </w:tc>
      </w:tr>
      <w:tr w14:paraId="0A2F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vAlign w:val="center"/>
          </w:tcPr>
          <w:p w14:paraId="5F42A57B">
            <w:pPr>
              <w:rPr>
                <w:rFonts w:ascii="Times New Roman" w:hAnsi="Times New Roman"/>
                <w:color w:val="auto"/>
                <w:sz w:val="18"/>
                <w:szCs w:val="18"/>
              </w:rPr>
            </w:pPr>
          </w:p>
        </w:tc>
        <w:tc>
          <w:tcPr>
            <w:tcW w:w="1423" w:type="dxa"/>
            <w:tcBorders>
              <w:top w:val="nil"/>
              <w:left w:val="nil"/>
              <w:bottom w:val="single" w:color="auto" w:sz="4" w:space="0"/>
              <w:right w:val="nil"/>
            </w:tcBorders>
          </w:tcPr>
          <w:p w14:paraId="1AD34A13">
            <w:pPr>
              <w:rPr>
                <w:rFonts w:ascii="Times New Roman" w:hAnsi="Times New Roman"/>
                <w:color w:val="auto"/>
                <w:sz w:val="18"/>
                <w:szCs w:val="18"/>
              </w:rPr>
            </w:pPr>
            <w:r>
              <w:rPr>
                <w:rFonts w:hint="eastAsia" w:ascii="Times New Roman" w:hAnsi="Times New Roman"/>
                <w:color w:val="auto"/>
                <w:sz w:val="18"/>
                <w:szCs w:val="18"/>
              </w:rPr>
              <w:t>10</w:t>
            </w:r>
            <w:r>
              <w:rPr>
                <w:rFonts w:ascii="Times New Roman" w:hAnsi="Times New Roman"/>
                <w:color w:val="auto"/>
                <w:sz w:val="18"/>
                <w:szCs w:val="18"/>
              </w:rPr>
              <w:t>%</w:t>
            </w:r>
          </w:p>
        </w:tc>
        <w:tc>
          <w:tcPr>
            <w:tcW w:w="968" w:type="dxa"/>
            <w:tcBorders>
              <w:top w:val="nil"/>
              <w:left w:val="nil"/>
              <w:bottom w:val="single" w:color="auto" w:sz="4" w:space="0"/>
              <w:right w:val="nil"/>
            </w:tcBorders>
          </w:tcPr>
          <w:p w14:paraId="36CD82C2">
            <w:pPr>
              <w:jc w:val="center"/>
              <w:rPr>
                <w:rFonts w:ascii="Times New Roman" w:hAnsi="Times New Roman"/>
                <w:color w:val="auto"/>
                <w:szCs w:val="21"/>
              </w:rPr>
            </w:pPr>
            <w:r>
              <w:rPr>
                <w:rFonts w:hint="eastAsia" w:ascii="Times New Roman" w:hAnsi="Times New Roman"/>
                <w:b/>
                <w:bCs/>
                <w:color w:val="auto"/>
              </w:rPr>
              <w:t>0.658</w:t>
            </w:r>
          </w:p>
        </w:tc>
        <w:tc>
          <w:tcPr>
            <w:tcW w:w="1163" w:type="dxa"/>
            <w:tcBorders>
              <w:top w:val="nil"/>
              <w:left w:val="nil"/>
              <w:bottom w:val="single" w:color="auto" w:sz="4" w:space="0"/>
              <w:right w:val="nil"/>
            </w:tcBorders>
          </w:tcPr>
          <w:p w14:paraId="051E2DBD">
            <w:pPr>
              <w:jc w:val="center"/>
              <w:rPr>
                <w:rFonts w:ascii="Times New Roman" w:hAnsi="Times New Roman"/>
                <w:color w:val="auto"/>
              </w:rPr>
            </w:pPr>
            <w:r>
              <w:rPr>
                <w:rFonts w:hint="eastAsia" w:ascii="Times New Roman" w:hAnsi="Times New Roman"/>
                <w:color w:val="auto"/>
              </w:rPr>
              <w:t>0.756</w:t>
            </w:r>
          </w:p>
        </w:tc>
        <w:tc>
          <w:tcPr>
            <w:tcW w:w="1163" w:type="dxa"/>
            <w:tcBorders>
              <w:top w:val="nil"/>
              <w:left w:val="nil"/>
              <w:bottom w:val="single" w:color="auto" w:sz="4" w:space="0"/>
              <w:right w:val="nil"/>
            </w:tcBorders>
          </w:tcPr>
          <w:p w14:paraId="71CD564B">
            <w:pPr>
              <w:jc w:val="center"/>
              <w:rPr>
                <w:rFonts w:ascii="Times New Roman" w:hAnsi="Times New Roman"/>
                <w:color w:val="auto"/>
              </w:rPr>
            </w:pPr>
            <w:r>
              <w:rPr>
                <w:rFonts w:hint="eastAsia" w:ascii="Times New Roman" w:hAnsi="Times New Roman"/>
                <w:color w:val="auto"/>
              </w:rPr>
              <w:t>0.654</w:t>
            </w:r>
          </w:p>
        </w:tc>
        <w:tc>
          <w:tcPr>
            <w:tcW w:w="1163" w:type="dxa"/>
            <w:tcBorders>
              <w:top w:val="nil"/>
              <w:left w:val="nil"/>
              <w:bottom w:val="single" w:color="auto" w:sz="4" w:space="0"/>
              <w:right w:val="nil"/>
            </w:tcBorders>
          </w:tcPr>
          <w:p w14:paraId="6D7462A5">
            <w:pPr>
              <w:jc w:val="center"/>
              <w:rPr>
                <w:rFonts w:ascii="Times New Roman" w:hAnsi="Times New Roman"/>
                <w:color w:val="auto"/>
              </w:rPr>
            </w:pPr>
            <w:r>
              <w:rPr>
                <w:rFonts w:hint="eastAsia" w:ascii="Times New Roman" w:hAnsi="Times New Roman"/>
                <w:color w:val="auto"/>
              </w:rPr>
              <w:t>0.895</w:t>
            </w:r>
          </w:p>
        </w:tc>
        <w:tc>
          <w:tcPr>
            <w:tcW w:w="1163" w:type="dxa"/>
            <w:tcBorders>
              <w:top w:val="nil"/>
              <w:left w:val="nil"/>
              <w:bottom w:val="single" w:color="auto" w:sz="4" w:space="0"/>
              <w:right w:val="nil"/>
            </w:tcBorders>
          </w:tcPr>
          <w:p w14:paraId="24F94742">
            <w:pPr>
              <w:jc w:val="center"/>
              <w:rPr>
                <w:rFonts w:ascii="Times New Roman" w:hAnsi="Times New Roman"/>
                <w:color w:val="auto"/>
              </w:rPr>
            </w:pPr>
            <w:r>
              <w:rPr>
                <w:rFonts w:hint="eastAsia" w:ascii="Times New Roman" w:hAnsi="Times New Roman"/>
                <w:color w:val="auto"/>
              </w:rPr>
              <w:t>0.583</w:t>
            </w:r>
          </w:p>
        </w:tc>
      </w:tr>
      <w:tr w14:paraId="3CD8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Merge w:val="restart"/>
            <w:tcBorders>
              <w:top w:val="nil"/>
              <w:left w:val="nil"/>
              <w:bottom w:val="single" w:color="auto" w:sz="4" w:space="0"/>
              <w:right w:val="nil"/>
            </w:tcBorders>
            <w:vAlign w:val="center"/>
          </w:tcPr>
          <w:p w14:paraId="5A05A99A">
            <w:pPr>
              <w:jc w:val="center"/>
              <w:rPr>
                <w:rFonts w:ascii="Times New Roman" w:hAnsi="Times New Roman"/>
                <w:color w:val="auto"/>
                <w:sz w:val="18"/>
                <w:szCs w:val="18"/>
              </w:rPr>
            </w:pPr>
            <w:r>
              <w:rPr>
                <w:rFonts w:hint="eastAsia" w:ascii="Times New Roman" w:hAnsi="Times New Roman"/>
                <w:color w:val="auto"/>
                <w:sz w:val="18"/>
                <w:szCs w:val="18"/>
              </w:rPr>
              <w:t>Non-tumor</w:t>
            </w:r>
          </w:p>
        </w:tc>
        <w:tc>
          <w:tcPr>
            <w:tcW w:w="1423" w:type="dxa"/>
            <w:tcBorders>
              <w:top w:val="single" w:color="auto" w:sz="4" w:space="0"/>
              <w:left w:val="nil"/>
              <w:bottom w:val="nil"/>
              <w:right w:val="nil"/>
            </w:tcBorders>
          </w:tcPr>
          <w:p w14:paraId="26484F57">
            <w:pPr>
              <w:rPr>
                <w:rFonts w:ascii="Times New Roman" w:hAnsi="Times New Roman"/>
                <w:color w:val="auto"/>
                <w:sz w:val="18"/>
                <w:szCs w:val="18"/>
              </w:rPr>
            </w:pPr>
            <w:r>
              <w:rPr>
                <w:rFonts w:hint="eastAsia" w:ascii="Times New Roman" w:hAnsi="Times New Roman"/>
                <w:color w:val="auto"/>
                <w:sz w:val="18"/>
                <w:szCs w:val="18"/>
              </w:rPr>
              <w:t>1</w:t>
            </w:r>
            <w:r>
              <w:rPr>
                <w:rFonts w:ascii="Times New Roman" w:hAnsi="Times New Roman"/>
                <w:color w:val="auto"/>
                <w:sz w:val="18"/>
                <w:szCs w:val="18"/>
              </w:rPr>
              <w:t>%</w:t>
            </w:r>
          </w:p>
        </w:tc>
        <w:tc>
          <w:tcPr>
            <w:tcW w:w="968" w:type="dxa"/>
            <w:tcBorders>
              <w:top w:val="single" w:color="auto" w:sz="4" w:space="0"/>
              <w:left w:val="nil"/>
              <w:bottom w:val="nil"/>
              <w:right w:val="nil"/>
            </w:tcBorders>
          </w:tcPr>
          <w:p w14:paraId="3F1880A4">
            <w:pPr>
              <w:jc w:val="center"/>
              <w:rPr>
                <w:rFonts w:ascii="Times New Roman" w:hAnsi="Times New Roman"/>
                <w:color w:val="auto"/>
                <w:szCs w:val="21"/>
              </w:rPr>
            </w:pPr>
            <w:r>
              <w:rPr>
                <w:rFonts w:hint="eastAsia" w:ascii="Times New Roman" w:hAnsi="Times New Roman"/>
                <w:color w:val="auto"/>
              </w:rPr>
              <w:t>0.639</w:t>
            </w:r>
          </w:p>
        </w:tc>
        <w:tc>
          <w:tcPr>
            <w:tcW w:w="1163" w:type="dxa"/>
            <w:tcBorders>
              <w:top w:val="single" w:color="auto" w:sz="4" w:space="0"/>
              <w:left w:val="nil"/>
              <w:bottom w:val="nil"/>
              <w:right w:val="nil"/>
            </w:tcBorders>
          </w:tcPr>
          <w:p w14:paraId="2A0BEAB9">
            <w:pPr>
              <w:jc w:val="center"/>
              <w:rPr>
                <w:rFonts w:ascii="Times New Roman" w:hAnsi="Times New Roman"/>
                <w:color w:val="auto"/>
              </w:rPr>
            </w:pPr>
            <w:r>
              <w:rPr>
                <w:rFonts w:hint="eastAsia" w:ascii="Times New Roman" w:hAnsi="Times New Roman"/>
                <w:color w:val="auto"/>
              </w:rPr>
              <w:t>0.804</w:t>
            </w:r>
          </w:p>
        </w:tc>
        <w:tc>
          <w:tcPr>
            <w:tcW w:w="1163" w:type="dxa"/>
            <w:tcBorders>
              <w:top w:val="single" w:color="auto" w:sz="4" w:space="0"/>
              <w:left w:val="nil"/>
              <w:bottom w:val="nil"/>
              <w:right w:val="nil"/>
            </w:tcBorders>
          </w:tcPr>
          <w:p w14:paraId="26387833">
            <w:pPr>
              <w:jc w:val="center"/>
              <w:rPr>
                <w:rFonts w:ascii="Times New Roman" w:hAnsi="Times New Roman"/>
                <w:color w:val="auto"/>
              </w:rPr>
            </w:pPr>
            <w:r>
              <w:rPr>
                <w:rFonts w:hint="eastAsia" w:ascii="Times New Roman" w:hAnsi="Times New Roman"/>
                <w:color w:val="auto"/>
              </w:rPr>
              <w:t>0.685</w:t>
            </w:r>
          </w:p>
        </w:tc>
        <w:tc>
          <w:tcPr>
            <w:tcW w:w="1163" w:type="dxa"/>
            <w:tcBorders>
              <w:top w:val="single" w:color="auto" w:sz="4" w:space="0"/>
              <w:left w:val="nil"/>
              <w:bottom w:val="nil"/>
              <w:right w:val="nil"/>
            </w:tcBorders>
          </w:tcPr>
          <w:p w14:paraId="5F6810D2">
            <w:pPr>
              <w:jc w:val="center"/>
              <w:rPr>
                <w:rFonts w:ascii="Times New Roman" w:hAnsi="Times New Roman"/>
                <w:color w:val="auto"/>
              </w:rPr>
            </w:pPr>
            <w:r>
              <w:rPr>
                <w:rFonts w:hint="eastAsia" w:ascii="Times New Roman" w:hAnsi="Times New Roman"/>
                <w:b/>
                <w:bCs/>
                <w:color w:val="auto"/>
              </w:rPr>
              <w:t>0.974</w:t>
            </w:r>
          </w:p>
        </w:tc>
        <w:tc>
          <w:tcPr>
            <w:tcW w:w="1163" w:type="dxa"/>
            <w:tcBorders>
              <w:top w:val="single" w:color="auto" w:sz="4" w:space="0"/>
              <w:left w:val="nil"/>
              <w:bottom w:val="nil"/>
              <w:right w:val="nil"/>
            </w:tcBorders>
          </w:tcPr>
          <w:p w14:paraId="365A2F64">
            <w:pPr>
              <w:jc w:val="center"/>
              <w:rPr>
                <w:rFonts w:ascii="Times New Roman" w:hAnsi="Times New Roman"/>
                <w:color w:val="auto"/>
              </w:rPr>
            </w:pPr>
            <w:r>
              <w:rPr>
                <w:rFonts w:hint="eastAsia" w:ascii="Times New Roman" w:hAnsi="Times New Roman"/>
                <w:color w:val="auto"/>
              </w:rPr>
              <w:t>0.800</w:t>
            </w:r>
          </w:p>
        </w:tc>
      </w:tr>
      <w:tr w14:paraId="73FA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vAlign w:val="center"/>
          </w:tcPr>
          <w:p w14:paraId="6819EC6E">
            <w:pPr>
              <w:rPr>
                <w:rFonts w:ascii="Times New Roman" w:hAnsi="Times New Roman"/>
                <w:color w:val="auto"/>
                <w:sz w:val="18"/>
                <w:szCs w:val="18"/>
              </w:rPr>
            </w:pPr>
          </w:p>
        </w:tc>
        <w:tc>
          <w:tcPr>
            <w:tcW w:w="1423" w:type="dxa"/>
            <w:tcBorders>
              <w:top w:val="nil"/>
              <w:left w:val="nil"/>
              <w:bottom w:val="nil"/>
              <w:right w:val="nil"/>
            </w:tcBorders>
          </w:tcPr>
          <w:p w14:paraId="45902222">
            <w:pPr>
              <w:rPr>
                <w:rFonts w:ascii="Times New Roman" w:hAnsi="Times New Roman"/>
                <w:color w:val="auto"/>
                <w:sz w:val="18"/>
                <w:szCs w:val="18"/>
              </w:rPr>
            </w:pPr>
            <w:r>
              <w:rPr>
                <w:rFonts w:hint="eastAsia" w:ascii="Times New Roman" w:hAnsi="Times New Roman"/>
                <w:color w:val="auto"/>
                <w:sz w:val="18"/>
                <w:szCs w:val="18"/>
              </w:rPr>
              <w:t>3</w:t>
            </w:r>
            <w:r>
              <w:rPr>
                <w:rFonts w:ascii="Times New Roman" w:hAnsi="Times New Roman"/>
                <w:color w:val="auto"/>
                <w:sz w:val="18"/>
                <w:szCs w:val="18"/>
              </w:rPr>
              <w:t>%</w:t>
            </w:r>
          </w:p>
        </w:tc>
        <w:tc>
          <w:tcPr>
            <w:tcW w:w="968" w:type="dxa"/>
            <w:tcBorders>
              <w:top w:val="nil"/>
              <w:left w:val="nil"/>
              <w:bottom w:val="nil"/>
              <w:right w:val="nil"/>
            </w:tcBorders>
          </w:tcPr>
          <w:p w14:paraId="457A5AF4">
            <w:pPr>
              <w:jc w:val="center"/>
              <w:rPr>
                <w:rFonts w:ascii="Times New Roman" w:hAnsi="Times New Roman"/>
                <w:color w:val="auto"/>
                <w:szCs w:val="21"/>
              </w:rPr>
            </w:pPr>
            <w:r>
              <w:rPr>
                <w:rFonts w:hint="eastAsia" w:ascii="Times New Roman" w:hAnsi="Times New Roman"/>
                <w:color w:val="auto"/>
              </w:rPr>
              <w:t>0.689</w:t>
            </w:r>
          </w:p>
        </w:tc>
        <w:tc>
          <w:tcPr>
            <w:tcW w:w="1163" w:type="dxa"/>
            <w:tcBorders>
              <w:top w:val="nil"/>
              <w:left w:val="nil"/>
              <w:bottom w:val="nil"/>
              <w:right w:val="nil"/>
            </w:tcBorders>
          </w:tcPr>
          <w:p w14:paraId="02000C00">
            <w:pPr>
              <w:jc w:val="center"/>
              <w:rPr>
                <w:rFonts w:ascii="Times New Roman" w:hAnsi="Times New Roman"/>
                <w:color w:val="auto"/>
              </w:rPr>
            </w:pPr>
            <w:r>
              <w:rPr>
                <w:rFonts w:hint="eastAsia" w:ascii="Times New Roman" w:hAnsi="Times New Roman"/>
                <w:color w:val="auto"/>
              </w:rPr>
              <w:t>0.783</w:t>
            </w:r>
          </w:p>
        </w:tc>
        <w:tc>
          <w:tcPr>
            <w:tcW w:w="1163" w:type="dxa"/>
            <w:tcBorders>
              <w:top w:val="nil"/>
              <w:left w:val="nil"/>
              <w:bottom w:val="nil"/>
              <w:right w:val="nil"/>
            </w:tcBorders>
          </w:tcPr>
          <w:p w14:paraId="56D908CE">
            <w:pPr>
              <w:jc w:val="center"/>
              <w:rPr>
                <w:rFonts w:ascii="Times New Roman" w:hAnsi="Times New Roman"/>
                <w:color w:val="auto"/>
              </w:rPr>
            </w:pPr>
            <w:r>
              <w:rPr>
                <w:rFonts w:hint="eastAsia" w:ascii="Times New Roman" w:hAnsi="Times New Roman"/>
                <w:color w:val="auto"/>
              </w:rPr>
              <w:t>0.667</w:t>
            </w:r>
          </w:p>
        </w:tc>
        <w:tc>
          <w:tcPr>
            <w:tcW w:w="1163" w:type="dxa"/>
            <w:tcBorders>
              <w:top w:val="nil"/>
              <w:left w:val="nil"/>
              <w:bottom w:val="nil"/>
              <w:right w:val="nil"/>
            </w:tcBorders>
          </w:tcPr>
          <w:p w14:paraId="5F33B881">
            <w:pPr>
              <w:jc w:val="center"/>
              <w:rPr>
                <w:rFonts w:ascii="Times New Roman" w:hAnsi="Times New Roman"/>
                <w:color w:val="auto"/>
              </w:rPr>
            </w:pPr>
            <w:r>
              <w:rPr>
                <w:rFonts w:hint="eastAsia" w:ascii="Times New Roman" w:hAnsi="Times New Roman"/>
                <w:color w:val="auto"/>
              </w:rPr>
              <w:t>0.947</w:t>
            </w:r>
          </w:p>
        </w:tc>
        <w:tc>
          <w:tcPr>
            <w:tcW w:w="1163" w:type="dxa"/>
            <w:tcBorders>
              <w:top w:val="nil"/>
              <w:left w:val="nil"/>
              <w:bottom w:val="nil"/>
              <w:right w:val="nil"/>
            </w:tcBorders>
          </w:tcPr>
          <w:p w14:paraId="5E3A0C65">
            <w:pPr>
              <w:jc w:val="center"/>
              <w:rPr>
                <w:rFonts w:ascii="Times New Roman" w:hAnsi="Times New Roman"/>
                <w:color w:val="auto"/>
              </w:rPr>
            </w:pPr>
            <w:r>
              <w:rPr>
                <w:rFonts w:hint="eastAsia" w:ascii="Times New Roman" w:hAnsi="Times New Roman"/>
                <w:color w:val="auto"/>
              </w:rPr>
              <w:t>0.700</w:t>
            </w:r>
          </w:p>
        </w:tc>
      </w:tr>
      <w:tr w14:paraId="2CD1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vAlign w:val="center"/>
          </w:tcPr>
          <w:p w14:paraId="698A23E4">
            <w:pPr>
              <w:rPr>
                <w:rFonts w:ascii="Times New Roman" w:hAnsi="Times New Roman"/>
                <w:color w:val="auto"/>
                <w:sz w:val="18"/>
                <w:szCs w:val="18"/>
              </w:rPr>
            </w:pPr>
          </w:p>
        </w:tc>
        <w:tc>
          <w:tcPr>
            <w:tcW w:w="1423" w:type="dxa"/>
            <w:tcBorders>
              <w:top w:val="nil"/>
              <w:left w:val="nil"/>
              <w:bottom w:val="nil"/>
              <w:right w:val="nil"/>
            </w:tcBorders>
          </w:tcPr>
          <w:p w14:paraId="738FCC99">
            <w:pPr>
              <w:rPr>
                <w:rFonts w:ascii="Times New Roman" w:hAnsi="Times New Roman"/>
                <w:color w:val="auto"/>
                <w:sz w:val="18"/>
                <w:szCs w:val="18"/>
              </w:rPr>
            </w:pPr>
            <w:r>
              <w:rPr>
                <w:rFonts w:hint="eastAsia" w:ascii="Times New Roman" w:hAnsi="Times New Roman"/>
                <w:color w:val="auto"/>
                <w:sz w:val="18"/>
                <w:szCs w:val="18"/>
              </w:rPr>
              <w:t>5</w:t>
            </w:r>
            <w:r>
              <w:rPr>
                <w:rFonts w:ascii="Times New Roman" w:hAnsi="Times New Roman"/>
                <w:color w:val="auto"/>
                <w:sz w:val="18"/>
                <w:szCs w:val="18"/>
              </w:rPr>
              <w:t>%</w:t>
            </w:r>
          </w:p>
        </w:tc>
        <w:tc>
          <w:tcPr>
            <w:tcW w:w="968" w:type="dxa"/>
            <w:tcBorders>
              <w:top w:val="nil"/>
              <w:left w:val="nil"/>
              <w:bottom w:val="nil"/>
              <w:right w:val="nil"/>
            </w:tcBorders>
          </w:tcPr>
          <w:p w14:paraId="6EA90390">
            <w:pPr>
              <w:pStyle w:val="13"/>
              <w:jc w:val="center"/>
              <w:rPr>
                <w:color w:val="auto"/>
                <w:sz w:val="21"/>
                <w:szCs w:val="21"/>
              </w:rPr>
            </w:pPr>
            <w:r>
              <w:rPr>
                <w:rFonts w:hint="eastAsia"/>
                <w:b/>
                <w:bCs/>
                <w:color w:val="auto"/>
                <w:sz w:val="21"/>
                <w:szCs w:val="21"/>
              </w:rPr>
              <w:t>0.746</w:t>
            </w:r>
          </w:p>
        </w:tc>
        <w:tc>
          <w:tcPr>
            <w:tcW w:w="1163" w:type="dxa"/>
            <w:tcBorders>
              <w:top w:val="nil"/>
              <w:left w:val="nil"/>
              <w:bottom w:val="nil"/>
              <w:right w:val="nil"/>
            </w:tcBorders>
          </w:tcPr>
          <w:p w14:paraId="64FAA06C">
            <w:pPr>
              <w:pStyle w:val="13"/>
              <w:jc w:val="center"/>
              <w:rPr>
                <w:color w:val="auto"/>
                <w:sz w:val="21"/>
                <w:szCs w:val="21"/>
              </w:rPr>
            </w:pPr>
            <w:r>
              <w:rPr>
                <w:rFonts w:hint="eastAsia"/>
                <w:b/>
                <w:bCs/>
                <w:color w:val="auto"/>
                <w:sz w:val="21"/>
                <w:szCs w:val="21"/>
              </w:rPr>
              <w:t>0.843</w:t>
            </w:r>
          </w:p>
        </w:tc>
        <w:tc>
          <w:tcPr>
            <w:tcW w:w="1163" w:type="dxa"/>
            <w:tcBorders>
              <w:top w:val="nil"/>
              <w:left w:val="nil"/>
              <w:bottom w:val="nil"/>
              <w:right w:val="nil"/>
            </w:tcBorders>
          </w:tcPr>
          <w:p w14:paraId="7DE94BD6">
            <w:pPr>
              <w:pStyle w:val="13"/>
              <w:jc w:val="center"/>
              <w:rPr>
                <w:color w:val="auto"/>
                <w:sz w:val="21"/>
                <w:szCs w:val="21"/>
              </w:rPr>
            </w:pPr>
            <w:r>
              <w:rPr>
                <w:rFonts w:hint="eastAsia"/>
                <w:b/>
                <w:bCs/>
                <w:color w:val="auto"/>
                <w:sz w:val="21"/>
                <w:szCs w:val="21"/>
              </w:rPr>
              <w:t>0.761</w:t>
            </w:r>
          </w:p>
        </w:tc>
        <w:tc>
          <w:tcPr>
            <w:tcW w:w="1163" w:type="dxa"/>
            <w:tcBorders>
              <w:top w:val="nil"/>
              <w:left w:val="nil"/>
              <w:bottom w:val="nil"/>
              <w:right w:val="nil"/>
            </w:tcBorders>
          </w:tcPr>
          <w:p w14:paraId="7A0F5390">
            <w:pPr>
              <w:pStyle w:val="13"/>
              <w:jc w:val="center"/>
              <w:rPr>
                <w:color w:val="auto"/>
                <w:sz w:val="21"/>
                <w:szCs w:val="21"/>
              </w:rPr>
            </w:pPr>
            <w:r>
              <w:rPr>
                <w:rFonts w:hint="eastAsia"/>
                <w:color w:val="auto"/>
                <w:sz w:val="21"/>
                <w:szCs w:val="21"/>
              </w:rPr>
              <w:t>0.946</w:t>
            </w:r>
          </w:p>
        </w:tc>
        <w:tc>
          <w:tcPr>
            <w:tcW w:w="1163" w:type="dxa"/>
            <w:tcBorders>
              <w:top w:val="nil"/>
              <w:left w:val="nil"/>
              <w:bottom w:val="nil"/>
              <w:right w:val="nil"/>
            </w:tcBorders>
          </w:tcPr>
          <w:p w14:paraId="3905C136">
            <w:pPr>
              <w:pStyle w:val="13"/>
              <w:jc w:val="center"/>
              <w:rPr>
                <w:color w:val="auto"/>
                <w:sz w:val="21"/>
                <w:szCs w:val="21"/>
              </w:rPr>
            </w:pPr>
            <w:r>
              <w:rPr>
                <w:rFonts w:hint="eastAsia"/>
                <w:b/>
                <w:bCs/>
                <w:color w:val="auto"/>
                <w:sz w:val="21"/>
                <w:szCs w:val="21"/>
              </w:rPr>
              <w:t>0.857</w:t>
            </w:r>
          </w:p>
        </w:tc>
      </w:tr>
      <w:tr w14:paraId="408A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vAlign w:val="center"/>
          </w:tcPr>
          <w:p w14:paraId="0F2B8B14">
            <w:pPr>
              <w:rPr>
                <w:rFonts w:ascii="Times New Roman" w:hAnsi="Times New Roman"/>
                <w:color w:val="auto"/>
                <w:sz w:val="18"/>
                <w:szCs w:val="18"/>
              </w:rPr>
            </w:pPr>
          </w:p>
        </w:tc>
        <w:tc>
          <w:tcPr>
            <w:tcW w:w="1423" w:type="dxa"/>
            <w:tcBorders>
              <w:top w:val="nil"/>
              <w:left w:val="nil"/>
              <w:bottom w:val="single" w:color="auto" w:sz="4" w:space="0"/>
              <w:right w:val="nil"/>
            </w:tcBorders>
          </w:tcPr>
          <w:p w14:paraId="14833E7B">
            <w:pPr>
              <w:rPr>
                <w:rFonts w:ascii="Times New Roman" w:hAnsi="Times New Roman"/>
                <w:color w:val="auto"/>
                <w:sz w:val="18"/>
                <w:szCs w:val="18"/>
              </w:rPr>
            </w:pPr>
            <w:r>
              <w:rPr>
                <w:rFonts w:hint="eastAsia" w:ascii="Times New Roman" w:hAnsi="Times New Roman"/>
                <w:color w:val="auto"/>
                <w:sz w:val="18"/>
                <w:szCs w:val="18"/>
              </w:rPr>
              <w:t>10</w:t>
            </w:r>
            <w:r>
              <w:rPr>
                <w:rFonts w:ascii="Times New Roman" w:hAnsi="Times New Roman"/>
                <w:color w:val="auto"/>
                <w:sz w:val="18"/>
                <w:szCs w:val="18"/>
              </w:rPr>
              <w:t>%</w:t>
            </w:r>
          </w:p>
        </w:tc>
        <w:tc>
          <w:tcPr>
            <w:tcW w:w="968" w:type="dxa"/>
            <w:tcBorders>
              <w:top w:val="nil"/>
              <w:left w:val="nil"/>
              <w:bottom w:val="single" w:color="auto" w:sz="4" w:space="0"/>
              <w:right w:val="nil"/>
            </w:tcBorders>
          </w:tcPr>
          <w:p w14:paraId="0A00C1B7">
            <w:pPr>
              <w:jc w:val="center"/>
              <w:rPr>
                <w:rFonts w:ascii="Times New Roman" w:hAnsi="Times New Roman"/>
                <w:color w:val="auto"/>
                <w:szCs w:val="21"/>
              </w:rPr>
            </w:pPr>
            <w:r>
              <w:rPr>
                <w:rFonts w:hint="eastAsia" w:ascii="Times New Roman" w:hAnsi="Times New Roman"/>
                <w:color w:val="auto"/>
              </w:rPr>
              <w:t>0.667</w:t>
            </w:r>
          </w:p>
        </w:tc>
        <w:tc>
          <w:tcPr>
            <w:tcW w:w="1163" w:type="dxa"/>
            <w:tcBorders>
              <w:top w:val="nil"/>
              <w:left w:val="nil"/>
              <w:bottom w:val="single" w:color="auto" w:sz="4" w:space="0"/>
              <w:right w:val="nil"/>
            </w:tcBorders>
          </w:tcPr>
          <w:p w14:paraId="5A143277">
            <w:pPr>
              <w:jc w:val="center"/>
              <w:rPr>
                <w:rFonts w:ascii="Times New Roman" w:hAnsi="Times New Roman"/>
                <w:color w:val="auto"/>
              </w:rPr>
            </w:pPr>
            <w:r>
              <w:rPr>
                <w:rFonts w:hint="eastAsia" w:ascii="Times New Roman" w:hAnsi="Times New Roman"/>
                <w:color w:val="auto"/>
              </w:rPr>
              <w:t>0.746</w:t>
            </w:r>
          </w:p>
        </w:tc>
        <w:tc>
          <w:tcPr>
            <w:tcW w:w="1163" w:type="dxa"/>
            <w:tcBorders>
              <w:top w:val="nil"/>
              <w:left w:val="nil"/>
              <w:bottom w:val="single" w:color="auto" w:sz="4" w:space="0"/>
              <w:right w:val="nil"/>
            </w:tcBorders>
          </w:tcPr>
          <w:p w14:paraId="53E0E6C8">
            <w:pPr>
              <w:jc w:val="center"/>
              <w:rPr>
                <w:rFonts w:ascii="Times New Roman" w:hAnsi="Times New Roman"/>
                <w:color w:val="auto"/>
              </w:rPr>
            </w:pPr>
            <w:r>
              <w:rPr>
                <w:rFonts w:hint="eastAsia" w:ascii="Times New Roman" w:hAnsi="Times New Roman"/>
                <w:color w:val="auto"/>
              </w:rPr>
              <w:t>0.688</w:t>
            </w:r>
          </w:p>
        </w:tc>
        <w:tc>
          <w:tcPr>
            <w:tcW w:w="1163" w:type="dxa"/>
            <w:tcBorders>
              <w:top w:val="nil"/>
              <w:left w:val="nil"/>
              <w:bottom w:val="single" w:color="auto" w:sz="4" w:space="0"/>
              <w:right w:val="nil"/>
            </w:tcBorders>
          </w:tcPr>
          <w:p w14:paraId="7602618B">
            <w:pPr>
              <w:jc w:val="center"/>
              <w:rPr>
                <w:rFonts w:ascii="Times New Roman" w:hAnsi="Times New Roman"/>
                <w:color w:val="auto"/>
              </w:rPr>
            </w:pPr>
            <w:r>
              <w:rPr>
                <w:rFonts w:hint="eastAsia" w:ascii="Times New Roman" w:hAnsi="Times New Roman"/>
                <w:color w:val="auto"/>
              </w:rPr>
              <w:t>0.815</w:t>
            </w:r>
          </w:p>
        </w:tc>
        <w:tc>
          <w:tcPr>
            <w:tcW w:w="1163" w:type="dxa"/>
            <w:tcBorders>
              <w:top w:val="nil"/>
              <w:left w:val="nil"/>
              <w:bottom w:val="single" w:color="auto" w:sz="4" w:space="0"/>
              <w:right w:val="nil"/>
            </w:tcBorders>
          </w:tcPr>
          <w:p w14:paraId="5464F7FF">
            <w:pPr>
              <w:jc w:val="center"/>
              <w:rPr>
                <w:rFonts w:ascii="Times New Roman" w:hAnsi="Times New Roman"/>
                <w:color w:val="auto"/>
              </w:rPr>
            </w:pPr>
            <w:r>
              <w:rPr>
                <w:rFonts w:hint="eastAsia" w:ascii="Times New Roman" w:hAnsi="Times New Roman"/>
                <w:color w:val="auto"/>
              </w:rPr>
              <w:t>0.571</w:t>
            </w:r>
          </w:p>
        </w:tc>
      </w:tr>
      <w:tr w14:paraId="78B2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Merge w:val="restart"/>
            <w:tcBorders>
              <w:top w:val="nil"/>
              <w:left w:val="nil"/>
              <w:bottom w:val="single" w:color="auto" w:sz="4" w:space="0"/>
              <w:right w:val="nil"/>
            </w:tcBorders>
            <w:vAlign w:val="center"/>
          </w:tcPr>
          <w:p w14:paraId="2A75B8EC">
            <w:pPr>
              <w:jc w:val="center"/>
              <w:rPr>
                <w:rFonts w:ascii="Times New Roman" w:hAnsi="Times New Roman"/>
                <w:color w:val="auto"/>
                <w:sz w:val="18"/>
                <w:szCs w:val="18"/>
              </w:rPr>
            </w:pPr>
            <w:r>
              <w:rPr>
                <w:rFonts w:hint="eastAsia" w:ascii="Times New Roman" w:hAnsi="Times New Roman"/>
                <w:color w:val="auto"/>
                <w:sz w:val="18"/>
                <w:szCs w:val="18"/>
              </w:rPr>
              <w:t>TILs</w:t>
            </w:r>
          </w:p>
        </w:tc>
        <w:tc>
          <w:tcPr>
            <w:tcW w:w="1423" w:type="dxa"/>
            <w:tcBorders>
              <w:top w:val="single" w:color="auto" w:sz="4" w:space="0"/>
              <w:left w:val="nil"/>
              <w:bottom w:val="nil"/>
              <w:right w:val="nil"/>
            </w:tcBorders>
          </w:tcPr>
          <w:p w14:paraId="0143F68D">
            <w:pPr>
              <w:rPr>
                <w:rFonts w:ascii="Times New Roman" w:hAnsi="Times New Roman"/>
                <w:color w:val="auto"/>
                <w:sz w:val="18"/>
                <w:szCs w:val="18"/>
              </w:rPr>
            </w:pPr>
            <w:r>
              <w:rPr>
                <w:rFonts w:hint="eastAsia" w:ascii="Times New Roman" w:hAnsi="Times New Roman"/>
                <w:color w:val="auto"/>
                <w:sz w:val="18"/>
                <w:szCs w:val="18"/>
              </w:rPr>
              <w:t>1</w:t>
            </w:r>
            <w:r>
              <w:rPr>
                <w:rFonts w:ascii="Times New Roman" w:hAnsi="Times New Roman"/>
                <w:color w:val="auto"/>
                <w:sz w:val="18"/>
                <w:szCs w:val="18"/>
              </w:rPr>
              <w:t>%</w:t>
            </w:r>
          </w:p>
        </w:tc>
        <w:tc>
          <w:tcPr>
            <w:tcW w:w="968" w:type="dxa"/>
            <w:tcBorders>
              <w:top w:val="single" w:color="auto" w:sz="4" w:space="0"/>
              <w:left w:val="nil"/>
              <w:bottom w:val="nil"/>
              <w:right w:val="nil"/>
            </w:tcBorders>
          </w:tcPr>
          <w:p w14:paraId="27563745">
            <w:pPr>
              <w:jc w:val="center"/>
              <w:rPr>
                <w:rFonts w:ascii="Times New Roman" w:hAnsi="Times New Roman"/>
                <w:color w:val="auto"/>
                <w:szCs w:val="21"/>
              </w:rPr>
            </w:pPr>
            <w:r>
              <w:rPr>
                <w:rFonts w:hint="eastAsia" w:ascii="Times New Roman" w:hAnsi="Times New Roman"/>
                <w:color w:val="auto"/>
              </w:rPr>
              <w:t>0.521</w:t>
            </w:r>
          </w:p>
        </w:tc>
        <w:tc>
          <w:tcPr>
            <w:tcW w:w="1163" w:type="dxa"/>
            <w:tcBorders>
              <w:top w:val="single" w:color="auto" w:sz="4" w:space="0"/>
              <w:left w:val="nil"/>
              <w:bottom w:val="nil"/>
              <w:right w:val="nil"/>
            </w:tcBorders>
          </w:tcPr>
          <w:p w14:paraId="319326D0">
            <w:pPr>
              <w:jc w:val="center"/>
              <w:rPr>
                <w:rFonts w:ascii="Times New Roman" w:hAnsi="Times New Roman"/>
                <w:color w:val="auto"/>
              </w:rPr>
            </w:pPr>
            <w:r>
              <w:rPr>
                <w:rFonts w:hint="eastAsia" w:ascii="Times New Roman" w:hAnsi="Times New Roman"/>
                <w:b/>
                <w:bCs/>
                <w:color w:val="auto"/>
              </w:rPr>
              <w:t>0.766</w:t>
            </w:r>
          </w:p>
        </w:tc>
        <w:tc>
          <w:tcPr>
            <w:tcW w:w="1163" w:type="dxa"/>
            <w:tcBorders>
              <w:top w:val="single" w:color="auto" w:sz="4" w:space="0"/>
              <w:left w:val="nil"/>
              <w:bottom w:val="nil"/>
              <w:right w:val="nil"/>
            </w:tcBorders>
          </w:tcPr>
          <w:p w14:paraId="7544C93F">
            <w:pPr>
              <w:jc w:val="center"/>
              <w:rPr>
                <w:rFonts w:ascii="Times New Roman" w:hAnsi="Times New Roman"/>
                <w:color w:val="auto"/>
              </w:rPr>
            </w:pPr>
            <w:r>
              <w:rPr>
                <w:rFonts w:hint="eastAsia" w:ascii="Times New Roman" w:hAnsi="Times New Roman"/>
                <w:b/>
                <w:bCs/>
                <w:color w:val="auto"/>
              </w:rPr>
              <w:t>0.643</w:t>
            </w:r>
          </w:p>
        </w:tc>
        <w:tc>
          <w:tcPr>
            <w:tcW w:w="1163" w:type="dxa"/>
            <w:tcBorders>
              <w:top w:val="single" w:color="auto" w:sz="4" w:space="0"/>
              <w:left w:val="nil"/>
              <w:bottom w:val="nil"/>
              <w:right w:val="nil"/>
            </w:tcBorders>
          </w:tcPr>
          <w:p w14:paraId="6AE9699C">
            <w:pPr>
              <w:jc w:val="center"/>
              <w:rPr>
                <w:rFonts w:ascii="Times New Roman" w:hAnsi="Times New Roman"/>
                <w:color w:val="auto"/>
              </w:rPr>
            </w:pPr>
            <w:r>
              <w:rPr>
                <w:rFonts w:hint="eastAsia" w:ascii="Times New Roman" w:hAnsi="Times New Roman"/>
                <w:b/>
                <w:bCs/>
                <w:color w:val="auto"/>
              </w:rPr>
              <w:t>0.947</w:t>
            </w:r>
          </w:p>
        </w:tc>
        <w:tc>
          <w:tcPr>
            <w:tcW w:w="1163" w:type="dxa"/>
            <w:tcBorders>
              <w:top w:val="single" w:color="auto" w:sz="4" w:space="0"/>
              <w:left w:val="nil"/>
              <w:bottom w:val="nil"/>
              <w:right w:val="nil"/>
            </w:tcBorders>
          </w:tcPr>
          <w:p w14:paraId="178587AD">
            <w:pPr>
              <w:jc w:val="center"/>
              <w:rPr>
                <w:rFonts w:ascii="Times New Roman" w:hAnsi="Times New Roman"/>
                <w:color w:val="auto"/>
              </w:rPr>
            </w:pPr>
            <w:r>
              <w:rPr>
                <w:rFonts w:hint="eastAsia" w:ascii="Times New Roman" w:hAnsi="Times New Roman"/>
                <w:b/>
                <w:bCs/>
                <w:color w:val="auto"/>
              </w:rPr>
              <w:t>0.625</w:t>
            </w:r>
          </w:p>
        </w:tc>
      </w:tr>
      <w:tr w14:paraId="2DF5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vAlign w:val="center"/>
          </w:tcPr>
          <w:p w14:paraId="7A3DD6FE">
            <w:pPr>
              <w:rPr>
                <w:rFonts w:ascii="Times New Roman" w:hAnsi="Times New Roman"/>
                <w:color w:val="auto"/>
                <w:sz w:val="18"/>
                <w:szCs w:val="18"/>
              </w:rPr>
            </w:pPr>
          </w:p>
        </w:tc>
        <w:tc>
          <w:tcPr>
            <w:tcW w:w="1423" w:type="dxa"/>
            <w:tcBorders>
              <w:top w:val="nil"/>
              <w:left w:val="nil"/>
              <w:bottom w:val="nil"/>
              <w:right w:val="nil"/>
            </w:tcBorders>
          </w:tcPr>
          <w:p w14:paraId="316DC7E2">
            <w:pPr>
              <w:rPr>
                <w:rFonts w:ascii="Times New Roman" w:hAnsi="Times New Roman"/>
                <w:color w:val="auto"/>
                <w:sz w:val="18"/>
                <w:szCs w:val="18"/>
              </w:rPr>
            </w:pPr>
            <w:r>
              <w:rPr>
                <w:rFonts w:hint="eastAsia" w:ascii="Times New Roman" w:hAnsi="Times New Roman"/>
                <w:color w:val="auto"/>
                <w:sz w:val="18"/>
                <w:szCs w:val="18"/>
              </w:rPr>
              <w:t>3</w:t>
            </w:r>
            <w:r>
              <w:rPr>
                <w:rFonts w:ascii="Times New Roman" w:hAnsi="Times New Roman"/>
                <w:color w:val="auto"/>
                <w:sz w:val="18"/>
                <w:szCs w:val="18"/>
              </w:rPr>
              <w:t>%</w:t>
            </w:r>
          </w:p>
        </w:tc>
        <w:tc>
          <w:tcPr>
            <w:tcW w:w="968" w:type="dxa"/>
            <w:tcBorders>
              <w:top w:val="nil"/>
              <w:left w:val="nil"/>
              <w:bottom w:val="nil"/>
              <w:right w:val="nil"/>
            </w:tcBorders>
          </w:tcPr>
          <w:p w14:paraId="5B99FB72">
            <w:pPr>
              <w:jc w:val="center"/>
              <w:rPr>
                <w:rFonts w:ascii="Times New Roman" w:hAnsi="Times New Roman"/>
                <w:color w:val="auto"/>
                <w:szCs w:val="21"/>
              </w:rPr>
            </w:pPr>
            <w:r>
              <w:rPr>
                <w:rFonts w:hint="eastAsia" w:ascii="Times New Roman" w:hAnsi="Times New Roman"/>
                <w:color w:val="auto"/>
              </w:rPr>
              <w:t>0.548</w:t>
            </w:r>
          </w:p>
        </w:tc>
        <w:tc>
          <w:tcPr>
            <w:tcW w:w="1163" w:type="dxa"/>
            <w:tcBorders>
              <w:top w:val="nil"/>
              <w:left w:val="nil"/>
              <w:bottom w:val="nil"/>
              <w:right w:val="nil"/>
            </w:tcBorders>
          </w:tcPr>
          <w:p w14:paraId="3D503628">
            <w:pPr>
              <w:jc w:val="center"/>
              <w:rPr>
                <w:rFonts w:ascii="Times New Roman" w:hAnsi="Times New Roman"/>
                <w:color w:val="auto"/>
              </w:rPr>
            </w:pPr>
            <w:r>
              <w:rPr>
                <w:rFonts w:hint="eastAsia" w:ascii="Times New Roman" w:hAnsi="Times New Roman"/>
                <w:color w:val="auto"/>
              </w:rPr>
              <w:t>0.719</w:t>
            </w:r>
          </w:p>
        </w:tc>
        <w:tc>
          <w:tcPr>
            <w:tcW w:w="1163" w:type="dxa"/>
            <w:tcBorders>
              <w:top w:val="nil"/>
              <w:left w:val="nil"/>
              <w:bottom w:val="nil"/>
              <w:right w:val="nil"/>
            </w:tcBorders>
          </w:tcPr>
          <w:p w14:paraId="493A6C08">
            <w:pPr>
              <w:jc w:val="center"/>
              <w:rPr>
                <w:rFonts w:ascii="Times New Roman" w:hAnsi="Times New Roman"/>
                <w:color w:val="auto"/>
              </w:rPr>
            </w:pPr>
            <w:r>
              <w:rPr>
                <w:rFonts w:hint="eastAsia" w:ascii="Times New Roman" w:hAnsi="Times New Roman"/>
                <w:color w:val="auto"/>
              </w:rPr>
              <w:t>0.582</w:t>
            </w:r>
          </w:p>
        </w:tc>
        <w:tc>
          <w:tcPr>
            <w:tcW w:w="1163" w:type="dxa"/>
            <w:tcBorders>
              <w:top w:val="nil"/>
              <w:left w:val="nil"/>
              <w:bottom w:val="nil"/>
              <w:right w:val="nil"/>
            </w:tcBorders>
          </w:tcPr>
          <w:p w14:paraId="614F3E07">
            <w:pPr>
              <w:jc w:val="center"/>
              <w:rPr>
                <w:rFonts w:ascii="Times New Roman" w:hAnsi="Times New Roman"/>
                <w:color w:val="auto"/>
              </w:rPr>
            </w:pPr>
            <w:r>
              <w:rPr>
                <w:rFonts w:hint="eastAsia" w:ascii="Times New Roman" w:hAnsi="Times New Roman"/>
                <w:color w:val="auto"/>
              </w:rPr>
              <w:t>0.941</w:t>
            </w:r>
          </w:p>
        </w:tc>
        <w:tc>
          <w:tcPr>
            <w:tcW w:w="1163" w:type="dxa"/>
            <w:tcBorders>
              <w:top w:val="nil"/>
              <w:left w:val="nil"/>
              <w:bottom w:val="nil"/>
              <w:right w:val="nil"/>
            </w:tcBorders>
          </w:tcPr>
          <w:p w14:paraId="380B8B8E">
            <w:pPr>
              <w:jc w:val="center"/>
              <w:rPr>
                <w:rFonts w:ascii="Times New Roman" w:hAnsi="Times New Roman"/>
                <w:color w:val="auto"/>
              </w:rPr>
            </w:pPr>
            <w:r>
              <w:rPr>
                <w:rFonts w:hint="eastAsia" w:ascii="Times New Roman" w:hAnsi="Times New Roman"/>
                <w:color w:val="auto"/>
              </w:rPr>
              <w:t>0.400</w:t>
            </w:r>
          </w:p>
        </w:tc>
      </w:tr>
      <w:tr w14:paraId="5CEE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vAlign w:val="center"/>
          </w:tcPr>
          <w:p w14:paraId="3F5B1256">
            <w:pPr>
              <w:rPr>
                <w:rFonts w:ascii="Times New Roman" w:hAnsi="Times New Roman"/>
                <w:color w:val="auto"/>
                <w:sz w:val="18"/>
                <w:szCs w:val="18"/>
              </w:rPr>
            </w:pPr>
          </w:p>
        </w:tc>
        <w:tc>
          <w:tcPr>
            <w:tcW w:w="1423" w:type="dxa"/>
            <w:tcBorders>
              <w:top w:val="nil"/>
              <w:left w:val="nil"/>
              <w:bottom w:val="nil"/>
              <w:right w:val="nil"/>
            </w:tcBorders>
          </w:tcPr>
          <w:p w14:paraId="23DB3DDE">
            <w:pPr>
              <w:rPr>
                <w:rFonts w:ascii="Times New Roman" w:hAnsi="Times New Roman"/>
                <w:color w:val="auto"/>
                <w:sz w:val="18"/>
                <w:szCs w:val="18"/>
              </w:rPr>
            </w:pPr>
            <w:r>
              <w:rPr>
                <w:rFonts w:hint="eastAsia" w:ascii="Times New Roman" w:hAnsi="Times New Roman"/>
                <w:color w:val="auto"/>
                <w:sz w:val="18"/>
                <w:szCs w:val="18"/>
              </w:rPr>
              <w:t>5</w:t>
            </w:r>
            <w:r>
              <w:rPr>
                <w:rFonts w:ascii="Times New Roman" w:hAnsi="Times New Roman"/>
                <w:color w:val="auto"/>
                <w:sz w:val="18"/>
                <w:szCs w:val="18"/>
              </w:rPr>
              <w:t>%</w:t>
            </w:r>
          </w:p>
        </w:tc>
        <w:tc>
          <w:tcPr>
            <w:tcW w:w="968" w:type="dxa"/>
            <w:tcBorders>
              <w:top w:val="nil"/>
              <w:left w:val="nil"/>
              <w:bottom w:val="nil"/>
              <w:right w:val="nil"/>
            </w:tcBorders>
          </w:tcPr>
          <w:p w14:paraId="2CE13236">
            <w:pPr>
              <w:pStyle w:val="13"/>
              <w:jc w:val="center"/>
              <w:rPr>
                <w:color w:val="auto"/>
                <w:sz w:val="21"/>
                <w:szCs w:val="21"/>
              </w:rPr>
            </w:pPr>
            <w:r>
              <w:rPr>
                <w:rFonts w:hint="eastAsia"/>
                <w:color w:val="auto"/>
                <w:sz w:val="21"/>
                <w:szCs w:val="21"/>
              </w:rPr>
              <w:t>0.562</w:t>
            </w:r>
          </w:p>
        </w:tc>
        <w:tc>
          <w:tcPr>
            <w:tcW w:w="1163" w:type="dxa"/>
            <w:tcBorders>
              <w:top w:val="nil"/>
              <w:left w:val="nil"/>
              <w:bottom w:val="nil"/>
              <w:right w:val="nil"/>
            </w:tcBorders>
          </w:tcPr>
          <w:p w14:paraId="564FFCCF">
            <w:pPr>
              <w:pStyle w:val="13"/>
              <w:jc w:val="center"/>
              <w:rPr>
                <w:color w:val="auto"/>
                <w:sz w:val="21"/>
                <w:szCs w:val="21"/>
              </w:rPr>
            </w:pPr>
            <w:r>
              <w:rPr>
                <w:rFonts w:hint="eastAsia"/>
                <w:color w:val="auto"/>
                <w:sz w:val="21"/>
                <w:szCs w:val="21"/>
              </w:rPr>
              <w:t>0.719</w:t>
            </w:r>
          </w:p>
        </w:tc>
        <w:tc>
          <w:tcPr>
            <w:tcW w:w="1163" w:type="dxa"/>
            <w:tcBorders>
              <w:top w:val="nil"/>
              <w:left w:val="nil"/>
              <w:bottom w:val="nil"/>
              <w:right w:val="nil"/>
            </w:tcBorders>
          </w:tcPr>
          <w:p w14:paraId="55A27E12">
            <w:pPr>
              <w:pStyle w:val="13"/>
              <w:jc w:val="center"/>
              <w:rPr>
                <w:color w:val="auto"/>
                <w:sz w:val="21"/>
                <w:szCs w:val="21"/>
              </w:rPr>
            </w:pPr>
            <w:r>
              <w:rPr>
                <w:rFonts w:hint="eastAsia"/>
                <w:color w:val="auto"/>
                <w:sz w:val="21"/>
                <w:szCs w:val="21"/>
              </w:rPr>
              <w:t>0.639</w:t>
            </w:r>
          </w:p>
        </w:tc>
        <w:tc>
          <w:tcPr>
            <w:tcW w:w="1163" w:type="dxa"/>
            <w:tcBorders>
              <w:top w:val="nil"/>
              <w:left w:val="nil"/>
              <w:bottom w:val="nil"/>
              <w:right w:val="nil"/>
            </w:tcBorders>
          </w:tcPr>
          <w:p w14:paraId="55CB4F74">
            <w:pPr>
              <w:pStyle w:val="13"/>
              <w:jc w:val="center"/>
              <w:rPr>
                <w:color w:val="auto"/>
                <w:sz w:val="21"/>
                <w:szCs w:val="21"/>
              </w:rPr>
            </w:pPr>
            <w:r>
              <w:rPr>
                <w:rFonts w:hint="eastAsia"/>
                <w:color w:val="auto"/>
                <w:sz w:val="21"/>
                <w:szCs w:val="21"/>
              </w:rPr>
              <w:t>0.821</w:t>
            </w:r>
          </w:p>
        </w:tc>
        <w:tc>
          <w:tcPr>
            <w:tcW w:w="1163" w:type="dxa"/>
            <w:tcBorders>
              <w:top w:val="nil"/>
              <w:left w:val="nil"/>
              <w:bottom w:val="nil"/>
              <w:right w:val="nil"/>
            </w:tcBorders>
          </w:tcPr>
          <w:p w14:paraId="73B409F3">
            <w:pPr>
              <w:pStyle w:val="13"/>
              <w:jc w:val="center"/>
              <w:rPr>
                <w:color w:val="auto"/>
                <w:sz w:val="21"/>
                <w:szCs w:val="21"/>
              </w:rPr>
            </w:pPr>
            <w:r>
              <w:rPr>
                <w:rFonts w:hint="eastAsia"/>
                <w:b/>
                <w:bCs/>
                <w:color w:val="auto"/>
                <w:sz w:val="21"/>
                <w:szCs w:val="21"/>
              </w:rPr>
              <w:t>0.625</w:t>
            </w:r>
          </w:p>
        </w:tc>
      </w:tr>
      <w:tr w14:paraId="6A24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vAlign w:val="center"/>
          </w:tcPr>
          <w:p w14:paraId="4CD467BC">
            <w:pPr>
              <w:rPr>
                <w:rFonts w:ascii="Times New Roman" w:hAnsi="Times New Roman"/>
                <w:color w:val="auto"/>
                <w:sz w:val="18"/>
                <w:szCs w:val="18"/>
              </w:rPr>
            </w:pPr>
          </w:p>
        </w:tc>
        <w:tc>
          <w:tcPr>
            <w:tcW w:w="1423" w:type="dxa"/>
            <w:tcBorders>
              <w:top w:val="nil"/>
              <w:left w:val="nil"/>
              <w:bottom w:val="single" w:color="auto" w:sz="4" w:space="0"/>
              <w:right w:val="nil"/>
            </w:tcBorders>
          </w:tcPr>
          <w:p w14:paraId="0B9C873E">
            <w:pPr>
              <w:rPr>
                <w:rFonts w:ascii="Times New Roman" w:hAnsi="Times New Roman"/>
                <w:color w:val="auto"/>
                <w:sz w:val="18"/>
                <w:szCs w:val="18"/>
              </w:rPr>
            </w:pPr>
            <w:r>
              <w:rPr>
                <w:rFonts w:hint="eastAsia" w:ascii="Times New Roman" w:hAnsi="Times New Roman"/>
                <w:color w:val="auto"/>
                <w:sz w:val="18"/>
                <w:szCs w:val="18"/>
              </w:rPr>
              <w:t>10</w:t>
            </w:r>
            <w:r>
              <w:rPr>
                <w:rFonts w:ascii="Times New Roman" w:hAnsi="Times New Roman"/>
                <w:color w:val="auto"/>
                <w:sz w:val="18"/>
                <w:szCs w:val="18"/>
              </w:rPr>
              <w:t>%</w:t>
            </w:r>
          </w:p>
        </w:tc>
        <w:tc>
          <w:tcPr>
            <w:tcW w:w="968" w:type="dxa"/>
            <w:tcBorders>
              <w:top w:val="nil"/>
              <w:left w:val="nil"/>
              <w:bottom w:val="single" w:color="auto" w:sz="4" w:space="0"/>
              <w:right w:val="nil"/>
            </w:tcBorders>
          </w:tcPr>
          <w:p w14:paraId="0EFD173D">
            <w:pPr>
              <w:jc w:val="center"/>
              <w:rPr>
                <w:rFonts w:ascii="Times New Roman" w:hAnsi="Times New Roman"/>
                <w:color w:val="auto"/>
                <w:szCs w:val="21"/>
              </w:rPr>
            </w:pPr>
            <w:r>
              <w:rPr>
                <w:rFonts w:hint="eastAsia" w:ascii="Times New Roman" w:hAnsi="Times New Roman"/>
                <w:b/>
                <w:bCs/>
                <w:color w:val="auto"/>
              </w:rPr>
              <w:t>0.567</w:t>
            </w:r>
          </w:p>
        </w:tc>
        <w:tc>
          <w:tcPr>
            <w:tcW w:w="1163" w:type="dxa"/>
            <w:tcBorders>
              <w:top w:val="nil"/>
              <w:left w:val="nil"/>
              <w:bottom w:val="single" w:color="auto" w:sz="4" w:space="0"/>
              <w:right w:val="nil"/>
            </w:tcBorders>
          </w:tcPr>
          <w:p w14:paraId="1E713E1A">
            <w:pPr>
              <w:jc w:val="center"/>
              <w:rPr>
                <w:rFonts w:ascii="Times New Roman" w:hAnsi="Times New Roman"/>
                <w:color w:val="auto"/>
              </w:rPr>
            </w:pPr>
            <w:r>
              <w:rPr>
                <w:rFonts w:hint="eastAsia" w:ascii="Times New Roman" w:hAnsi="Times New Roman"/>
                <w:color w:val="auto"/>
              </w:rPr>
              <w:t>0.632</w:t>
            </w:r>
          </w:p>
        </w:tc>
        <w:tc>
          <w:tcPr>
            <w:tcW w:w="1163" w:type="dxa"/>
            <w:tcBorders>
              <w:top w:val="nil"/>
              <w:left w:val="nil"/>
              <w:bottom w:val="single" w:color="auto" w:sz="4" w:space="0"/>
              <w:right w:val="nil"/>
            </w:tcBorders>
          </w:tcPr>
          <w:p w14:paraId="79683519">
            <w:pPr>
              <w:jc w:val="center"/>
              <w:rPr>
                <w:rFonts w:ascii="Times New Roman" w:hAnsi="Times New Roman"/>
                <w:color w:val="auto"/>
              </w:rPr>
            </w:pPr>
            <w:r>
              <w:rPr>
                <w:rFonts w:hint="eastAsia" w:ascii="Times New Roman" w:hAnsi="Times New Roman"/>
                <w:color w:val="auto"/>
              </w:rPr>
              <w:t>0.600</w:t>
            </w:r>
          </w:p>
        </w:tc>
        <w:tc>
          <w:tcPr>
            <w:tcW w:w="1163" w:type="dxa"/>
            <w:tcBorders>
              <w:top w:val="nil"/>
              <w:left w:val="nil"/>
              <w:bottom w:val="single" w:color="auto" w:sz="4" w:space="0"/>
              <w:right w:val="nil"/>
            </w:tcBorders>
          </w:tcPr>
          <w:p w14:paraId="2DC9EF21">
            <w:pPr>
              <w:jc w:val="center"/>
              <w:rPr>
                <w:rFonts w:ascii="Times New Roman" w:hAnsi="Times New Roman"/>
                <w:color w:val="auto"/>
              </w:rPr>
            </w:pPr>
            <w:r>
              <w:rPr>
                <w:rFonts w:hint="eastAsia" w:ascii="Times New Roman" w:hAnsi="Times New Roman"/>
                <w:color w:val="auto"/>
              </w:rPr>
              <w:t>0.667</w:t>
            </w:r>
          </w:p>
        </w:tc>
        <w:tc>
          <w:tcPr>
            <w:tcW w:w="1163" w:type="dxa"/>
            <w:tcBorders>
              <w:top w:val="nil"/>
              <w:left w:val="nil"/>
              <w:bottom w:val="single" w:color="auto" w:sz="4" w:space="0"/>
              <w:right w:val="nil"/>
            </w:tcBorders>
          </w:tcPr>
          <w:p w14:paraId="36E77FF5">
            <w:pPr>
              <w:jc w:val="center"/>
              <w:rPr>
                <w:rFonts w:ascii="Times New Roman" w:hAnsi="Times New Roman"/>
                <w:color w:val="auto"/>
              </w:rPr>
            </w:pPr>
            <w:r>
              <w:rPr>
                <w:rFonts w:hint="eastAsia" w:ascii="Times New Roman" w:hAnsi="Times New Roman"/>
                <w:color w:val="auto"/>
              </w:rPr>
              <w:t>0.553</w:t>
            </w:r>
          </w:p>
        </w:tc>
      </w:tr>
      <w:tr w14:paraId="73E3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Merge w:val="restart"/>
            <w:tcBorders>
              <w:top w:val="nil"/>
              <w:left w:val="nil"/>
              <w:bottom w:val="single" w:color="auto" w:sz="4" w:space="0"/>
              <w:right w:val="nil"/>
            </w:tcBorders>
            <w:vAlign w:val="center"/>
          </w:tcPr>
          <w:p w14:paraId="1CCC5A60">
            <w:pPr>
              <w:jc w:val="center"/>
              <w:rPr>
                <w:rFonts w:ascii="Times New Roman" w:hAnsi="Times New Roman"/>
                <w:color w:val="auto"/>
                <w:sz w:val="18"/>
                <w:szCs w:val="18"/>
              </w:rPr>
            </w:pPr>
            <w:r>
              <w:rPr>
                <w:rFonts w:hint="eastAsia" w:ascii="Times New Roman" w:hAnsi="Times New Roman"/>
                <w:color w:val="auto"/>
                <w:sz w:val="18"/>
                <w:szCs w:val="18"/>
              </w:rPr>
              <w:t>Non-TILs</w:t>
            </w:r>
          </w:p>
        </w:tc>
        <w:tc>
          <w:tcPr>
            <w:tcW w:w="1423" w:type="dxa"/>
            <w:tcBorders>
              <w:top w:val="single" w:color="auto" w:sz="4" w:space="0"/>
              <w:left w:val="nil"/>
              <w:bottom w:val="nil"/>
              <w:right w:val="nil"/>
            </w:tcBorders>
          </w:tcPr>
          <w:p w14:paraId="66B3E233">
            <w:pPr>
              <w:rPr>
                <w:rFonts w:ascii="Times New Roman" w:hAnsi="Times New Roman"/>
                <w:color w:val="auto"/>
                <w:sz w:val="18"/>
                <w:szCs w:val="18"/>
              </w:rPr>
            </w:pPr>
            <w:r>
              <w:rPr>
                <w:rFonts w:hint="eastAsia" w:ascii="Times New Roman" w:hAnsi="Times New Roman"/>
                <w:color w:val="auto"/>
                <w:sz w:val="18"/>
                <w:szCs w:val="18"/>
              </w:rPr>
              <w:t>1</w:t>
            </w:r>
            <w:r>
              <w:rPr>
                <w:rFonts w:ascii="Times New Roman" w:hAnsi="Times New Roman"/>
                <w:color w:val="auto"/>
                <w:sz w:val="18"/>
                <w:szCs w:val="18"/>
              </w:rPr>
              <w:t>%</w:t>
            </w:r>
          </w:p>
        </w:tc>
        <w:tc>
          <w:tcPr>
            <w:tcW w:w="968" w:type="dxa"/>
            <w:tcBorders>
              <w:top w:val="single" w:color="auto" w:sz="4" w:space="0"/>
              <w:left w:val="nil"/>
              <w:bottom w:val="nil"/>
              <w:right w:val="nil"/>
            </w:tcBorders>
          </w:tcPr>
          <w:p w14:paraId="1DF9A9C1">
            <w:pPr>
              <w:jc w:val="center"/>
              <w:rPr>
                <w:rFonts w:ascii="Times New Roman" w:hAnsi="Times New Roman"/>
                <w:color w:val="auto"/>
                <w:szCs w:val="21"/>
              </w:rPr>
            </w:pPr>
            <w:r>
              <w:rPr>
                <w:rFonts w:hint="eastAsia" w:ascii="Times New Roman" w:hAnsi="Times New Roman"/>
                <w:color w:val="auto"/>
              </w:rPr>
              <w:t>0.689</w:t>
            </w:r>
          </w:p>
        </w:tc>
        <w:tc>
          <w:tcPr>
            <w:tcW w:w="1163" w:type="dxa"/>
            <w:tcBorders>
              <w:top w:val="single" w:color="auto" w:sz="4" w:space="0"/>
              <w:left w:val="nil"/>
              <w:bottom w:val="nil"/>
              <w:right w:val="nil"/>
            </w:tcBorders>
          </w:tcPr>
          <w:p w14:paraId="0DF201D2">
            <w:pPr>
              <w:jc w:val="center"/>
              <w:rPr>
                <w:rFonts w:ascii="Times New Roman" w:hAnsi="Times New Roman"/>
                <w:color w:val="auto"/>
              </w:rPr>
            </w:pPr>
            <w:r>
              <w:rPr>
                <w:rFonts w:hint="eastAsia" w:ascii="Times New Roman" w:hAnsi="Times New Roman"/>
                <w:color w:val="auto"/>
              </w:rPr>
              <w:t>0.767</w:t>
            </w:r>
          </w:p>
        </w:tc>
        <w:tc>
          <w:tcPr>
            <w:tcW w:w="1163" w:type="dxa"/>
            <w:tcBorders>
              <w:top w:val="single" w:color="auto" w:sz="4" w:space="0"/>
              <w:left w:val="nil"/>
              <w:bottom w:val="nil"/>
              <w:right w:val="nil"/>
            </w:tcBorders>
          </w:tcPr>
          <w:p w14:paraId="183C8B51">
            <w:pPr>
              <w:jc w:val="center"/>
              <w:rPr>
                <w:rFonts w:ascii="Times New Roman" w:hAnsi="Times New Roman"/>
                <w:color w:val="auto"/>
              </w:rPr>
            </w:pPr>
            <w:r>
              <w:rPr>
                <w:rFonts w:hint="eastAsia" w:ascii="Times New Roman" w:hAnsi="Times New Roman"/>
                <w:color w:val="auto"/>
              </w:rPr>
              <w:t>0.673</w:t>
            </w:r>
          </w:p>
        </w:tc>
        <w:tc>
          <w:tcPr>
            <w:tcW w:w="1163" w:type="dxa"/>
            <w:tcBorders>
              <w:top w:val="single" w:color="auto" w:sz="4" w:space="0"/>
              <w:left w:val="nil"/>
              <w:bottom w:val="nil"/>
              <w:right w:val="nil"/>
            </w:tcBorders>
          </w:tcPr>
          <w:p w14:paraId="65B9547A">
            <w:pPr>
              <w:jc w:val="center"/>
              <w:rPr>
                <w:rFonts w:ascii="Times New Roman" w:hAnsi="Times New Roman"/>
                <w:color w:val="auto"/>
              </w:rPr>
            </w:pPr>
            <w:r>
              <w:rPr>
                <w:rFonts w:hint="eastAsia" w:ascii="Times New Roman" w:hAnsi="Times New Roman"/>
                <w:b/>
                <w:bCs/>
                <w:color w:val="auto"/>
              </w:rPr>
              <w:t>0.892</w:t>
            </w:r>
          </w:p>
        </w:tc>
        <w:tc>
          <w:tcPr>
            <w:tcW w:w="1163" w:type="dxa"/>
            <w:tcBorders>
              <w:top w:val="single" w:color="auto" w:sz="4" w:space="0"/>
              <w:left w:val="nil"/>
              <w:bottom w:val="nil"/>
              <w:right w:val="nil"/>
            </w:tcBorders>
          </w:tcPr>
          <w:p w14:paraId="11EAB30D">
            <w:pPr>
              <w:jc w:val="center"/>
              <w:rPr>
                <w:rFonts w:ascii="Times New Roman" w:hAnsi="Times New Roman"/>
                <w:color w:val="auto"/>
              </w:rPr>
            </w:pPr>
            <w:r>
              <w:rPr>
                <w:rFonts w:hint="eastAsia" w:ascii="Times New Roman" w:hAnsi="Times New Roman"/>
                <w:color w:val="auto"/>
              </w:rPr>
              <w:t>0.615</w:t>
            </w:r>
          </w:p>
        </w:tc>
      </w:tr>
      <w:tr w14:paraId="71B6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vAlign w:val="center"/>
          </w:tcPr>
          <w:p w14:paraId="00A36D43">
            <w:pPr>
              <w:rPr>
                <w:rFonts w:ascii="Times New Roman" w:hAnsi="Times New Roman"/>
                <w:color w:val="auto"/>
                <w:sz w:val="18"/>
                <w:szCs w:val="18"/>
              </w:rPr>
            </w:pPr>
          </w:p>
        </w:tc>
        <w:tc>
          <w:tcPr>
            <w:tcW w:w="1423" w:type="dxa"/>
            <w:tcBorders>
              <w:top w:val="nil"/>
              <w:left w:val="nil"/>
              <w:bottom w:val="nil"/>
              <w:right w:val="nil"/>
            </w:tcBorders>
          </w:tcPr>
          <w:p w14:paraId="18A3655B">
            <w:pPr>
              <w:rPr>
                <w:rFonts w:ascii="Times New Roman" w:hAnsi="Times New Roman"/>
                <w:color w:val="auto"/>
                <w:sz w:val="18"/>
                <w:szCs w:val="18"/>
              </w:rPr>
            </w:pPr>
            <w:r>
              <w:rPr>
                <w:rFonts w:hint="eastAsia" w:ascii="Times New Roman" w:hAnsi="Times New Roman"/>
                <w:color w:val="auto"/>
                <w:sz w:val="18"/>
                <w:szCs w:val="18"/>
              </w:rPr>
              <w:t>3</w:t>
            </w:r>
            <w:r>
              <w:rPr>
                <w:rFonts w:ascii="Times New Roman" w:hAnsi="Times New Roman"/>
                <w:color w:val="auto"/>
                <w:sz w:val="18"/>
                <w:szCs w:val="18"/>
              </w:rPr>
              <w:t>%</w:t>
            </w:r>
          </w:p>
        </w:tc>
        <w:tc>
          <w:tcPr>
            <w:tcW w:w="968" w:type="dxa"/>
            <w:tcBorders>
              <w:top w:val="nil"/>
              <w:left w:val="nil"/>
              <w:bottom w:val="nil"/>
              <w:right w:val="nil"/>
            </w:tcBorders>
          </w:tcPr>
          <w:p w14:paraId="4F740882">
            <w:pPr>
              <w:jc w:val="center"/>
              <w:rPr>
                <w:rFonts w:ascii="Times New Roman" w:hAnsi="Times New Roman"/>
                <w:color w:val="auto"/>
                <w:szCs w:val="21"/>
              </w:rPr>
            </w:pPr>
            <w:r>
              <w:rPr>
                <w:rFonts w:hint="eastAsia" w:ascii="Times New Roman" w:hAnsi="Times New Roman"/>
                <w:color w:val="auto"/>
              </w:rPr>
              <w:t>0.671</w:t>
            </w:r>
          </w:p>
        </w:tc>
        <w:tc>
          <w:tcPr>
            <w:tcW w:w="1163" w:type="dxa"/>
            <w:tcBorders>
              <w:top w:val="nil"/>
              <w:left w:val="nil"/>
              <w:bottom w:val="nil"/>
              <w:right w:val="nil"/>
            </w:tcBorders>
          </w:tcPr>
          <w:p w14:paraId="31774E43">
            <w:pPr>
              <w:jc w:val="center"/>
              <w:rPr>
                <w:rFonts w:ascii="Times New Roman" w:hAnsi="Times New Roman"/>
                <w:color w:val="auto"/>
              </w:rPr>
            </w:pPr>
            <w:r>
              <w:rPr>
                <w:rFonts w:hint="eastAsia" w:ascii="Times New Roman" w:hAnsi="Times New Roman"/>
                <w:color w:val="auto"/>
              </w:rPr>
              <w:t>0.750</w:t>
            </w:r>
          </w:p>
        </w:tc>
        <w:tc>
          <w:tcPr>
            <w:tcW w:w="1163" w:type="dxa"/>
            <w:tcBorders>
              <w:top w:val="nil"/>
              <w:left w:val="nil"/>
              <w:bottom w:val="nil"/>
              <w:right w:val="nil"/>
            </w:tcBorders>
          </w:tcPr>
          <w:p w14:paraId="49023934">
            <w:pPr>
              <w:jc w:val="center"/>
              <w:rPr>
                <w:rFonts w:ascii="Times New Roman" w:hAnsi="Times New Roman"/>
                <w:color w:val="auto"/>
              </w:rPr>
            </w:pPr>
            <w:r>
              <w:rPr>
                <w:rFonts w:hint="eastAsia" w:ascii="Times New Roman" w:hAnsi="Times New Roman"/>
                <w:color w:val="auto"/>
              </w:rPr>
              <w:t>0.652</w:t>
            </w:r>
          </w:p>
        </w:tc>
        <w:tc>
          <w:tcPr>
            <w:tcW w:w="1163" w:type="dxa"/>
            <w:tcBorders>
              <w:top w:val="nil"/>
              <w:left w:val="nil"/>
              <w:bottom w:val="nil"/>
              <w:right w:val="nil"/>
            </w:tcBorders>
          </w:tcPr>
          <w:p w14:paraId="75596A10">
            <w:pPr>
              <w:jc w:val="center"/>
              <w:rPr>
                <w:rFonts w:ascii="Times New Roman" w:hAnsi="Times New Roman"/>
                <w:color w:val="auto"/>
              </w:rPr>
            </w:pPr>
            <w:r>
              <w:rPr>
                <w:rFonts w:hint="eastAsia" w:ascii="Times New Roman" w:hAnsi="Times New Roman"/>
                <w:color w:val="auto"/>
              </w:rPr>
              <w:t>0.882</w:t>
            </w:r>
          </w:p>
        </w:tc>
        <w:tc>
          <w:tcPr>
            <w:tcW w:w="1163" w:type="dxa"/>
            <w:tcBorders>
              <w:top w:val="nil"/>
              <w:left w:val="nil"/>
              <w:bottom w:val="nil"/>
              <w:right w:val="nil"/>
            </w:tcBorders>
          </w:tcPr>
          <w:p w14:paraId="0246D06B">
            <w:pPr>
              <w:jc w:val="center"/>
              <w:rPr>
                <w:rFonts w:ascii="Times New Roman" w:hAnsi="Times New Roman"/>
                <w:color w:val="auto"/>
              </w:rPr>
            </w:pPr>
            <w:r>
              <w:rPr>
                <w:rFonts w:hint="eastAsia" w:ascii="Times New Roman" w:hAnsi="Times New Roman"/>
                <w:color w:val="auto"/>
              </w:rPr>
              <w:t>0.615</w:t>
            </w:r>
          </w:p>
        </w:tc>
      </w:tr>
      <w:tr w14:paraId="0194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vAlign w:val="center"/>
          </w:tcPr>
          <w:p w14:paraId="77236074">
            <w:pPr>
              <w:rPr>
                <w:rFonts w:ascii="Times New Roman" w:hAnsi="Times New Roman"/>
                <w:color w:val="auto"/>
                <w:sz w:val="18"/>
                <w:szCs w:val="18"/>
              </w:rPr>
            </w:pPr>
          </w:p>
        </w:tc>
        <w:tc>
          <w:tcPr>
            <w:tcW w:w="1423" w:type="dxa"/>
            <w:tcBorders>
              <w:top w:val="nil"/>
              <w:left w:val="nil"/>
              <w:bottom w:val="nil"/>
              <w:right w:val="nil"/>
            </w:tcBorders>
          </w:tcPr>
          <w:p w14:paraId="23384AE3">
            <w:pPr>
              <w:rPr>
                <w:rFonts w:ascii="Times New Roman" w:hAnsi="Times New Roman"/>
                <w:color w:val="auto"/>
                <w:sz w:val="18"/>
                <w:szCs w:val="18"/>
              </w:rPr>
            </w:pPr>
            <w:r>
              <w:rPr>
                <w:rFonts w:hint="eastAsia" w:ascii="Times New Roman" w:hAnsi="Times New Roman"/>
                <w:color w:val="auto"/>
                <w:sz w:val="18"/>
                <w:szCs w:val="18"/>
              </w:rPr>
              <w:t>5</w:t>
            </w:r>
            <w:r>
              <w:rPr>
                <w:rFonts w:ascii="Times New Roman" w:hAnsi="Times New Roman"/>
                <w:color w:val="auto"/>
                <w:sz w:val="18"/>
                <w:szCs w:val="18"/>
              </w:rPr>
              <w:t>%</w:t>
            </w:r>
          </w:p>
        </w:tc>
        <w:tc>
          <w:tcPr>
            <w:tcW w:w="968" w:type="dxa"/>
            <w:tcBorders>
              <w:top w:val="nil"/>
              <w:left w:val="nil"/>
              <w:bottom w:val="nil"/>
              <w:right w:val="nil"/>
            </w:tcBorders>
          </w:tcPr>
          <w:p w14:paraId="419DACF9">
            <w:pPr>
              <w:pStyle w:val="13"/>
              <w:jc w:val="center"/>
              <w:rPr>
                <w:color w:val="auto"/>
                <w:sz w:val="21"/>
                <w:szCs w:val="21"/>
              </w:rPr>
            </w:pPr>
            <w:r>
              <w:rPr>
                <w:rFonts w:hint="eastAsia"/>
                <w:b/>
                <w:bCs/>
                <w:color w:val="auto"/>
                <w:sz w:val="21"/>
                <w:szCs w:val="21"/>
              </w:rPr>
              <w:t>0.766</w:t>
            </w:r>
          </w:p>
        </w:tc>
        <w:tc>
          <w:tcPr>
            <w:tcW w:w="1163" w:type="dxa"/>
            <w:tcBorders>
              <w:top w:val="nil"/>
              <w:left w:val="nil"/>
              <w:bottom w:val="nil"/>
              <w:right w:val="nil"/>
            </w:tcBorders>
          </w:tcPr>
          <w:p w14:paraId="5901A35F">
            <w:pPr>
              <w:pStyle w:val="13"/>
              <w:jc w:val="center"/>
              <w:rPr>
                <w:color w:val="auto"/>
                <w:sz w:val="21"/>
                <w:szCs w:val="21"/>
              </w:rPr>
            </w:pPr>
            <w:r>
              <w:rPr>
                <w:rFonts w:hint="eastAsia"/>
                <w:b/>
                <w:bCs/>
                <w:color w:val="auto"/>
                <w:sz w:val="21"/>
                <w:szCs w:val="21"/>
              </w:rPr>
              <w:t>0.817</w:t>
            </w:r>
          </w:p>
        </w:tc>
        <w:tc>
          <w:tcPr>
            <w:tcW w:w="1163" w:type="dxa"/>
            <w:tcBorders>
              <w:top w:val="nil"/>
              <w:left w:val="nil"/>
              <w:bottom w:val="nil"/>
              <w:right w:val="nil"/>
            </w:tcBorders>
          </w:tcPr>
          <w:p w14:paraId="2EE56854">
            <w:pPr>
              <w:pStyle w:val="13"/>
              <w:jc w:val="center"/>
              <w:rPr>
                <w:color w:val="auto"/>
                <w:sz w:val="21"/>
                <w:szCs w:val="21"/>
              </w:rPr>
            </w:pPr>
            <w:r>
              <w:rPr>
                <w:rFonts w:hint="eastAsia"/>
                <w:b/>
                <w:bCs/>
                <w:color w:val="auto"/>
                <w:sz w:val="21"/>
                <w:szCs w:val="21"/>
              </w:rPr>
              <w:t>0.763</w:t>
            </w:r>
          </w:p>
        </w:tc>
        <w:tc>
          <w:tcPr>
            <w:tcW w:w="1163" w:type="dxa"/>
            <w:tcBorders>
              <w:top w:val="nil"/>
              <w:left w:val="nil"/>
              <w:bottom w:val="nil"/>
              <w:right w:val="nil"/>
            </w:tcBorders>
          </w:tcPr>
          <w:p w14:paraId="31E018D0">
            <w:pPr>
              <w:pStyle w:val="13"/>
              <w:jc w:val="center"/>
              <w:rPr>
                <w:color w:val="auto"/>
                <w:sz w:val="21"/>
                <w:szCs w:val="21"/>
              </w:rPr>
            </w:pPr>
            <w:r>
              <w:rPr>
                <w:rFonts w:hint="eastAsia"/>
                <w:color w:val="auto"/>
                <w:sz w:val="21"/>
                <w:szCs w:val="21"/>
              </w:rPr>
              <w:t>0.879</w:t>
            </w:r>
          </w:p>
        </w:tc>
        <w:tc>
          <w:tcPr>
            <w:tcW w:w="1163" w:type="dxa"/>
            <w:tcBorders>
              <w:top w:val="nil"/>
              <w:left w:val="nil"/>
              <w:bottom w:val="nil"/>
              <w:right w:val="nil"/>
            </w:tcBorders>
          </w:tcPr>
          <w:p w14:paraId="7D24A32C">
            <w:pPr>
              <w:pStyle w:val="13"/>
              <w:jc w:val="center"/>
              <w:rPr>
                <w:color w:val="auto"/>
                <w:sz w:val="21"/>
                <w:szCs w:val="21"/>
              </w:rPr>
            </w:pPr>
            <w:r>
              <w:rPr>
                <w:rFonts w:hint="eastAsia"/>
                <w:b/>
                <w:bCs/>
                <w:color w:val="auto"/>
                <w:sz w:val="21"/>
                <w:szCs w:val="21"/>
              </w:rPr>
              <w:t>0.750</w:t>
            </w:r>
          </w:p>
        </w:tc>
      </w:tr>
      <w:tr w14:paraId="77CD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vAlign w:val="center"/>
          </w:tcPr>
          <w:p w14:paraId="46168803">
            <w:pPr>
              <w:rPr>
                <w:rFonts w:ascii="Times New Roman" w:hAnsi="Times New Roman"/>
                <w:color w:val="auto"/>
                <w:sz w:val="18"/>
                <w:szCs w:val="18"/>
              </w:rPr>
            </w:pPr>
          </w:p>
        </w:tc>
        <w:tc>
          <w:tcPr>
            <w:tcW w:w="1423" w:type="dxa"/>
            <w:tcBorders>
              <w:top w:val="nil"/>
              <w:left w:val="nil"/>
              <w:bottom w:val="single" w:color="auto" w:sz="4" w:space="0"/>
              <w:right w:val="nil"/>
            </w:tcBorders>
          </w:tcPr>
          <w:p w14:paraId="696CBFA4">
            <w:pPr>
              <w:rPr>
                <w:rFonts w:ascii="Times New Roman" w:hAnsi="Times New Roman"/>
                <w:color w:val="auto"/>
                <w:sz w:val="18"/>
                <w:szCs w:val="18"/>
              </w:rPr>
            </w:pPr>
            <w:r>
              <w:rPr>
                <w:rFonts w:hint="eastAsia" w:ascii="Times New Roman" w:hAnsi="Times New Roman"/>
                <w:color w:val="auto"/>
                <w:sz w:val="18"/>
                <w:szCs w:val="18"/>
              </w:rPr>
              <w:t>10</w:t>
            </w:r>
            <w:r>
              <w:rPr>
                <w:rFonts w:ascii="Times New Roman" w:hAnsi="Times New Roman"/>
                <w:color w:val="auto"/>
                <w:sz w:val="18"/>
                <w:szCs w:val="18"/>
              </w:rPr>
              <w:t>%</w:t>
            </w:r>
          </w:p>
        </w:tc>
        <w:tc>
          <w:tcPr>
            <w:tcW w:w="968" w:type="dxa"/>
            <w:tcBorders>
              <w:top w:val="nil"/>
              <w:left w:val="nil"/>
              <w:bottom w:val="single" w:color="auto" w:sz="4" w:space="0"/>
              <w:right w:val="nil"/>
            </w:tcBorders>
          </w:tcPr>
          <w:p w14:paraId="0C00F91B">
            <w:pPr>
              <w:jc w:val="center"/>
              <w:rPr>
                <w:rFonts w:ascii="Times New Roman" w:hAnsi="Times New Roman"/>
                <w:color w:val="auto"/>
                <w:szCs w:val="21"/>
              </w:rPr>
            </w:pPr>
            <w:r>
              <w:rPr>
                <w:rFonts w:hint="eastAsia" w:ascii="Times New Roman" w:hAnsi="Times New Roman"/>
                <w:color w:val="auto"/>
              </w:rPr>
              <w:t>0.565</w:t>
            </w:r>
          </w:p>
        </w:tc>
        <w:tc>
          <w:tcPr>
            <w:tcW w:w="1163" w:type="dxa"/>
            <w:tcBorders>
              <w:top w:val="nil"/>
              <w:left w:val="nil"/>
              <w:bottom w:val="single" w:color="auto" w:sz="4" w:space="0"/>
              <w:right w:val="nil"/>
            </w:tcBorders>
          </w:tcPr>
          <w:p w14:paraId="1C614452">
            <w:pPr>
              <w:jc w:val="center"/>
              <w:rPr>
                <w:rFonts w:ascii="Times New Roman" w:hAnsi="Times New Roman"/>
                <w:color w:val="auto"/>
              </w:rPr>
            </w:pPr>
            <w:r>
              <w:rPr>
                <w:rFonts w:hint="eastAsia" w:ascii="Times New Roman" w:hAnsi="Times New Roman"/>
                <w:color w:val="auto"/>
              </w:rPr>
              <w:t>0.467</w:t>
            </w:r>
          </w:p>
        </w:tc>
        <w:tc>
          <w:tcPr>
            <w:tcW w:w="1163" w:type="dxa"/>
            <w:tcBorders>
              <w:top w:val="nil"/>
              <w:left w:val="nil"/>
              <w:bottom w:val="single" w:color="auto" w:sz="4" w:space="0"/>
              <w:right w:val="nil"/>
            </w:tcBorders>
          </w:tcPr>
          <w:p w14:paraId="5A86CA84">
            <w:pPr>
              <w:jc w:val="center"/>
              <w:rPr>
                <w:rFonts w:ascii="Times New Roman" w:hAnsi="Times New Roman"/>
                <w:color w:val="auto"/>
              </w:rPr>
            </w:pPr>
            <w:r>
              <w:rPr>
                <w:rFonts w:hint="eastAsia" w:ascii="Times New Roman" w:hAnsi="Times New Roman"/>
                <w:color w:val="auto"/>
              </w:rPr>
              <w:t>0.583</w:t>
            </w:r>
          </w:p>
        </w:tc>
        <w:tc>
          <w:tcPr>
            <w:tcW w:w="1163" w:type="dxa"/>
            <w:tcBorders>
              <w:top w:val="nil"/>
              <w:left w:val="nil"/>
              <w:bottom w:val="single" w:color="auto" w:sz="4" w:space="0"/>
              <w:right w:val="nil"/>
            </w:tcBorders>
          </w:tcPr>
          <w:p w14:paraId="001403CC">
            <w:pPr>
              <w:jc w:val="center"/>
              <w:rPr>
                <w:rFonts w:ascii="Times New Roman" w:hAnsi="Times New Roman"/>
                <w:color w:val="auto"/>
              </w:rPr>
            </w:pPr>
            <w:r>
              <w:rPr>
                <w:rFonts w:hint="eastAsia" w:ascii="Times New Roman" w:hAnsi="Times New Roman"/>
                <w:color w:val="auto"/>
              </w:rPr>
              <w:t>0.389</w:t>
            </w:r>
          </w:p>
        </w:tc>
        <w:tc>
          <w:tcPr>
            <w:tcW w:w="1163" w:type="dxa"/>
            <w:tcBorders>
              <w:top w:val="nil"/>
              <w:left w:val="nil"/>
              <w:bottom w:val="single" w:color="auto" w:sz="4" w:space="0"/>
              <w:right w:val="nil"/>
            </w:tcBorders>
          </w:tcPr>
          <w:p w14:paraId="1AE2546C">
            <w:pPr>
              <w:jc w:val="center"/>
              <w:rPr>
                <w:rFonts w:ascii="Times New Roman" w:hAnsi="Times New Roman"/>
                <w:color w:val="auto"/>
              </w:rPr>
            </w:pPr>
            <w:r>
              <w:rPr>
                <w:rFonts w:hint="eastAsia" w:ascii="Times New Roman" w:hAnsi="Times New Roman"/>
                <w:color w:val="auto"/>
              </w:rPr>
              <w:t>0.571</w:t>
            </w:r>
          </w:p>
        </w:tc>
      </w:tr>
      <w:tr w14:paraId="1548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Merge w:val="restart"/>
            <w:tcBorders>
              <w:top w:val="nil"/>
              <w:left w:val="nil"/>
              <w:bottom w:val="single" w:color="auto" w:sz="4" w:space="0"/>
              <w:right w:val="nil"/>
            </w:tcBorders>
            <w:vAlign w:val="center"/>
          </w:tcPr>
          <w:p w14:paraId="1DD8F434">
            <w:pPr>
              <w:jc w:val="center"/>
              <w:rPr>
                <w:rFonts w:ascii="Times New Roman" w:hAnsi="Times New Roman"/>
                <w:color w:val="auto"/>
                <w:sz w:val="18"/>
                <w:szCs w:val="18"/>
              </w:rPr>
            </w:pPr>
            <w:r>
              <w:rPr>
                <w:rFonts w:hint="eastAsia" w:ascii="Times New Roman" w:hAnsi="Times New Roman"/>
                <w:color w:val="auto"/>
                <w:sz w:val="18"/>
                <w:szCs w:val="18"/>
              </w:rPr>
              <w:t>Lym</w:t>
            </w:r>
            <w:r>
              <w:rPr>
                <w:rFonts w:ascii="Times New Roman" w:hAnsi="Times New Roman"/>
                <w:color w:val="auto"/>
                <w:sz w:val="18"/>
                <w:szCs w:val="18"/>
              </w:rPr>
              <w:t>.</w:t>
            </w:r>
          </w:p>
        </w:tc>
        <w:tc>
          <w:tcPr>
            <w:tcW w:w="1423" w:type="dxa"/>
            <w:tcBorders>
              <w:top w:val="single" w:color="auto" w:sz="4" w:space="0"/>
              <w:left w:val="nil"/>
              <w:bottom w:val="nil"/>
              <w:right w:val="nil"/>
            </w:tcBorders>
          </w:tcPr>
          <w:p w14:paraId="271D3D0B">
            <w:pPr>
              <w:rPr>
                <w:rFonts w:ascii="Times New Roman" w:hAnsi="Times New Roman"/>
                <w:color w:val="auto"/>
                <w:sz w:val="18"/>
                <w:szCs w:val="18"/>
              </w:rPr>
            </w:pPr>
            <w:r>
              <w:rPr>
                <w:rFonts w:hint="eastAsia" w:ascii="Times New Roman" w:hAnsi="Times New Roman"/>
                <w:color w:val="auto"/>
                <w:sz w:val="18"/>
                <w:szCs w:val="18"/>
              </w:rPr>
              <w:t>1</w:t>
            </w:r>
            <w:r>
              <w:rPr>
                <w:rFonts w:ascii="Times New Roman" w:hAnsi="Times New Roman"/>
                <w:color w:val="auto"/>
                <w:sz w:val="18"/>
                <w:szCs w:val="18"/>
              </w:rPr>
              <w:t>%</w:t>
            </w:r>
          </w:p>
        </w:tc>
        <w:tc>
          <w:tcPr>
            <w:tcW w:w="968" w:type="dxa"/>
            <w:tcBorders>
              <w:top w:val="single" w:color="auto" w:sz="4" w:space="0"/>
              <w:left w:val="nil"/>
              <w:bottom w:val="nil"/>
              <w:right w:val="nil"/>
            </w:tcBorders>
          </w:tcPr>
          <w:p w14:paraId="27BB93C8">
            <w:pPr>
              <w:jc w:val="center"/>
              <w:rPr>
                <w:rFonts w:ascii="Times New Roman" w:hAnsi="Times New Roman"/>
                <w:color w:val="auto"/>
                <w:szCs w:val="21"/>
              </w:rPr>
            </w:pPr>
            <w:r>
              <w:rPr>
                <w:rFonts w:hint="eastAsia" w:ascii="Times New Roman" w:hAnsi="Times New Roman"/>
                <w:color w:val="auto"/>
              </w:rPr>
              <w:t>0.582</w:t>
            </w:r>
          </w:p>
        </w:tc>
        <w:tc>
          <w:tcPr>
            <w:tcW w:w="1163" w:type="dxa"/>
            <w:tcBorders>
              <w:top w:val="single" w:color="auto" w:sz="4" w:space="0"/>
              <w:left w:val="nil"/>
              <w:bottom w:val="nil"/>
              <w:right w:val="nil"/>
            </w:tcBorders>
          </w:tcPr>
          <w:p w14:paraId="62212FC1">
            <w:pPr>
              <w:jc w:val="center"/>
              <w:rPr>
                <w:rFonts w:ascii="Times New Roman" w:hAnsi="Times New Roman"/>
                <w:color w:val="auto"/>
              </w:rPr>
            </w:pPr>
            <w:r>
              <w:rPr>
                <w:rFonts w:hint="eastAsia" w:ascii="Times New Roman" w:hAnsi="Times New Roman"/>
                <w:b/>
                <w:bCs/>
                <w:color w:val="auto"/>
              </w:rPr>
              <w:t>0.750</w:t>
            </w:r>
          </w:p>
        </w:tc>
        <w:tc>
          <w:tcPr>
            <w:tcW w:w="1163" w:type="dxa"/>
            <w:tcBorders>
              <w:top w:val="single" w:color="auto" w:sz="4" w:space="0"/>
              <w:left w:val="nil"/>
              <w:bottom w:val="nil"/>
              <w:right w:val="nil"/>
            </w:tcBorders>
          </w:tcPr>
          <w:p w14:paraId="2E31DF9F">
            <w:pPr>
              <w:jc w:val="center"/>
              <w:rPr>
                <w:rFonts w:ascii="Times New Roman" w:hAnsi="Times New Roman"/>
                <w:color w:val="auto"/>
              </w:rPr>
            </w:pPr>
            <w:r>
              <w:rPr>
                <w:rFonts w:hint="eastAsia" w:ascii="Times New Roman" w:hAnsi="Times New Roman"/>
                <w:color w:val="auto"/>
              </w:rPr>
              <w:t>0.660</w:t>
            </w:r>
          </w:p>
        </w:tc>
        <w:tc>
          <w:tcPr>
            <w:tcW w:w="1163" w:type="dxa"/>
            <w:tcBorders>
              <w:top w:val="single" w:color="auto" w:sz="4" w:space="0"/>
              <w:left w:val="nil"/>
              <w:bottom w:val="nil"/>
              <w:right w:val="nil"/>
            </w:tcBorders>
          </w:tcPr>
          <w:p w14:paraId="4A5CAECD">
            <w:pPr>
              <w:jc w:val="center"/>
              <w:rPr>
                <w:rFonts w:ascii="Times New Roman" w:hAnsi="Times New Roman"/>
                <w:color w:val="auto"/>
              </w:rPr>
            </w:pPr>
            <w:r>
              <w:rPr>
                <w:rFonts w:hint="eastAsia" w:ascii="Times New Roman" w:hAnsi="Times New Roman"/>
                <w:color w:val="auto"/>
              </w:rPr>
              <w:t>0.868</w:t>
            </w:r>
          </w:p>
        </w:tc>
        <w:tc>
          <w:tcPr>
            <w:tcW w:w="1163" w:type="dxa"/>
            <w:tcBorders>
              <w:top w:val="single" w:color="auto" w:sz="4" w:space="0"/>
              <w:left w:val="nil"/>
              <w:bottom w:val="nil"/>
              <w:right w:val="nil"/>
            </w:tcBorders>
          </w:tcPr>
          <w:p w14:paraId="60AAD8B8">
            <w:pPr>
              <w:jc w:val="center"/>
              <w:rPr>
                <w:rFonts w:ascii="Times New Roman" w:hAnsi="Times New Roman"/>
                <w:color w:val="auto"/>
              </w:rPr>
            </w:pPr>
            <w:r>
              <w:rPr>
                <w:rFonts w:hint="eastAsia" w:ascii="Times New Roman" w:hAnsi="Times New Roman"/>
                <w:color w:val="auto"/>
              </w:rPr>
              <w:t>0.571</w:t>
            </w:r>
          </w:p>
        </w:tc>
      </w:tr>
      <w:tr w14:paraId="1CEC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vAlign w:val="center"/>
          </w:tcPr>
          <w:p w14:paraId="2BBB79BE">
            <w:pPr>
              <w:rPr>
                <w:rFonts w:ascii="Times New Roman" w:hAnsi="Times New Roman"/>
                <w:color w:val="auto"/>
                <w:sz w:val="18"/>
                <w:szCs w:val="18"/>
              </w:rPr>
            </w:pPr>
          </w:p>
        </w:tc>
        <w:tc>
          <w:tcPr>
            <w:tcW w:w="1423" w:type="dxa"/>
            <w:tcBorders>
              <w:top w:val="nil"/>
              <w:left w:val="nil"/>
              <w:bottom w:val="nil"/>
              <w:right w:val="nil"/>
            </w:tcBorders>
          </w:tcPr>
          <w:p w14:paraId="523A4191">
            <w:pPr>
              <w:rPr>
                <w:rFonts w:ascii="Times New Roman" w:hAnsi="Times New Roman"/>
                <w:color w:val="auto"/>
                <w:sz w:val="18"/>
                <w:szCs w:val="18"/>
              </w:rPr>
            </w:pPr>
            <w:r>
              <w:rPr>
                <w:rFonts w:hint="eastAsia" w:ascii="Times New Roman" w:hAnsi="Times New Roman"/>
                <w:color w:val="auto"/>
                <w:sz w:val="18"/>
                <w:szCs w:val="18"/>
              </w:rPr>
              <w:t>3</w:t>
            </w:r>
            <w:r>
              <w:rPr>
                <w:rFonts w:ascii="Times New Roman" w:hAnsi="Times New Roman"/>
                <w:color w:val="auto"/>
                <w:sz w:val="18"/>
                <w:szCs w:val="18"/>
              </w:rPr>
              <w:t>%</w:t>
            </w:r>
          </w:p>
        </w:tc>
        <w:tc>
          <w:tcPr>
            <w:tcW w:w="968" w:type="dxa"/>
            <w:tcBorders>
              <w:top w:val="nil"/>
              <w:left w:val="nil"/>
              <w:bottom w:val="nil"/>
              <w:right w:val="nil"/>
            </w:tcBorders>
          </w:tcPr>
          <w:p w14:paraId="1FF245D3">
            <w:pPr>
              <w:jc w:val="center"/>
              <w:rPr>
                <w:rFonts w:ascii="Times New Roman" w:hAnsi="Times New Roman"/>
                <w:color w:val="auto"/>
                <w:szCs w:val="21"/>
              </w:rPr>
            </w:pPr>
            <w:r>
              <w:rPr>
                <w:rFonts w:hint="eastAsia" w:ascii="Times New Roman" w:hAnsi="Times New Roman"/>
                <w:color w:val="auto"/>
              </w:rPr>
              <w:t>0.607</w:t>
            </w:r>
          </w:p>
        </w:tc>
        <w:tc>
          <w:tcPr>
            <w:tcW w:w="1163" w:type="dxa"/>
            <w:tcBorders>
              <w:top w:val="nil"/>
              <w:left w:val="nil"/>
              <w:bottom w:val="nil"/>
              <w:right w:val="nil"/>
            </w:tcBorders>
          </w:tcPr>
          <w:p w14:paraId="2C6D6394">
            <w:pPr>
              <w:jc w:val="center"/>
              <w:rPr>
                <w:rFonts w:ascii="Times New Roman" w:hAnsi="Times New Roman"/>
                <w:color w:val="auto"/>
              </w:rPr>
            </w:pPr>
            <w:r>
              <w:rPr>
                <w:rFonts w:hint="eastAsia" w:ascii="Times New Roman" w:hAnsi="Times New Roman"/>
                <w:color w:val="auto"/>
              </w:rPr>
              <w:t>0.729</w:t>
            </w:r>
          </w:p>
        </w:tc>
        <w:tc>
          <w:tcPr>
            <w:tcW w:w="1163" w:type="dxa"/>
            <w:tcBorders>
              <w:top w:val="nil"/>
              <w:left w:val="nil"/>
              <w:bottom w:val="nil"/>
              <w:right w:val="nil"/>
            </w:tcBorders>
          </w:tcPr>
          <w:p w14:paraId="7B91F9E1">
            <w:pPr>
              <w:jc w:val="center"/>
              <w:rPr>
                <w:rFonts w:ascii="Times New Roman" w:hAnsi="Times New Roman"/>
                <w:color w:val="auto"/>
              </w:rPr>
            </w:pPr>
            <w:r>
              <w:rPr>
                <w:rFonts w:hint="eastAsia" w:ascii="Times New Roman" w:hAnsi="Times New Roman"/>
                <w:color w:val="auto"/>
              </w:rPr>
              <w:t>0.608</w:t>
            </w:r>
          </w:p>
        </w:tc>
        <w:tc>
          <w:tcPr>
            <w:tcW w:w="1163" w:type="dxa"/>
            <w:tcBorders>
              <w:top w:val="nil"/>
              <w:left w:val="nil"/>
              <w:bottom w:val="nil"/>
              <w:right w:val="nil"/>
            </w:tcBorders>
          </w:tcPr>
          <w:p w14:paraId="2A2C3A21">
            <w:pPr>
              <w:jc w:val="center"/>
              <w:rPr>
                <w:rFonts w:ascii="Times New Roman" w:hAnsi="Times New Roman"/>
                <w:color w:val="auto"/>
              </w:rPr>
            </w:pPr>
            <w:r>
              <w:rPr>
                <w:rFonts w:hint="eastAsia" w:ascii="Times New Roman" w:hAnsi="Times New Roman"/>
                <w:b/>
                <w:bCs/>
                <w:color w:val="auto"/>
              </w:rPr>
              <w:t>0.912</w:t>
            </w:r>
          </w:p>
        </w:tc>
        <w:tc>
          <w:tcPr>
            <w:tcW w:w="1163" w:type="dxa"/>
            <w:tcBorders>
              <w:top w:val="nil"/>
              <w:left w:val="nil"/>
              <w:bottom w:val="nil"/>
              <w:right w:val="nil"/>
            </w:tcBorders>
          </w:tcPr>
          <w:p w14:paraId="7DBED488">
            <w:pPr>
              <w:jc w:val="center"/>
              <w:rPr>
                <w:rFonts w:ascii="Times New Roman" w:hAnsi="Times New Roman"/>
                <w:color w:val="auto"/>
              </w:rPr>
            </w:pPr>
            <w:r>
              <w:rPr>
                <w:rFonts w:hint="eastAsia" w:ascii="Times New Roman" w:hAnsi="Times New Roman"/>
                <w:color w:val="auto"/>
              </w:rPr>
              <w:t>0.556</w:t>
            </w:r>
          </w:p>
        </w:tc>
      </w:tr>
      <w:tr w14:paraId="3C84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vAlign w:val="center"/>
          </w:tcPr>
          <w:p w14:paraId="3586F209">
            <w:pPr>
              <w:rPr>
                <w:rFonts w:ascii="Times New Roman" w:hAnsi="Times New Roman"/>
                <w:color w:val="auto"/>
                <w:sz w:val="18"/>
                <w:szCs w:val="18"/>
              </w:rPr>
            </w:pPr>
          </w:p>
        </w:tc>
        <w:tc>
          <w:tcPr>
            <w:tcW w:w="1423" w:type="dxa"/>
            <w:tcBorders>
              <w:top w:val="nil"/>
              <w:left w:val="nil"/>
              <w:bottom w:val="nil"/>
              <w:right w:val="nil"/>
            </w:tcBorders>
          </w:tcPr>
          <w:p w14:paraId="15001758">
            <w:pPr>
              <w:rPr>
                <w:rFonts w:ascii="Times New Roman" w:hAnsi="Times New Roman"/>
                <w:color w:val="auto"/>
                <w:sz w:val="18"/>
                <w:szCs w:val="18"/>
              </w:rPr>
            </w:pPr>
            <w:r>
              <w:rPr>
                <w:rFonts w:hint="eastAsia" w:ascii="Times New Roman" w:hAnsi="Times New Roman"/>
                <w:color w:val="auto"/>
                <w:sz w:val="18"/>
                <w:szCs w:val="18"/>
              </w:rPr>
              <w:t>5</w:t>
            </w:r>
            <w:r>
              <w:rPr>
                <w:rFonts w:ascii="Times New Roman" w:hAnsi="Times New Roman"/>
                <w:color w:val="auto"/>
                <w:sz w:val="18"/>
                <w:szCs w:val="18"/>
              </w:rPr>
              <w:t>%</w:t>
            </w:r>
          </w:p>
        </w:tc>
        <w:tc>
          <w:tcPr>
            <w:tcW w:w="968" w:type="dxa"/>
            <w:tcBorders>
              <w:top w:val="nil"/>
              <w:left w:val="nil"/>
              <w:bottom w:val="nil"/>
              <w:right w:val="nil"/>
            </w:tcBorders>
          </w:tcPr>
          <w:p w14:paraId="3F8C36CD">
            <w:pPr>
              <w:pStyle w:val="13"/>
              <w:jc w:val="center"/>
              <w:rPr>
                <w:b/>
                <w:bCs/>
                <w:color w:val="auto"/>
                <w:sz w:val="21"/>
                <w:szCs w:val="21"/>
              </w:rPr>
            </w:pPr>
            <w:r>
              <w:rPr>
                <w:rFonts w:hint="eastAsia"/>
                <w:b/>
                <w:bCs/>
                <w:color w:val="auto"/>
                <w:sz w:val="21"/>
                <w:szCs w:val="21"/>
              </w:rPr>
              <w:t>0.625</w:t>
            </w:r>
          </w:p>
        </w:tc>
        <w:tc>
          <w:tcPr>
            <w:tcW w:w="1163" w:type="dxa"/>
            <w:tcBorders>
              <w:top w:val="nil"/>
              <w:left w:val="nil"/>
              <w:bottom w:val="nil"/>
              <w:right w:val="nil"/>
            </w:tcBorders>
          </w:tcPr>
          <w:p w14:paraId="011F3A48">
            <w:pPr>
              <w:pStyle w:val="13"/>
              <w:jc w:val="center"/>
              <w:rPr>
                <w:color w:val="auto"/>
                <w:sz w:val="21"/>
                <w:szCs w:val="21"/>
              </w:rPr>
            </w:pPr>
            <w:r>
              <w:rPr>
                <w:rFonts w:hint="eastAsia"/>
                <w:color w:val="auto"/>
                <w:sz w:val="21"/>
                <w:szCs w:val="21"/>
              </w:rPr>
              <w:t>0.716</w:t>
            </w:r>
          </w:p>
        </w:tc>
        <w:tc>
          <w:tcPr>
            <w:tcW w:w="1163" w:type="dxa"/>
            <w:tcBorders>
              <w:top w:val="nil"/>
              <w:left w:val="nil"/>
              <w:bottom w:val="nil"/>
              <w:right w:val="nil"/>
            </w:tcBorders>
          </w:tcPr>
          <w:p w14:paraId="260B8D89">
            <w:pPr>
              <w:pStyle w:val="13"/>
              <w:jc w:val="center"/>
              <w:rPr>
                <w:color w:val="auto"/>
                <w:sz w:val="21"/>
                <w:szCs w:val="21"/>
              </w:rPr>
            </w:pPr>
            <w:r>
              <w:rPr>
                <w:rFonts w:hint="eastAsia"/>
                <w:b/>
                <w:bCs/>
                <w:color w:val="auto"/>
                <w:sz w:val="21"/>
                <w:szCs w:val="21"/>
              </w:rPr>
              <w:t>0.632</w:t>
            </w:r>
          </w:p>
        </w:tc>
        <w:tc>
          <w:tcPr>
            <w:tcW w:w="1163" w:type="dxa"/>
            <w:tcBorders>
              <w:top w:val="nil"/>
              <w:left w:val="nil"/>
              <w:bottom w:val="nil"/>
              <w:right w:val="nil"/>
            </w:tcBorders>
          </w:tcPr>
          <w:p w14:paraId="24418F26">
            <w:pPr>
              <w:pStyle w:val="13"/>
              <w:jc w:val="center"/>
              <w:rPr>
                <w:color w:val="auto"/>
                <w:sz w:val="21"/>
                <w:szCs w:val="21"/>
              </w:rPr>
            </w:pPr>
            <w:r>
              <w:rPr>
                <w:rFonts w:hint="eastAsia"/>
                <w:color w:val="auto"/>
                <w:sz w:val="21"/>
                <w:szCs w:val="21"/>
              </w:rPr>
              <w:t>0.828</w:t>
            </w:r>
          </w:p>
        </w:tc>
        <w:tc>
          <w:tcPr>
            <w:tcW w:w="1163" w:type="dxa"/>
            <w:tcBorders>
              <w:top w:val="nil"/>
              <w:left w:val="nil"/>
              <w:bottom w:val="nil"/>
              <w:right w:val="nil"/>
            </w:tcBorders>
          </w:tcPr>
          <w:p w14:paraId="021D63A3">
            <w:pPr>
              <w:pStyle w:val="13"/>
              <w:jc w:val="center"/>
              <w:rPr>
                <w:color w:val="auto"/>
                <w:sz w:val="21"/>
                <w:szCs w:val="21"/>
              </w:rPr>
            </w:pPr>
            <w:r>
              <w:rPr>
                <w:rFonts w:hint="eastAsia"/>
                <w:color w:val="auto"/>
                <w:sz w:val="21"/>
                <w:szCs w:val="21"/>
              </w:rPr>
              <w:t>0.600</w:t>
            </w:r>
          </w:p>
        </w:tc>
      </w:tr>
      <w:tr w14:paraId="00E0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vAlign w:val="center"/>
          </w:tcPr>
          <w:p w14:paraId="316FAFD8">
            <w:pPr>
              <w:rPr>
                <w:rFonts w:ascii="Times New Roman" w:hAnsi="Times New Roman"/>
                <w:color w:val="auto"/>
                <w:sz w:val="18"/>
                <w:szCs w:val="18"/>
              </w:rPr>
            </w:pPr>
          </w:p>
        </w:tc>
        <w:tc>
          <w:tcPr>
            <w:tcW w:w="1423" w:type="dxa"/>
            <w:tcBorders>
              <w:top w:val="nil"/>
              <w:left w:val="nil"/>
              <w:bottom w:val="single" w:color="auto" w:sz="4" w:space="0"/>
              <w:right w:val="nil"/>
            </w:tcBorders>
          </w:tcPr>
          <w:p w14:paraId="24B9C2B1">
            <w:pPr>
              <w:rPr>
                <w:rFonts w:ascii="Times New Roman" w:hAnsi="Times New Roman"/>
                <w:color w:val="auto"/>
                <w:sz w:val="18"/>
                <w:szCs w:val="18"/>
              </w:rPr>
            </w:pPr>
            <w:r>
              <w:rPr>
                <w:rFonts w:hint="eastAsia" w:ascii="Times New Roman" w:hAnsi="Times New Roman"/>
                <w:color w:val="auto"/>
                <w:sz w:val="18"/>
                <w:szCs w:val="18"/>
              </w:rPr>
              <w:t>10</w:t>
            </w:r>
            <w:r>
              <w:rPr>
                <w:rFonts w:ascii="Times New Roman" w:hAnsi="Times New Roman"/>
                <w:color w:val="auto"/>
                <w:sz w:val="18"/>
                <w:szCs w:val="18"/>
              </w:rPr>
              <w:t>%</w:t>
            </w:r>
          </w:p>
        </w:tc>
        <w:tc>
          <w:tcPr>
            <w:tcW w:w="968" w:type="dxa"/>
            <w:tcBorders>
              <w:top w:val="nil"/>
              <w:left w:val="nil"/>
              <w:bottom w:val="single" w:color="auto" w:sz="4" w:space="0"/>
              <w:right w:val="nil"/>
            </w:tcBorders>
          </w:tcPr>
          <w:p w14:paraId="056ED63F">
            <w:pPr>
              <w:jc w:val="center"/>
              <w:rPr>
                <w:rFonts w:ascii="Times New Roman" w:hAnsi="Times New Roman"/>
                <w:color w:val="auto"/>
                <w:szCs w:val="21"/>
              </w:rPr>
            </w:pPr>
            <w:r>
              <w:rPr>
                <w:rFonts w:hint="eastAsia" w:ascii="Times New Roman" w:hAnsi="Times New Roman"/>
                <w:color w:val="auto"/>
              </w:rPr>
              <w:t>0.616</w:t>
            </w:r>
          </w:p>
        </w:tc>
        <w:tc>
          <w:tcPr>
            <w:tcW w:w="1163" w:type="dxa"/>
            <w:tcBorders>
              <w:top w:val="nil"/>
              <w:left w:val="nil"/>
              <w:bottom w:val="single" w:color="auto" w:sz="4" w:space="0"/>
              <w:right w:val="nil"/>
            </w:tcBorders>
          </w:tcPr>
          <w:p w14:paraId="081DEF7B">
            <w:pPr>
              <w:jc w:val="center"/>
              <w:rPr>
                <w:rFonts w:ascii="Times New Roman" w:hAnsi="Times New Roman"/>
                <w:color w:val="auto"/>
              </w:rPr>
            </w:pPr>
            <w:r>
              <w:rPr>
                <w:rFonts w:hint="eastAsia" w:ascii="Times New Roman" w:hAnsi="Times New Roman"/>
                <w:color w:val="auto"/>
              </w:rPr>
              <w:t>0.703</w:t>
            </w:r>
          </w:p>
        </w:tc>
        <w:tc>
          <w:tcPr>
            <w:tcW w:w="1163" w:type="dxa"/>
            <w:tcBorders>
              <w:top w:val="nil"/>
              <w:left w:val="nil"/>
              <w:bottom w:val="single" w:color="auto" w:sz="4" w:space="0"/>
              <w:right w:val="nil"/>
            </w:tcBorders>
          </w:tcPr>
          <w:p w14:paraId="7F78E4D2">
            <w:pPr>
              <w:jc w:val="center"/>
              <w:rPr>
                <w:rFonts w:ascii="Times New Roman" w:hAnsi="Times New Roman"/>
                <w:color w:val="auto"/>
              </w:rPr>
            </w:pPr>
            <w:r>
              <w:rPr>
                <w:rFonts w:hint="eastAsia" w:ascii="Times New Roman" w:hAnsi="Times New Roman"/>
                <w:color w:val="auto"/>
              </w:rPr>
              <w:t>0.591</w:t>
            </w:r>
          </w:p>
        </w:tc>
        <w:tc>
          <w:tcPr>
            <w:tcW w:w="1163" w:type="dxa"/>
            <w:tcBorders>
              <w:top w:val="nil"/>
              <w:left w:val="nil"/>
              <w:bottom w:val="single" w:color="auto" w:sz="4" w:space="0"/>
              <w:right w:val="nil"/>
            </w:tcBorders>
          </w:tcPr>
          <w:p w14:paraId="5BEF53C2">
            <w:pPr>
              <w:jc w:val="center"/>
              <w:rPr>
                <w:rFonts w:ascii="Times New Roman" w:hAnsi="Times New Roman"/>
                <w:color w:val="auto"/>
              </w:rPr>
            </w:pPr>
            <w:r>
              <w:rPr>
                <w:rFonts w:hint="eastAsia" w:ascii="Times New Roman" w:hAnsi="Times New Roman"/>
                <w:color w:val="auto"/>
              </w:rPr>
              <w:t>0.867</w:t>
            </w:r>
          </w:p>
        </w:tc>
        <w:tc>
          <w:tcPr>
            <w:tcW w:w="1163" w:type="dxa"/>
            <w:tcBorders>
              <w:top w:val="nil"/>
              <w:left w:val="nil"/>
              <w:bottom w:val="single" w:color="auto" w:sz="4" w:space="0"/>
              <w:right w:val="nil"/>
            </w:tcBorders>
          </w:tcPr>
          <w:p w14:paraId="076D22E8">
            <w:pPr>
              <w:jc w:val="center"/>
              <w:rPr>
                <w:rFonts w:ascii="Times New Roman" w:hAnsi="Times New Roman"/>
                <w:color w:val="auto"/>
              </w:rPr>
            </w:pPr>
            <w:r>
              <w:rPr>
                <w:rFonts w:hint="eastAsia" w:ascii="Times New Roman" w:hAnsi="Times New Roman"/>
                <w:b/>
                <w:bCs/>
                <w:color w:val="auto"/>
              </w:rPr>
              <w:t>0.700</w:t>
            </w:r>
          </w:p>
        </w:tc>
      </w:tr>
    </w:tbl>
    <w:p w14:paraId="49608DBB">
      <w:pPr>
        <w:pStyle w:val="25"/>
        <w:rPr>
          <w:rFonts w:eastAsia="宋体"/>
          <w:color w:val="auto"/>
          <w:sz w:val="18"/>
          <w:szCs w:val="24"/>
          <w:shd w:val="clear" w:color="auto" w:fill="auto"/>
        </w:rPr>
      </w:pPr>
      <w:r>
        <w:rPr>
          <w:rFonts w:eastAsia="宋体"/>
          <w:color w:val="auto"/>
          <w:sz w:val="18"/>
          <w:szCs w:val="24"/>
          <w:shd w:val="clear" w:color="auto" w:fill="auto"/>
        </w:rPr>
        <w:t>Best-performed values are highlighted in boldface. Sign.: significance</w:t>
      </w:r>
      <w:r>
        <w:rPr>
          <w:rFonts w:hint="eastAsia" w:eastAsia="宋体"/>
          <w:color w:val="auto"/>
          <w:sz w:val="18"/>
          <w:szCs w:val="24"/>
          <w:shd w:val="clear" w:color="auto" w:fill="auto"/>
        </w:rPr>
        <w:t>,</w:t>
      </w:r>
      <w:r>
        <w:rPr>
          <w:rFonts w:eastAsia="宋体"/>
          <w:color w:val="auto"/>
          <w:sz w:val="18"/>
          <w:szCs w:val="24"/>
          <w:shd w:val="clear" w:color="auto" w:fill="auto"/>
        </w:rPr>
        <w:t xml:space="preserve"> TILs: tumor infiltrating lymphocytes, non-TILs: non-tumor infiltrating lymphocytes, Lym.: lymphocytes.</w:t>
      </w:r>
    </w:p>
    <w:p w14:paraId="63F7C282">
      <w:pPr>
        <w:widowControl/>
        <w:jc w:val="left"/>
        <w:rPr>
          <w:rFonts w:ascii="Times New Roman" w:hAnsi="Times New Roman" w:eastAsia="宋体" w:cs="Times New Roman"/>
          <w:b/>
          <w:bCs/>
          <w:color w:val="auto"/>
          <w:szCs w:val="44"/>
          <w:shd w:val="clear" w:color="auto" w:fill="FFFFFF"/>
        </w:rPr>
      </w:pPr>
      <w:r>
        <w:rPr>
          <w:rFonts w:ascii="Times New Roman" w:hAnsi="Times New Roman" w:eastAsia="宋体" w:cs="Times New Roman"/>
          <w:b/>
          <w:bCs/>
          <w:color w:val="auto"/>
          <w:szCs w:val="44"/>
          <w:shd w:val="clear" w:color="auto" w:fill="FFFFFF"/>
        </w:rPr>
        <w:br w:type="page"/>
      </w:r>
    </w:p>
    <w:p w14:paraId="613729EC">
      <w:pPr>
        <w:pStyle w:val="11"/>
        <w:ind w:firstLine="0"/>
        <w:rPr>
          <w:rFonts w:cs="Times New Roman"/>
          <w:b/>
          <w:bCs/>
          <w:color w:val="auto"/>
          <w:szCs w:val="44"/>
          <w:shd w:val="clear" w:color="auto" w:fill="FFFFFF"/>
        </w:rPr>
      </w:pPr>
      <w:r>
        <w:rPr>
          <w:rFonts w:cs="Times New Roman"/>
          <w:b/>
          <w:bCs/>
          <w:color w:val="auto"/>
          <w:szCs w:val="44"/>
          <w:shd w:val="clear" w:color="auto" w:fill="FFFFFF"/>
        </w:rPr>
        <w:t>Correlation analysis between features</w:t>
      </w:r>
    </w:p>
    <w:p w14:paraId="49FD32B6">
      <w:pPr>
        <w:ind w:left="-283" w:leftChars="-135"/>
        <w:jc w:val="center"/>
        <w:rPr>
          <w:color w:val="auto"/>
          <w:highlight w:val="yellow"/>
        </w:rPr>
      </w:pPr>
      <w:r>
        <w:rPr>
          <w:color w:val="auto"/>
        </w:rPr>
        <w:drawing>
          <wp:inline distT="0" distB="0" distL="0" distR="0">
            <wp:extent cx="5274310" cy="565150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hqprint"/>
                    <a:srcRect/>
                    <a:stretch>
                      <a:fillRect/>
                    </a:stretch>
                  </pic:blipFill>
                  <pic:spPr>
                    <a:xfrm>
                      <a:off x="0" y="0"/>
                      <a:ext cx="5274310" cy="5651500"/>
                    </a:xfrm>
                    <a:prstGeom prst="rect">
                      <a:avLst/>
                    </a:prstGeom>
                    <a:noFill/>
                    <a:ln>
                      <a:noFill/>
                    </a:ln>
                  </pic:spPr>
                </pic:pic>
              </a:graphicData>
            </a:graphic>
          </wp:inline>
        </w:drawing>
      </w:r>
    </w:p>
    <w:p w14:paraId="118F3FC5">
      <w:pPr>
        <w:pStyle w:val="13"/>
        <w:rPr>
          <w:color w:val="auto"/>
          <w:sz w:val="21"/>
          <w:szCs w:val="28"/>
        </w:rPr>
      </w:pPr>
      <w:r>
        <w:rPr>
          <w:color w:val="auto"/>
          <w:sz w:val="21"/>
          <w:szCs w:val="28"/>
        </w:rPr>
        <w:t>Figure S1</w:t>
      </w:r>
      <w:r>
        <w:rPr>
          <w:rFonts w:hint="eastAsia"/>
          <w:color w:val="auto"/>
          <w:sz w:val="21"/>
          <w:szCs w:val="28"/>
        </w:rPr>
        <w:t>.</w:t>
      </w:r>
      <w:r>
        <w:rPr>
          <w:color w:val="auto"/>
          <w:sz w:val="21"/>
          <w:szCs w:val="28"/>
        </w:rPr>
        <w:t xml:space="preserve"> Spearman correlation analysis of the features of non-tumor and non-TILs features. a. Correlation plot of combined non-TILs morphological and clinical features. b. Correlation plot of fused non-tumor morphological and clinical features.</w:t>
      </w:r>
      <w:r>
        <w:rPr>
          <w:rFonts w:hint="eastAsia"/>
          <w:color w:val="auto"/>
          <w:sz w:val="21"/>
          <w:szCs w:val="28"/>
        </w:rPr>
        <w:t xml:space="preserve"> </w:t>
      </w:r>
      <w:r>
        <w:rPr>
          <w:color w:val="auto"/>
          <w:sz w:val="21"/>
          <w:szCs w:val="28"/>
        </w:rPr>
        <w:t>c. Correlation plot of combined non-TILs morphological and clinical features selected by Lasso.</w:t>
      </w:r>
      <w:r>
        <w:rPr>
          <w:rFonts w:hint="eastAsia"/>
          <w:color w:val="auto"/>
          <w:sz w:val="21"/>
          <w:szCs w:val="28"/>
        </w:rPr>
        <w:t xml:space="preserve"> </w:t>
      </w:r>
      <w:r>
        <w:rPr>
          <w:color w:val="auto"/>
          <w:sz w:val="21"/>
          <w:szCs w:val="28"/>
        </w:rPr>
        <w:t>d. Correlation plot of combined non-tumor morphological and clinical features selected by Lasso.</w:t>
      </w:r>
      <w:r>
        <w:rPr>
          <w:rFonts w:hint="eastAsia"/>
          <w:color w:val="auto"/>
          <w:sz w:val="21"/>
          <w:szCs w:val="28"/>
        </w:rPr>
        <w:t xml:space="preserve"> </w:t>
      </w:r>
      <w:r>
        <w:rPr>
          <w:color w:val="auto"/>
          <w:sz w:val="21"/>
          <w:szCs w:val="28"/>
        </w:rPr>
        <w:t>non-TILs</w:t>
      </w:r>
      <w:r>
        <w:rPr>
          <w:rFonts w:hint="eastAsia"/>
          <w:color w:val="auto"/>
          <w:sz w:val="21"/>
          <w:szCs w:val="28"/>
        </w:rPr>
        <w:t>:</w:t>
      </w:r>
      <w:r>
        <w:rPr>
          <w:color w:val="auto"/>
          <w:sz w:val="21"/>
          <w:szCs w:val="28"/>
        </w:rPr>
        <w:t xml:space="preserve"> non-tumor infiltrating lymphocytes</w:t>
      </w:r>
      <w:r>
        <w:rPr>
          <w:rFonts w:hint="eastAsia"/>
          <w:color w:val="auto"/>
          <w:sz w:val="21"/>
          <w:szCs w:val="28"/>
        </w:rPr>
        <w:t>,</w:t>
      </w:r>
      <w:r>
        <w:rPr>
          <w:color w:val="auto"/>
          <w:sz w:val="21"/>
          <w:szCs w:val="28"/>
        </w:rPr>
        <w:t xml:space="preserve"> </w:t>
      </w:r>
      <w:r>
        <w:rPr>
          <w:rFonts w:hint="eastAsia"/>
          <w:color w:val="auto"/>
          <w:sz w:val="21"/>
          <w:szCs w:val="28"/>
        </w:rPr>
        <w:t>Mor.</w:t>
      </w:r>
      <w:r>
        <w:rPr>
          <w:color w:val="auto"/>
          <w:sz w:val="21"/>
          <w:szCs w:val="28"/>
        </w:rPr>
        <w:t>: Morphological Features. This picture is recommended for viewing in color.</w:t>
      </w:r>
    </w:p>
    <w:p w14:paraId="5E0EA0D5">
      <w:pPr>
        <w:rPr>
          <w:color w:val="auto"/>
        </w:rPr>
      </w:pPr>
    </w:p>
    <w:p w14:paraId="402F7A2C">
      <w:pPr>
        <w:pStyle w:val="16"/>
        <w:spacing w:before="78" w:after="78" w:line="480" w:lineRule="auto"/>
        <w:rPr>
          <w:color w:val="auto"/>
        </w:rPr>
      </w:pPr>
      <w:r>
        <w:rPr>
          <w:color w:val="auto"/>
        </w:rPr>
        <w:t>Reference</w:t>
      </w:r>
      <w:r>
        <w:rPr>
          <w:rFonts w:hint="eastAsia"/>
          <w:color w:val="auto"/>
        </w:rPr>
        <w:t>s</w:t>
      </w:r>
    </w:p>
    <w:p w14:paraId="7C53DF66">
      <w:pPr>
        <w:pStyle w:val="20"/>
        <w:ind w:left="720" w:hanging="720"/>
        <w:rPr>
          <w:color w:val="auto"/>
        </w:rPr>
      </w:pPr>
      <w:r>
        <w:rPr>
          <w:color w:val="auto"/>
        </w:rPr>
        <w:fldChar w:fldCharType="begin"/>
      </w:r>
      <w:r>
        <w:rPr>
          <w:color w:val="auto"/>
        </w:rPr>
        <w:instrText xml:space="preserve"> ADDIN EN.REFLIST </w:instrText>
      </w:r>
      <w:r>
        <w:rPr>
          <w:color w:val="auto"/>
        </w:rPr>
        <w:fldChar w:fldCharType="separate"/>
      </w:r>
      <w:r>
        <w:rPr>
          <w:color w:val="auto"/>
        </w:rPr>
        <w:t>1.</w:t>
      </w:r>
      <w:r>
        <w:rPr>
          <w:color w:val="auto"/>
        </w:rPr>
        <w:tab/>
      </w:r>
      <w:r>
        <w:rPr>
          <w:color w:val="auto"/>
        </w:rPr>
        <w:t xml:space="preserve">Janowczyk A, Madabhushi A: </w:t>
      </w:r>
      <w:r>
        <w:rPr>
          <w:b/>
          <w:color w:val="auto"/>
        </w:rPr>
        <w:t>Deep learning for digital pathology image analysis: A comprehensive tutorial with selected use cases</w:t>
      </w:r>
      <w:r>
        <w:rPr>
          <w:color w:val="auto"/>
        </w:rPr>
        <w:t xml:space="preserve">. </w:t>
      </w:r>
      <w:r>
        <w:rPr>
          <w:i/>
          <w:color w:val="auto"/>
        </w:rPr>
        <w:t xml:space="preserve">Journal of pathology informatics </w:t>
      </w:r>
      <w:r>
        <w:rPr>
          <w:color w:val="auto"/>
        </w:rPr>
        <w:t xml:space="preserve">2016, </w:t>
      </w:r>
      <w:r>
        <w:rPr>
          <w:b/>
          <w:color w:val="auto"/>
        </w:rPr>
        <w:t>7</w:t>
      </w:r>
      <w:r>
        <w:rPr>
          <w:color w:val="auto"/>
        </w:rPr>
        <w:t>:29-29.</w:t>
      </w:r>
    </w:p>
    <w:p w14:paraId="0C9ADB08">
      <w:pPr>
        <w:pStyle w:val="20"/>
        <w:ind w:left="720" w:hanging="720"/>
        <w:rPr>
          <w:color w:val="auto"/>
        </w:rPr>
      </w:pPr>
      <w:r>
        <w:rPr>
          <w:color w:val="auto"/>
        </w:rPr>
        <w:t>2.</w:t>
      </w:r>
      <w:r>
        <w:rPr>
          <w:color w:val="auto"/>
        </w:rPr>
        <w:tab/>
      </w:r>
      <w:r>
        <w:rPr>
          <w:color w:val="auto"/>
        </w:rPr>
        <w:t xml:space="preserve">Chollet F: </w:t>
      </w:r>
      <w:r>
        <w:rPr>
          <w:b/>
          <w:color w:val="auto"/>
        </w:rPr>
        <w:t>Xception: Deep learning with depthwise separable convolutions</w:t>
      </w:r>
      <w:r>
        <w:rPr>
          <w:color w:val="auto"/>
        </w:rPr>
        <w:t xml:space="preserve">. In: </w:t>
      </w:r>
      <w:r>
        <w:rPr>
          <w:i/>
          <w:color w:val="auto"/>
        </w:rPr>
        <w:t>Proceedings of the IEEE conference on computer vision and pattern recognition: 2017</w:t>
      </w:r>
      <w:r>
        <w:rPr>
          <w:color w:val="auto"/>
        </w:rPr>
        <w:t>; 2017: 1251-1258.</w:t>
      </w:r>
    </w:p>
    <w:p w14:paraId="4783B169">
      <w:pPr>
        <w:pStyle w:val="20"/>
        <w:ind w:left="720" w:hanging="720"/>
        <w:rPr>
          <w:color w:val="auto"/>
        </w:rPr>
      </w:pPr>
      <w:r>
        <w:rPr>
          <w:color w:val="auto"/>
        </w:rPr>
        <w:t>3.</w:t>
      </w:r>
      <w:r>
        <w:rPr>
          <w:color w:val="auto"/>
        </w:rPr>
        <w:tab/>
      </w:r>
      <w:r>
        <w:rPr>
          <w:color w:val="auto"/>
        </w:rPr>
        <w:t>Saltz J, Gupta R, Hou L, Kurc T, Singh P, Vu N, Samaras D, Shroyer KR, Zhao T, Batiste R</w:t>
      </w:r>
      <w:r>
        <w:rPr>
          <w:i/>
          <w:color w:val="auto"/>
        </w:rPr>
        <w:t xml:space="preserve"> et al</w:t>
      </w:r>
      <w:r>
        <w:rPr>
          <w:color w:val="auto"/>
        </w:rPr>
        <w:t xml:space="preserve">: </w:t>
      </w:r>
      <w:r>
        <w:rPr>
          <w:b/>
          <w:color w:val="auto"/>
        </w:rPr>
        <w:t>Spatial Organization and Molecular Correlation of Tumor-Infiltrating Lymphocytes Using Deep Learning on Pathology Images</w:t>
      </w:r>
      <w:r>
        <w:rPr>
          <w:color w:val="auto"/>
        </w:rPr>
        <w:t xml:space="preserve">. </w:t>
      </w:r>
      <w:r>
        <w:rPr>
          <w:i/>
          <w:color w:val="auto"/>
        </w:rPr>
        <w:t xml:space="preserve">Cell Reports </w:t>
      </w:r>
      <w:r>
        <w:rPr>
          <w:color w:val="auto"/>
        </w:rPr>
        <w:t xml:space="preserve">2018, </w:t>
      </w:r>
      <w:r>
        <w:rPr>
          <w:b/>
          <w:color w:val="auto"/>
        </w:rPr>
        <w:t>23</w:t>
      </w:r>
      <w:r>
        <w:rPr>
          <w:color w:val="auto"/>
        </w:rPr>
        <w:t>(1):181-+.</w:t>
      </w:r>
    </w:p>
    <w:p w14:paraId="0A4E9EAA">
      <w:pPr>
        <w:pStyle w:val="20"/>
        <w:ind w:left="720" w:hanging="720"/>
        <w:rPr>
          <w:color w:val="auto"/>
        </w:rPr>
      </w:pPr>
      <w:r>
        <w:rPr>
          <w:color w:val="auto"/>
        </w:rPr>
        <w:t>4.</w:t>
      </w:r>
      <w:r>
        <w:rPr>
          <w:color w:val="auto"/>
        </w:rPr>
        <w:tab/>
      </w:r>
      <w:r>
        <w:rPr>
          <w:color w:val="auto"/>
        </w:rPr>
        <w:t xml:space="preserve">Dagher J, Delahunt B, Rioux‐Leclercq N, Egevad L, Coughlin G, Dunglison N, Gianduzzo T, Kua B, Malone G, Martin B: </w:t>
      </w:r>
      <w:r>
        <w:rPr>
          <w:b/>
          <w:color w:val="auto"/>
        </w:rPr>
        <w:t>Assessment of tumour‐associated necrosis provides prognostic information additional to World Health Organization/International Society of Urological Pathology grading for clear cell renal cell carcinoma</w:t>
      </w:r>
      <w:r>
        <w:rPr>
          <w:color w:val="auto"/>
        </w:rPr>
        <w:t xml:space="preserve">. </w:t>
      </w:r>
      <w:r>
        <w:rPr>
          <w:i/>
          <w:color w:val="auto"/>
        </w:rPr>
        <w:t xml:space="preserve">Histopathology </w:t>
      </w:r>
      <w:r>
        <w:rPr>
          <w:color w:val="auto"/>
        </w:rPr>
        <w:t xml:space="preserve">2019, </w:t>
      </w:r>
      <w:r>
        <w:rPr>
          <w:b/>
          <w:color w:val="auto"/>
        </w:rPr>
        <w:t>74</w:t>
      </w:r>
      <w:r>
        <w:rPr>
          <w:color w:val="auto"/>
        </w:rPr>
        <w:t>(2):284-290.</w:t>
      </w:r>
    </w:p>
    <w:p w14:paraId="65A4938C">
      <w:pPr>
        <w:pStyle w:val="20"/>
        <w:ind w:left="720" w:hanging="720"/>
        <w:rPr>
          <w:color w:val="auto"/>
        </w:rPr>
      </w:pPr>
      <w:r>
        <w:rPr>
          <w:color w:val="auto"/>
        </w:rPr>
        <w:t>5.</w:t>
      </w:r>
      <w:r>
        <w:rPr>
          <w:color w:val="auto"/>
        </w:rPr>
        <w:tab/>
      </w:r>
      <w:r>
        <w:rPr>
          <w:color w:val="auto"/>
        </w:rPr>
        <w:t xml:space="preserve">Simonyan K, Zisserman A: </w:t>
      </w:r>
      <w:r>
        <w:rPr>
          <w:b/>
          <w:color w:val="auto"/>
        </w:rPr>
        <w:t>Very deep convolutional networks for large-scale image recognition</w:t>
      </w:r>
      <w:r>
        <w:rPr>
          <w:color w:val="auto"/>
        </w:rPr>
        <w:t xml:space="preserve">. </w:t>
      </w:r>
      <w:r>
        <w:rPr>
          <w:i/>
          <w:color w:val="auto"/>
        </w:rPr>
        <w:t xml:space="preserve">arXiv preprint arXiv:14091556 </w:t>
      </w:r>
      <w:r>
        <w:rPr>
          <w:color w:val="auto"/>
        </w:rPr>
        <w:t>2014.</w:t>
      </w:r>
    </w:p>
    <w:p w14:paraId="56675010">
      <w:pPr>
        <w:rPr>
          <w:color w:val="auto"/>
        </w:rPr>
      </w:pPr>
      <w:r>
        <w:rPr>
          <w:color w:val="auto"/>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I3NbA0NjY2MrQwNTJW0lEKTi0uzszPAykwNKsFAPilKuItAAAA"/>
    <w:docVar w:name="EN.InstantFormat" w:val="&lt;ENInstantFormat&gt;&lt;Enabled&gt;1&lt;/Enabled&gt;&lt;ScanUnformatted&gt;1&lt;/ScanUnformatted&gt;&lt;ScanChanges&gt;1&lt;/ScanChanges&gt;&lt;Suspended&gt;0&lt;/Suspended&gt;&lt;/ENInstantFormat&gt;"/>
    <w:docVar w:name="EN.Layout" w:val="&lt;ENLayout&gt;&lt;Style&gt;Breast Cancer Researc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rrpt5vaxp2dpe9tvjxxtdfw20220ar55sz&quot;&gt;breast cancer research&lt;record-ids&gt;&lt;item&gt;39&lt;/item&gt;&lt;item&gt;40&lt;/item&gt;&lt;item&gt;41&lt;/item&gt;&lt;item&gt;42&lt;/item&gt;&lt;item&gt;55&lt;/item&gt;&lt;/record-ids&gt;&lt;/item&gt;&lt;/Libraries&gt;"/>
  </w:docVars>
  <w:rsids>
    <w:rsidRoot w:val="00767F19"/>
    <w:rsid w:val="00044BC8"/>
    <w:rsid w:val="000A134F"/>
    <w:rsid w:val="001233D7"/>
    <w:rsid w:val="001533EE"/>
    <w:rsid w:val="00223F82"/>
    <w:rsid w:val="002333E2"/>
    <w:rsid w:val="00302851"/>
    <w:rsid w:val="00304673"/>
    <w:rsid w:val="00324285"/>
    <w:rsid w:val="00353A32"/>
    <w:rsid w:val="003B5EEE"/>
    <w:rsid w:val="003D2EC8"/>
    <w:rsid w:val="00425846"/>
    <w:rsid w:val="00463BC3"/>
    <w:rsid w:val="00493491"/>
    <w:rsid w:val="004C1F42"/>
    <w:rsid w:val="004D5F1E"/>
    <w:rsid w:val="004E5D7F"/>
    <w:rsid w:val="005550C9"/>
    <w:rsid w:val="005629CD"/>
    <w:rsid w:val="005648E9"/>
    <w:rsid w:val="00570156"/>
    <w:rsid w:val="00624EC8"/>
    <w:rsid w:val="00647F19"/>
    <w:rsid w:val="006874D3"/>
    <w:rsid w:val="006A5EB8"/>
    <w:rsid w:val="006B121A"/>
    <w:rsid w:val="006B4A4F"/>
    <w:rsid w:val="006F4229"/>
    <w:rsid w:val="006F470B"/>
    <w:rsid w:val="00710A99"/>
    <w:rsid w:val="007459E5"/>
    <w:rsid w:val="00763E3F"/>
    <w:rsid w:val="00767F19"/>
    <w:rsid w:val="00776C59"/>
    <w:rsid w:val="007A5346"/>
    <w:rsid w:val="007B3171"/>
    <w:rsid w:val="007B3303"/>
    <w:rsid w:val="007F1194"/>
    <w:rsid w:val="00827C3F"/>
    <w:rsid w:val="008548FE"/>
    <w:rsid w:val="00886E2C"/>
    <w:rsid w:val="008E2059"/>
    <w:rsid w:val="0090122A"/>
    <w:rsid w:val="009116C5"/>
    <w:rsid w:val="00930233"/>
    <w:rsid w:val="009506AA"/>
    <w:rsid w:val="009B15F4"/>
    <w:rsid w:val="009C09A0"/>
    <w:rsid w:val="009D3871"/>
    <w:rsid w:val="00A218D3"/>
    <w:rsid w:val="00A260DA"/>
    <w:rsid w:val="00A56EB2"/>
    <w:rsid w:val="00A80B64"/>
    <w:rsid w:val="00AA6526"/>
    <w:rsid w:val="00AB2DBA"/>
    <w:rsid w:val="00AD0843"/>
    <w:rsid w:val="00B50C1B"/>
    <w:rsid w:val="00B715FC"/>
    <w:rsid w:val="00C46056"/>
    <w:rsid w:val="00C55D45"/>
    <w:rsid w:val="00C86519"/>
    <w:rsid w:val="00DE4CA3"/>
    <w:rsid w:val="00DE6854"/>
    <w:rsid w:val="00EA44AF"/>
    <w:rsid w:val="00EC3633"/>
    <w:rsid w:val="00F13C0F"/>
    <w:rsid w:val="00F24373"/>
    <w:rsid w:val="00F31374"/>
    <w:rsid w:val="00F53C1B"/>
    <w:rsid w:val="00F87DD3"/>
    <w:rsid w:val="00FA15D2"/>
    <w:rsid w:val="00FB1CB1"/>
    <w:rsid w:val="00FE77D8"/>
    <w:rsid w:val="00FF3C73"/>
    <w:rsid w:val="0E673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rFonts w:ascii="Times New Roman" w:hAnsi="Times New Roman" w:eastAsiaTheme="majorEastAsia"/>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rFonts w:ascii="Times New Roman" w:hAnsi="Times New Roman" w:eastAsiaTheme="majorEastAsia"/>
      <w:sz w:val="18"/>
      <w:szCs w:val="18"/>
    </w:rPr>
  </w:style>
  <w:style w:type="paragraph" w:styleId="4">
    <w:name w:val="HTML Preformatted"/>
    <w:basedOn w:val="1"/>
    <w:link w:val="15"/>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link w:val="27"/>
    <w:uiPriority w:val="99"/>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3"/>
    <w:uiPriority w:val="99"/>
    <w:rPr>
      <w:rFonts w:ascii="Times New Roman" w:hAnsi="Times New Roman" w:eastAsiaTheme="majorEastAsia"/>
      <w:sz w:val="18"/>
      <w:szCs w:val="18"/>
    </w:rPr>
  </w:style>
  <w:style w:type="character" w:customStyle="1" w:styleId="10">
    <w:name w:val="页脚 字符"/>
    <w:basedOn w:val="8"/>
    <w:link w:val="2"/>
    <w:uiPriority w:val="99"/>
    <w:rPr>
      <w:rFonts w:ascii="Times New Roman" w:hAnsi="Times New Roman" w:eastAsiaTheme="majorEastAsia"/>
      <w:sz w:val="18"/>
      <w:szCs w:val="18"/>
    </w:rPr>
  </w:style>
  <w:style w:type="paragraph" w:customStyle="1" w:styleId="11">
    <w:name w:val="原文"/>
    <w:basedOn w:val="1"/>
    <w:link w:val="12"/>
    <w:autoRedefine/>
    <w:qFormat/>
    <w:uiPriority w:val="0"/>
    <w:pPr>
      <w:ind w:firstLine="420"/>
    </w:pPr>
    <w:rPr>
      <w:rFonts w:ascii="Times New Roman" w:hAnsi="Times New Roman" w:eastAsia="宋体"/>
      <w:szCs w:val="21"/>
    </w:rPr>
  </w:style>
  <w:style w:type="character" w:customStyle="1" w:styleId="12">
    <w:name w:val="原文 字符"/>
    <w:basedOn w:val="8"/>
    <w:link w:val="11"/>
    <w:qFormat/>
    <w:uiPriority w:val="0"/>
    <w:rPr>
      <w:rFonts w:ascii="Times New Roman" w:hAnsi="Times New Roman" w:eastAsia="宋体"/>
      <w:szCs w:val="21"/>
    </w:rPr>
  </w:style>
  <w:style w:type="paragraph" w:customStyle="1" w:styleId="13">
    <w:name w:val="图例"/>
    <w:basedOn w:val="1"/>
    <w:link w:val="14"/>
    <w:qFormat/>
    <w:uiPriority w:val="0"/>
    <w:rPr>
      <w:rFonts w:ascii="Times New Roman" w:hAnsi="Times New Roman" w:eastAsia="宋体"/>
      <w:sz w:val="18"/>
    </w:rPr>
  </w:style>
  <w:style w:type="character" w:customStyle="1" w:styleId="14">
    <w:name w:val="图例 字符"/>
    <w:basedOn w:val="8"/>
    <w:link w:val="13"/>
    <w:qFormat/>
    <w:uiPriority w:val="0"/>
    <w:rPr>
      <w:rFonts w:ascii="Times New Roman" w:hAnsi="Times New Roman" w:eastAsia="宋体"/>
      <w:sz w:val="18"/>
    </w:rPr>
  </w:style>
  <w:style w:type="character" w:customStyle="1" w:styleId="15">
    <w:name w:val="HTML 预设格式 字符"/>
    <w:basedOn w:val="8"/>
    <w:link w:val="4"/>
    <w:uiPriority w:val="99"/>
    <w:rPr>
      <w:rFonts w:ascii="宋体" w:hAnsi="宋体" w:eastAsia="宋体" w:cs="宋体"/>
      <w:kern w:val="0"/>
      <w:sz w:val="24"/>
      <w:szCs w:val="24"/>
    </w:rPr>
  </w:style>
  <w:style w:type="paragraph" w:customStyle="1" w:styleId="16">
    <w:name w:val="四级标题"/>
    <w:basedOn w:val="1"/>
    <w:link w:val="17"/>
    <w:qFormat/>
    <w:uiPriority w:val="0"/>
    <w:pPr>
      <w:spacing w:before="25" w:beforeLines="25" w:after="25" w:afterLines="25"/>
    </w:pPr>
    <w:rPr>
      <w:rFonts w:ascii="Times New Roman" w:hAnsi="Times New Roman" w:eastAsia="宋体"/>
      <w:b/>
      <w:sz w:val="24"/>
    </w:rPr>
  </w:style>
  <w:style w:type="character" w:customStyle="1" w:styleId="17">
    <w:name w:val="四级标题 字符"/>
    <w:basedOn w:val="8"/>
    <w:link w:val="16"/>
    <w:qFormat/>
    <w:uiPriority w:val="0"/>
    <w:rPr>
      <w:rFonts w:ascii="Times New Roman" w:hAnsi="Times New Roman" w:eastAsia="宋体"/>
      <w:b/>
      <w:sz w:val="24"/>
    </w:rPr>
  </w:style>
  <w:style w:type="paragraph" w:customStyle="1" w:styleId="18">
    <w:name w:val="EndNote Bibliography Title"/>
    <w:basedOn w:val="1"/>
    <w:link w:val="19"/>
    <w:uiPriority w:val="0"/>
    <w:pPr>
      <w:jc w:val="center"/>
    </w:pPr>
    <w:rPr>
      <w:rFonts w:ascii="等线" w:hAnsi="等线" w:eastAsia="等线"/>
      <w:sz w:val="20"/>
    </w:rPr>
  </w:style>
  <w:style w:type="character" w:customStyle="1" w:styleId="19">
    <w:name w:val="EndNote Bibliography Title 字符"/>
    <w:basedOn w:val="12"/>
    <w:link w:val="18"/>
    <w:uiPriority w:val="0"/>
    <w:rPr>
      <w:rFonts w:ascii="等线" w:hAnsi="等线" w:eastAsia="等线"/>
      <w:sz w:val="20"/>
      <w:szCs w:val="21"/>
    </w:rPr>
  </w:style>
  <w:style w:type="paragraph" w:customStyle="1" w:styleId="20">
    <w:name w:val="EndNote Bibliography"/>
    <w:basedOn w:val="1"/>
    <w:link w:val="21"/>
    <w:uiPriority w:val="0"/>
    <w:rPr>
      <w:rFonts w:ascii="等线" w:hAnsi="等线" w:eastAsia="等线"/>
      <w:sz w:val="20"/>
    </w:rPr>
  </w:style>
  <w:style w:type="character" w:customStyle="1" w:styleId="21">
    <w:name w:val="EndNote Bibliography 字符"/>
    <w:basedOn w:val="12"/>
    <w:link w:val="20"/>
    <w:uiPriority w:val="0"/>
    <w:rPr>
      <w:rFonts w:ascii="等线" w:hAnsi="等线" w:eastAsia="等线"/>
      <w:sz w:val="20"/>
      <w:szCs w:val="21"/>
    </w:rPr>
  </w:style>
  <w:style w:type="paragraph" w:customStyle="1" w:styleId="22">
    <w:name w:val="三级标题"/>
    <w:basedOn w:val="23"/>
    <w:link w:val="24"/>
    <w:qFormat/>
    <w:uiPriority w:val="0"/>
    <w:pPr>
      <w:spacing w:before="25" w:beforeLines="25" w:after="25" w:afterLines="25"/>
    </w:pPr>
    <w:rPr>
      <w:rFonts w:ascii="Times New Roman" w:hAnsi="Times New Roman" w:eastAsia="宋体"/>
      <w:b/>
      <w:sz w:val="24"/>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三级标题 字符"/>
    <w:basedOn w:val="8"/>
    <w:link w:val="22"/>
    <w:qFormat/>
    <w:uiPriority w:val="0"/>
    <w:rPr>
      <w:rFonts w:ascii="Times New Roman" w:hAnsi="Times New Roman" w:eastAsia="宋体"/>
      <w:b/>
      <w:sz w:val="24"/>
    </w:rPr>
  </w:style>
  <w:style w:type="paragraph" w:customStyle="1" w:styleId="25">
    <w:name w:val="表格"/>
    <w:basedOn w:val="11"/>
    <w:link w:val="26"/>
    <w:qFormat/>
    <w:uiPriority w:val="0"/>
    <w:pPr>
      <w:ind w:firstLine="0"/>
    </w:pPr>
    <w:rPr>
      <w:rFonts w:eastAsia="Times New Roman" w:cs="Times New Roman"/>
      <w:sz w:val="24"/>
      <w:shd w:val="clear" w:color="auto" w:fill="FFFFFF"/>
    </w:rPr>
  </w:style>
  <w:style w:type="character" w:customStyle="1" w:styleId="26">
    <w:name w:val="表格 字符"/>
    <w:basedOn w:val="12"/>
    <w:link w:val="25"/>
    <w:qFormat/>
    <w:uiPriority w:val="0"/>
    <w:rPr>
      <w:rFonts w:ascii="Times New Roman" w:hAnsi="Times New Roman" w:eastAsia="Times New Roman" w:cs="Times New Roman"/>
      <w:sz w:val="24"/>
      <w:szCs w:val="21"/>
    </w:rPr>
  </w:style>
  <w:style w:type="character" w:customStyle="1" w:styleId="27">
    <w:name w:val="普通(网站) 字符"/>
    <w:basedOn w:val="8"/>
    <w:link w:val="5"/>
    <w:uiPriority w:val="0"/>
    <w:rPr>
      <w:rFonts w:ascii="Calibri" w:hAnsi="Calibri" w:eastAsia="宋体" w:cs="Times New Roman"/>
      <w:kern w:val="0"/>
      <w:sz w:val="24"/>
      <w:szCs w:val="24"/>
    </w:rPr>
  </w:style>
  <w:style w:type="character" w:styleId="28">
    <w:name w:val="Placeholder Text"/>
    <w:basedOn w:val="8"/>
    <w:semiHidden/>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1695</Words>
  <Characters>8552</Characters>
  <Lines>116</Lines>
  <Paragraphs>32</Paragraphs>
  <TotalTime>129</TotalTime>
  <ScaleCrop>false</ScaleCrop>
  <LinksUpToDate>false</LinksUpToDate>
  <CharactersWithSpaces>9734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2024-06-13T11:15:00Z</dcterms:created>
  <dc:creator>wensheng cui</dc:creator>
  <cp:lastModifiedBy>紫微</cp:lastModifiedBy>
  <dcterms:modified xsi:type="dcterms:W3CDTF">2025-03-20T02:17:54Z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eyJoZGlkIjoiYWQ3N2MxMmExZWI3ZmFlM2I0MjhiYjFjNjY4ZjRiN2UiLCJ1c2VySWQiOiIxMDAwMTI4MTAyIn0=</vt:lpwstr>
  </property>
  <property fmtid="{D5CDD505-2E9C-101B-9397-08002B2CF9AE}" pid="3" name="KSOProductBuildVer">
    <vt:lpwstr>2052-12.1.0.20305</vt:lpwstr>
  </property>
  <property fmtid="{D5CDD505-2E9C-101B-9397-08002B2CF9AE}" pid="4" name="ICV">
    <vt:lpwstr>947BD936293847C69FFBA3A12813D81C_12</vt:lpwstr>
  </property>
</Properties>
</file>