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37826" w14:textId="77777777" w:rsidR="003A4D42" w:rsidRDefault="003A4D42" w:rsidP="003A4D42">
      <w:pPr>
        <w:spacing w:before="0" w:after="0" w:line="360" w:lineRule="auto"/>
        <w:rPr>
          <w:rFonts w:eastAsia="SimSun" w:cs="Arial"/>
          <w:b/>
          <w:bCs/>
          <w:szCs w:val="24"/>
          <w:lang w:eastAsia="zh-CN"/>
        </w:rPr>
      </w:pPr>
      <w:r>
        <w:rPr>
          <w:rFonts w:eastAsia="SimSun" w:cs="Arial"/>
          <w:b/>
          <w:bCs/>
          <w:szCs w:val="24"/>
          <w:lang w:eastAsia="zh-CN"/>
        </w:rPr>
        <w:t>Supplementary material</w:t>
      </w:r>
    </w:p>
    <w:p w14:paraId="40755360" w14:textId="77777777" w:rsidR="003A4D42" w:rsidRDefault="003A4D42" w:rsidP="003A4D42">
      <w:pPr>
        <w:spacing w:before="0" w:after="0" w:line="360" w:lineRule="auto"/>
        <w:rPr>
          <w:rFonts w:eastAsia="SimSun" w:cs="Arial"/>
          <w:szCs w:val="24"/>
          <w:lang w:eastAsia="zh-CN"/>
        </w:rPr>
      </w:pPr>
      <w:r>
        <w:rPr>
          <w:rFonts w:eastAsia="SimSun" w:cs="Arial"/>
          <w:b/>
          <w:bCs/>
          <w:szCs w:val="24"/>
          <w:lang w:eastAsia="zh-CN"/>
        </w:rPr>
        <w:t>Fig. S1</w:t>
      </w:r>
      <w:r>
        <w:rPr>
          <w:rFonts w:eastAsia="SimSun" w:cs="Arial"/>
          <w:szCs w:val="24"/>
          <w:lang w:eastAsia="zh-CN"/>
        </w:rPr>
        <w:t xml:space="preserve"> Receiver Operating Characteristic (ROC) analysis of 13 hub genes</w:t>
      </w:r>
    </w:p>
    <w:p w14:paraId="700C503B" w14:textId="77777777" w:rsidR="003A4D42" w:rsidRDefault="003A4D42" w:rsidP="003A4D42">
      <w:pPr>
        <w:spacing w:before="0" w:after="0" w:line="360" w:lineRule="auto"/>
        <w:jc w:val="both"/>
        <w:rPr>
          <w:rFonts w:cs="Arial"/>
          <w:szCs w:val="24"/>
        </w:rPr>
      </w:pPr>
      <w:r>
        <w:rPr>
          <w:rFonts w:cs="Arial"/>
          <w:b/>
          <w:bCs/>
          <w:szCs w:val="24"/>
        </w:rPr>
        <w:t>Fig. S2</w:t>
      </w:r>
      <w:r>
        <w:rPr>
          <w:rFonts w:cs="Arial"/>
          <w:szCs w:val="24"/>
        </w:rPr>
        <w:t xml:space="preserve"> Gene set enrichment analysis (GSEA) of six biomarkers. KEGG enriched pathways of ARMC4 </w:t>
      </w:r>
      <w:r>
        <w:rPr>
          <w:rFonts w:cs="Arial"/>
          <w:b/>
          <w:bCs/>
          <w:szCs w:val="24"/>
        </w:rPr>
        <w:t>(a)</w:t>
      </w:r>
      <w:r>
        <w:rPr>
          <w:rFonts w:cs="Arial"/>
          <w:szCs w:val="24"/>
        </w:rPr>
        <w:t xml:space="preserve"> DNAH5</w:t>
      </w:r>
      <w:r>
        <w:rPr>
          <w:rFonts w:cs="Arial"/>
          <w:b/>
          <w:bCs/>
          <w:szCs w:val="24"/>
        </w:rPr>
        <w:t xml:space="preserve"> (b)</w:t>
      </w:r>
      <w:r>
        <w:rPr>
          <w:rFonts w:cs="Arial"/>
          <w:szCs w:val="24"/>
        </w:rPr>
        <w:t xml:space="preserve"> DNAI2 </w:t>
      </w:r>
      <w:r>
        <w:rPr>
          <w:rFonts w:cs="Arial"/>
          <w:b/>
          <w:bCs/>
          <w:szCs w:val="24"/>
        </w:rPr>
        <w:t>(c)</w:t>
      </w:r>
      <w:r>
        <w:rPr>
          <w:rFonts w:cs="Arial"/>
          <w:szCs w:val="24"/>
        </w:rPr>
        <w:t xml:space="preserve"> DNALI1 </w:t>
      </w:r>
      <w:r>
        <w:rPr>
          <w:rFonts w:cs="Arial"/>
          <w:b/>
          <w:bCs/>
          <w:szCs w:val="24"/>
        </w:rPr>
        <w:t>(d)</w:t>
      </w:r>
      <w:r>
        <w:rPr>
          <w:rFonts w:cs="Arial"/>
          <w:szCs w:val="24"/>
        </w:rPr>
        <w:t xml:space="preserve"> LRRC6 </w:t>
      </w:r>
      <w:r>
        <w:rPr>
          <w:rFonts w:cs="Arial"/>
          <w:b/>
          <w:bCs/>
          <w:szCs w:val="24"/>
        </w:rPr>
        <w:t>(e)</w:t>
      </w:r>
      <w:r>
        <w:rPr>
          <w:rFonts w:cs="Arial"/>
          <w:szCs w:val="24"/>
        </w:rPr>
        <w:t xml:space="preserve"> ZMYND10 </w:t>
      </w:r>
      <w:r>
        <w:rPr>
          <w:rFonts w:cs="Arial"/>
          <w:b/>
          <w:bCs/>
          <w:szCs w:val="24"/>
        </w:rPr>
        <w:t>(f)</w:t>
      </w:r>
    </w:p>
    <w:p w14:paraId="236ED6C7" w14:textId="77777777" w:rsidR="003A4D42" w:rsidRDefault="003A4D42" w:rsidP="003A4D42">
      <w:pPr>
        <w:spacing w:before="0" w:after="0" w:line="360" w:lineRule="auto"/>
        <w:jc w:val="both"/>
        <w:rPr>
          <w:rFonts w:cs="Arial"/>
          <w:szCs w:val="24"/>
        </w:rPr>
      </w:pPr>
      <w:r>
        <w:rPr>
          <w:rFonts w:cs="Arial"/>
          <w:b/>
          <w:bCs/>
          <w:szCs w:val="24"/>
        </w:rPr>
        <w:t>Fig. S3</w:t>
      </w:r>
      <w:r>
        <w:rPr>
          <w:rFonts w:cs="Arial"/>
          <w:szCs w:val="24"/>
        </w:rPr>
        <w:t xml:space="preserve"> Prediction of the potential drug-biomarker network</w:t>
      </w:r>
    </w:p>
    <w:p w14:paraId="6E326722" w14:textId="77777777" w:rsidR="003A4D42" w:rsidRDefault="003A4D42" w:rsidP="003A4D42">
      <w:pPr>
        <w:spacing w:before="0" w:after="0" w:line="360" w:lineRule="auto"/>
        <w:jc w:val="both"/>
        <w:rPr>
          <w:rFonts w:cs="Arial"/>
          <w:szCs w:val="24"/>
        </w:rPr>
      </w:pPr>
      <w:r>
        <w:rPr>
          <w:rFonts w:cs="Arial"/>
          <w:b/>
          <w:bCs/>
          <w:szCs w:val="24"/>
        </w:rPr>
        <w:t>Fig. S4</w:t>
      </w:r>
      <w:r>
        <w:rPr>
          <w:rFonts w:cs="Arial"/>
          <w:szCs w:val="24"/>
        </w:rPr>
        <w:t xml:space="preserve"> The relationship of biomarkers and other eight otolaryngology diseases based on the Comparative Toxicogenomics Database (CTD)</w:t>
      </w:r>
    </w:p>
    <w:p w14:paraId="1EAB7133" w14:textId="77777777" w:rsidR="003A4D42" w:rsidRDefault="003A4D42" w:rsidP="003A4D42">
      <w:pPr>
        <w:spacing w:before="0" w:after="0" w:line="360" w:lineRule="auto"/>
        <w:jc w:val="both"/>
        <w:rPr>
          <w:rFonts w:eastAsia="SimSun" w:cs="Arial"/>
          <w:b/>
          <w:bCs/>
          <w:szCs w:val="24"/>
          <w:lang w:eastAsia="zh-CN"/>
        </w:rPr>
      </w:pPr>
      <w:r>
        <w:rPr>
          <w:rFonts w:cs="Arial"/>
          <w:b/>
          <w:bCs/>
          <w:szCs w:val="24"/>
        </w:rPr>
        <w:t>Fig. S</w:t>
      </w:r>
      <w:r>
        <w:rPr>
          <w:rFonts w:eastAsia="SimSun" w:cs="Arial" w:hint="eastAsia"/>
          <w:b/>
          <w:bCs/>
          <w:szCs w:val="24"/>
          <w:lang w:eastAsia="zh-CN"/>
        </w:rPr>
        <w:t xml:space="preserve">5 </w:t>
      </w:r>
      <w:r>
        <w:rPr>
          <w:rFonts w:eastAsia="SimSun" w:cs="Arial" w:hint="eastAsia"/>
          <w:szCs w:val="24"/>
          <w:lang w:eastAsia="zh-CN"/>
        </w:rPr>
        <w:t>The correlation analysis between biomarkers and immune checkpoints</w:t>
      </w:r>
    </w:p>
    <w:p w14:paraId="32227018" w14:textId="77777777" w:rsidR="003A4D42" w:rsidRDefault="003A4D42" w:rsidP="003A4D42">
      <w:pPr>
        <w:spacing w:before="0" w:after="0" w:line="360" w:lineRule="auto"/>
        <w:jc w:val="both"/>
        <w:rPr>
          <w:rFonts w:eastAsia="SimSun" w:cs="Arial"/>
          <w:b/>
          <w:bCs/>
          <w:szCs w:val="24"/>
          <w:lang w:eastAsia="zh-CN"/>
        </w:rPr>
      </w:pPr>
      <w:r>
        <w:rPr>
          <w:rFonts w:cs="Arial"/>
          <w:b/>
          <w:bCs/>
          <w:szCs w:val="24"/>
        </w:rPr>
        <w:t>Fig. S</w:t>
      </w:r>
      <w:r>
        <w:rPr>
          <w:rFonts w:eastAsia="SimSun" w:cs="Arial" w:hint="eastAsia"/>
          <w:b/>
          <w:bCs/>
          <w:szCs w:val="24"/>
          <w:lang w:eastAsia="zh-CN"/>
        </w:rPr>
        <w:t xml:space="preserve">6 </w:t>
      </w:r>
      <w:r>
        <w:rPr>
          <w:rFonts w:eastAsia="SimSun" w:cs="Arial" w:hint="eastAsia"/>
          <w:szCs w:val="24"/>
          <w:lang w:eastAsia="zh-CN"/>
        </w:rPr>
        <w:t>The KM curve analysis of biomarkers</w:t>
      </w:r>
    </w:p>
    <w:p w14:paraId="6E3315E4" w14:textId="77777777" w:rsidR="003A4D42" w:rsidRDefault="003A4D42" w:rsidP="003A4D42">
      <w:pPr>
        <w:spacing w:before="0" w:after="0" w:line="360" w:lineRule="auto"/>
        <w:jc w:val="both"/>
        <w:rPr>
          <w:rFonts w:cs="Arial"/>
          <w:szCs w:val="24"/>
        </w:rPr>
      </w:pPr>
      <w:r>
        <w:rPr>
          <w:rFonts w:cs="Arial"/>
          <w:b/>
          <w:bCs/>
          <w:szCs w:val="24"/>
        </w:rPr>
        <w:t>Table S1</w:t>
      </w:r>
      <w:r>
        <w:rPr>
          <w:rFonts w:cs="Arial"/>
          <w:szCs w:val="24"/>
        </w:rPr>
        <w:t xml:space="preserve"> Identification of key differentially expressed genes (DEGs) between NPC and normal samples</w:t>
      </w:r>
    </w:p>
    <w:p w14:paraId="38DBCF7A" w14:textId="77777777" w:rsidR="003A4D42" w:rsidRDefault="003A4D42" w:rsidP="003A4D42">
      <w:pPr>
        <w:spacing w:before="0" w:after="0" w:line="360" w:lineRule="auto"/>
        <w:jc w:val="both"/>
        <w:rPr>
          <w:rFonts w:cs="Arial"/>
          <w:szCs w:val="24"/>
        </w:rPr>
      </w:pPr>
      <w:r>
        <w:rPr>
          <w:rFonts w:cs="Arial"/>
          <w:b/>
          <w:bCs/>
          <w:szCs w:val="24"/>
        </w:rPr>
        <w:t>Table S2</w:t>
      </w:r>
      <w:r>
        <w:rPr>
          <w:rFonts w:cs="Arial"/>
          <w:szCs w:val="24"/>
        </w:rPr>
        <w:t xml:space="preserve"> Detailed information in the Protein-protein interaction (PPI) network</w:t>
      </w:r>
    </w:p>
    <w:p w14:paraId="63B35AB4" w14:textId="77777777" w:rsidR="003A4D42" w:rsidRDefault="003A4D42" w:rsidP="003A4D42">
      <w:pPr>
        <w:spacing w:before="0" w:after="0" w:line="360" w:lineRule="auto"/>
        <w:jc w:val="both"/>
        <w:rPr>
          <w:rFonts w:cs="Arial"/>
          <w:szCs w:val="24"/>
        </w:rPr>
      </w:pPr>
      <w:r>
        <w:rPr>
          <w:rFonts w:cs="Arial"/>
          <w:b/>
          <w:bCs/>
          <w:szCs w:val="24"/>
        </w:rPr>
        <w:t>Table S3</w:t>
      </w:r>
      <w:r>
        <w:rPr>
          <w:rFonts w:cs="Arial"/>
          <w:szCs w:val="24"/>
        </w:rPr>
        <w:t xml:space="preserve"> Area under the Receiver Operating Characteristic (ROC) curve values of 13 hub genes</w:t>
      </w:r>
    </w:p>
    <w:p w14:paraId="72AB8DFE" w14:textId="77777777" w:rsidR="003A4D42" w:rsidRDefault="003A4D42" w:rsidP="003A4D42">
      <w:pPr>
        <w:spacing w:before="0" w:after="0" w:line="360" w:lineRule="auto"/>
        <w:jc w:val="both"/>
        <w:rPr>
          <w:rFonts w:cs="Arial"/>
          <w:szCs w:val="24"/>
        </w:rPr>
      </w:pPr>
      <w:r>
        <w:rPr>
          <w:rFonts w:cs="Arial"/>
          <w:b/>
          <w:bCs/>
          <w:szCs w:val="24"/>
        </w:rPr>
        <w:t>Table S4</w:t>
      </w:r>
      <w:r>
        <w:rPr>
          <w:rFonts w:cs="Arial"/>
          <w:szCs w:val="24"/>
        </w:rPr>
        <w:t xml:space="preserve"> The potential target compounds for six biomarkers</w:t>
      </w:r>
    </w:p>
    <w:p w14:paraId="3A734AFA" w14:textId="77777777" w:rsidR="003A4D42" w:rsidRDefault="003A4D42" w:rsidP="003A4D42">
      <w:pPr>
        <w:spacing w:before="0" w:after="0" w:line="360" w:lineRule="auto"/>
        <w:jc w:val="both"/>
        <w:rPr>
          <w:rFonts w:cs="Arial"/>
          <w:szCs w:val="24"/>
        </w:rPr>
      </w:pPr>
      <w:r>
        <w:rPr>
          <w:rFonts w:cs="Arial"/>
          <w:b/>
          <w:bCs/>
          <w:szCs w:val="24"/>
        </w:rPr>
        <w:t>Table S5</w:t>
      </w:r>
      <w:r>
        <w:rPr>
          <w:rFonts w:cs="Arial"/>
          <w:szCs w:val="24"/>
        </w:rPr>
        <w:t xml:space="preserve"> The primer information used in Quantitative real time polymerase chain reaction (qRT-PCR)</w:t>
      </w:r>
    </w:p>
    <w:p w14:paraId="74101C7A" w14:textId="77777777" w:rsidR="003A4D42" w:rsidRDefault="003A4D42" w:rsidP="003A4D42">
      <w:pPr>
        <w:spacing w:before="0" w:after="0" w:line="360" w:lineRule="auto"/>
        <w:jc w:val="both"/>
        <w:rPr>
          <w:rFonts w:cs="Arial"/>
          <w:szCs w:val="24"/>
        </w:rPr>
      </w:pPr>
    </w:p>
    <w:p w14:paraId="29217559" w14:textId="77777777" w:rsidR="003A4D42" w:rsidRDefault="003A4D42" w:rsidP="003A4D42">
      <w:pPr>
        <w:spacing w:before="0" w:after="0" w:line="360" w:lineRule="auto"/>
        <w:jc w:val="both"/>
        <w:rPr>
          <w:rFonts w:cs="Arial"/>
          <w:szCs w:val="24"/>
        </w:rPr>
      </w:pPr>
    </w:p>
    <w:p w14:paraId="10BB6B29" w14:textId="77777777" w:rsidR="0038214D" w:rsidRDefault="0038214D"/>
    <w:sectPr w:rsidR="0038214D" w:rsidSect="003A4D42">
      <w:footerReference w:type="even" r:id="rId4"/>
      <w:footerReference w:type="default" r:id="rId5"/>
      <w:headerReference w:type="first" r:id="rId6"/>
      <w:footerReference w:type="first" r:id="rId7"/>
      <w:pgSz w:w="12240" w:h="15840"/>
      <w:pgMar w:top="1138" w:right="1181" w:bottom="1138" w:left="1282" w:header="283" w:footer="510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A04DC" w14:textId="77777777" w:rsidR="00000000" w:rsidRDefault="00000000">
    <w:pPr>
      <w:pStyle w:val="Footer"/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DDEABAF" wp14:editId="426D449F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39FA915" w14:textId="77777777" w:rsidR="00000000" w:rsidRDefault="00000000">
                          <w:pPr>
                            <w:pStyle w:val="Heading7Cha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 w:val="22"/>
                              <w:szCs w:val="40"/>
                            </w:rPr>
                            <w:t>4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DEABA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118.8pt;height:31.15pt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" filled="f" stroked="f" strokeweight=".5pt">
              <v:textbox style="mso-fit-shape-to-text:t" inset="0,0,0,0">
                <w:txbxContent>
                  <w:p w14:paraId="039FA915" w14:textId="77777777" w:rsidR="00000000" w:rsidRDefault="00000000">
                    <w:pPr>
                      <w:pStyle w:val="Heading7Char"/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color w:val="000000" w:themeColor="text1"/>
                        <w:sz w:val="22"/>
                        <w:szCs w:val="40"/>
                      </w:rPr>
                      <w:t>4</w: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115EEF" w14:textId="77777777" w:rsidR="00000000" w:rsidRDefault="00000000">
    <w:pPr>
      <w:pStyle w:val="Footer"/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4EE5EC0" wp14:editId="77B5E78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A23783B" w14:textId="77777777" w:rsidR="00000000" w:rsidRDefault="00000000">
                          <w:pPr>
                            <w:pStyle w:val="Heading7Char"/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 w:val="22"/>
                              <w:szCs w:val="40"/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4EE5EC0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0;margin-top:0;width:118.8pt;height:31.1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" filled="f" stroked="f" strokeweight=".5pt">
              <v:textbox style="mso-fit-shape-to-text:t" inset="0,0,0,0">
                <w:txbxContent>
                  <w:p w14:paraId="1A23783B" w14:textId="77777777" w:rsidR="00000000" w:rsidRDefault="00000000">
                    <w:pPr>
                      <w:pStyle w:val="Heading7Char"/>
                      <w:jc w:val="right"/>
                      <w:rPr>
                        <w:color w:val="000000" w:themeColor="text1"/>
                        <w:szCs w:val="40"/>
                      </w:rPr>
                    </w:pPr>
                    <w:r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>
                      <w:rPr>
                        <w:color w:val="000000" w:themeColor="text1"/>
                        <w:sz w:val="22"/>
                        <w:szCs w:val="40"/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D160B9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88028F2" wp14:editId="07AF8BF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A1CBC4" w14:textId="77777777" w:rsidR="00000000" w:rsidRDefault="00000000">
                          <w:pPr>
                            <w:pStyle w:val="Heading7Cha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88028F2"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8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" filled="f" stroked="f" strokeweight=".5pt">
              <v:textbox style="mso-fit-shape-to-text:t" inset="0,0,0,0">
                <w:txbxContent>
                  <w:p w14:paraId="65A1CBC4" w14:textId="77777777" w:rsidR="00000000" w:rsidRDefault="00000000">
                    <w:pPr>
                      <w:pStyle w:val="Heading7Cha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C62D39" w14:textId="77777777" w:rsidR="00000000" w:rsidRDefault="00000000">
    <w:pPr>
      <w:pStyle w:val="Header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D42"/>
    <w:rsid w:val="00235F39"/>
    <w:rsid w:val="0038214D"/>
    <w:rsid w:val="003A4D42"/>
    <w:rsid w:val="008A1913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59B78"/>
  <w15:chartTrackingRefBased/>
  <w15:docId w15:val="{619948FF-9758-4E21-BBAE-1F84DCBB2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4D42"/>
    <w:pPr>
      <w:spacing w:before="120" w:after="240" w:line="240" w:lineRule="auto"/>
    </w:pPr>
    <w:rPr>
      <w:rFonts w:ascii="Times New Roman" w:hAnsi="Times New Roman"/>
      <w:kern w:val="0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4D4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4D4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4D42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4D42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4D42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4D42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4D42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4D42"/>
    <w:pPr>
      <w:keepNext/>
      <w:keepLines/>
      <w:spacing w:before="0"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4D42"/>
    <w:pPr>
      <w:keepNext/>
      <w:keepLines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4D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4D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4D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4D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4D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4D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4D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4D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4D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4D42"/>
    <w:pPr>
      <w:spacing w:before="0"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A4D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4D42"/>
    <w:pPr>
      <w:numPr>
        <w:ilvl w:val="1"/>
      </w:numPr>
      <w:spacing w:before="0"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A4D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A4D42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A4D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4D42"/>
    <w:pPr>
      <w:spacing w:before="0" w:after="160" w:line="278" w:lineRule="auto"/>
      <w:ind w:left="720"/>
      <w:contextualSpacing/>
    </w:pPr>
    <w:rPr>
      <w:rFonts w:asciiTheme="minorHAnsi" w:hAnsiTheme="minorHAns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A4D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4D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4D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4D4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3A4D42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qFormat/>
    <w:rsid w:val="003A4D42"/>
    <w:rPr>
      <w:rFonts w:ascii="Times New Roman" w:hAnsi="Times New Roman"/>
      <w:kern w:val="0"/>
      <w:szCs w:val="22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3A4D42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qFormat/>
    <w:rsid w:val="003A4D42"/>
    <w:rPr>
      <w:rFonts w:ascii="Times New Roman" w:hAnsi="Times New Roman"/>
      <w:b/>
      <w:kern w:val="0"/>
      <w:szCs w:val="22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3A4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845</Characters>
  <Application>Microsoft Office Word</Application>
  <DocSecurity>0</DocSecurity>
  <Lines>7</Lines>
  <Paragraphs>1</Paragraphs>
  <ScaleCrop>false</ScaleCrop>
  <Company>Springer Nature</Company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2025-04-11T16:38:00Z</dcterms:created>
  <dcterms:modified xsi:type="dcterms:W3CDTF">2025-04-11T16:38:00Z</dcterms:modified>
</cp:coreProperties>
</file>