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54C097" w14:textId="77777777" w:rsidR="00F572D4" w:rsidRDefault="00F572D4" w:rsidP="00F572D4">
      <w:pPr>
        <w:pStyle w:val="Paragraph"/>
        <w:spacing w:line="480" w:lineRule="auto"/>
        <w:ind w:firstLine="0"/>
        <w:rPr>
          <w:rFonts w:eastAsiaTheme="minorEastAsia"/>
          <w:b/>
          <w:bCs/>
          <w:lang w:eastAsia="ko-KR"/>
        </w:rPr>
      </w:pPr>
      <w:r>
        <w:rPr>
          <w:rFonts w:eastAsiaTheme="minorEastAsia" w:hint="eastAsia"/>
          <w:b/>
          <w:bCs/>
          <w:lang w:eastAsia="ko-KR"/>
        </w:rPr>
        <w:t>S</w:t>
      </w:r>
      <w:r>
        <w:rPr>
          <w:rFonts w:eastAsiaTheme="minorEastAsia"/>
          <w:b/>
          <w:bCs/>
          <w:lang w:eastAsia="ko-KR"/>
        </w:rPr>
        <w:t>upplementary Methods</w:t>
      </w:r>
    </w:p>
    <w:p w14:paraId="066D2D36" w14:textId="77777777" w:rsidR="00F572D4" w:rsidRDefault="00F572D4" w:rsidP="00F572D4">
      <w:pPr>
        <w:rPr>
          <w:b/>
          <w:color w:val="000000" w:themeColor="text1"/>
          <w:szCs w:val="24"/>
        </w:rPr>
      </w:pPr>
    </w:p>
    <w:p w14:paraId="256C279E" w14:textId="77777777" w:rsidR="00F572D4" w:rsidRPr="00994267" w:rsidRDefault="00F572D4" w:rsidP="00F572D4">
      <w:pPr>
        <w:rPr>
          <w:b/>
          <w:color w:val="000000" w:themeColor="text1"/>
          <w:szCs w:val="24"/>
        </w:rPr>
      </w:pPr>
      <w:r w:rsidRPr="00994267">
        <w:rPr>
          <w:b/>
          <w:color w:val="000000" w:themeColor="text1"/>
          <w:szCs w:val="24"/>
        </w:rPr>
        <w:t>Cell culture</w:t>
      </w:r>
    </w:p>
    <w:p w14:paraId="41389850" w14:textId="77777777" w:rsidR="00F572D4" w:rsidRPr="00994267" w:rsidRDefault="00F572D4" w:rsidP="00F572D4">
      <w:pPr>
        <w:ind w:firstLine="720"/>
        <w:rPr>
          <w:color w:val="000000" w:themeColor="text1"/>
          <w:szCs w:val="24"/>
        </w:rPr>
      </w:pPr>
      <w:r w:rsidRPr="00994267">
        <w:rPr>
          <w:color w:val="000000" w:themeColor="text1"/>
          <w:szCs w:val="24"/>
        </w:rPr>
        <w:t xml:space="preserve">PC12 cells (#CRL-1721, ATCC, USA), a rat pheochromocytoma cell line derived from the adrenal medulla, were seeded </w:t>
      </w:r>
      <w:r w:rsidRPr="00035CE6">
        <w:rPr>
          <w:color w:val="000000" w:themeColor="text1"/>
          <w:szCs w:val="24"/>
        </w:rPr>
        <w:t>int</w:t>
      </w:r>
      <w:r w:rsidRPr="00994267">
        <w:rPr>
          <w:color w:val="000000" w:themeColor="text1"/>
          <w:szCs w:val="24"/>
        </w:rPr>
        <w:t xml:space="preserve">o a dish coated </w:t>
      </w:r>
      <w:r w:rsidRPr="00035CE6">
        <w:rPr>
          <w:color w:val="000000" w:themeColor="text1"/>
          <w:szCs w:val="24"/>
        </w:rPr>
        <w:t xml:space="preserve">with </w:t>
      </w:r>
      <w:r w:rsidRPr="00994267">
        <w:rPr>
          <w:color w:val="000000" w:themeColor="text1"/>
          <w:szCs w:val="24"/>
        </w:rPr>
        <w:t>poly L-lysine (0.01%</w:t>
      </w:r>
      <w:r w:rsidRPr="00035CE6">
        <w:rPr>
          <w:color w:val="000000" w:themeColor="text1"/>
          <w:szCs w:val="24"/>
        </w:rPr>
        <w:t>,</w:t>
      </w:r>
      <w:r w:rsidRPr="00994267">
        <w:rPr>
          <w:color w:val="000000" w:themeColor="text1"/>
          <w:szCs w:val="24"/>
        </w:rPr>
        <w:t xml:space="preserve"> Sigma Chemical Co., USA), and grown in RPMI 1640 medium (#11875093, Gibco), supplemented with 10% heat-inactivated horse serum (#26050088, Gibco), 5% fetal bovine serum (FBS</w:t>
      </w:r>
      <w:r w:rsidRPr="00035CE6">
        <w:rPr>
          <w:color w:val="000000" w:themeColor="text1"/>
          <w:szCs w:val="24"/>
        </w:rPr>
        <w:t>;</w:t>
      </w:r>
      <w:r w:rsidRPr="00994267">
        <w:rPr>
          <w:color w:val="000000" w:themeColor="text1"/>
          <w:szCs w:val="24"/>
        </w:rPr>
        <w:t xml:space="preserve"> #SH30919.03, Hyclone, USA), and 1% penicillin/streptomycin at 37</w:t>
      </w:r>
      <w:r w:rsidRPr="00035CE6">
        <w:rPr>
          <w:color w:val="000000" w:themeColor="text1"/>
          <w:szCs w:val="24"/>
        </w:rPr>
        <w:t>°</w:t>
      </w:r>
      <w:r w:rsidRPr="00994267">
        <w:rPr>
          <w:color w:val="000000" w:themeColor="text1"/>
          <w:szCs w:val="24"/>
        </w:rPr>
        <w:t>C with 5% CO</w:t>
      </w:r>
      <w:r w:rsidRPr="00994267">
        <w:rPr>
          <w:color w:val="000000" w:themeColor="text1"/>
          <w:szCs w:val="24"/>
          <w:vertAlign w:val="subscript"/>
        </w:rPr>
        <w:t>2</w:t>
      </w:r>
      <w:r w:rsidRPr="00994267">
        <w:rPr>
          <w:color w:val="000000" w:themeColor="text1"/>
          <w:szCs w:val="24"/>
        </w:rPr>
        <w:t xml:space="preserve">. </w:t>
      </w:r>
    </w:p>
    <w:p w14:paraId="33380C94" w14:textId="77777777" w:rsidR="00F572D4" w:rsidRPr="00994267" w:rsidRDefault="00F572D4" w:rsidP="00F572D4">
      <w:pPr>
        <w:ind w:firstLine="720"/>
        <w:rPr>
          <w:color w:val="000000" w:themeColor="text1"/>
          <w:szCs w:val="24"/>
        </w:rPr>
      </w:pPr>
      <w:r w:rsidRPr="00994267">
        <w:rPr>
          <w:color w:val="000000" w:themeColor="text1"/>
          <w:szCs w:val="24"/>
        </w:rPr>
        <w:t>SH-SY5Y cells (#22266, Korean Cell Line Bank, South Korea), an immortalized mouse hippocampal cell line, were cultured at 37</w:t>
      </w:r>
      <w:r>
        <w:rPr>
          <w:color w:val="000000" w:themeColor="text1"/>
          <w:szCs w:val="24"/>
        </w:rPr>
        <w:t xml:space="preserve"> </w:t>
      </w:r>
      <w:r w:rsidRPr="00035CE6">
        <w:rPr>
          <w:color w:val="000000" w:themeColor="text1"/>
          <w:szCs w:val="24"/>
        </w:rPr>
        <w:t>°</w:t>
      </w:r>
      <w:r w:rsidRPr="00994267">
        <w:rPr>
          <w:color w:val="000000" w:themeColor="text1"/>
          <w:szCs w:val="24"/>
        </w:rPr>
        <w:t>C and 5% CO</w:t>
      </w:r>
      <w:r w:rsidRPr="00994267">
        <w:rPr>
          <w:color w:val="000000" w:themeColor="text1"/>
          <w:szCs w:val="24"/>
          <w:vertAlign w:val="subscript"/>
        </w:rPr>
        <w:t>2</w:t>
      </w:r>
      <w:r w:rsidRPr="00994267">
        <w:rPr>
          <w:color w:val="000000" w:themeColor="text1"/>
          <w:szCs w:val="24"/>
        </w:rPr>
        <w:t xml:space="preserve"> in Dulbecco’s modified Eagle</w:t>
      </w:r>
      <w:r w:rsidRPr="00035CE6">
        <w:rPr>
          <w:rFonts w:eastAsia="Malgun Gothic"/>
          <w:szCs w:val="24"/>
        </w:rPr>
        <w:t>’s medium (</w:t>
      </w:r>
      <w:r w:rsidRPr="00994267">
        <w:rPr>
          <w:color w:val="000000" w:themeColor="text1"/>
          <w:szCs w:val="24"/>
        </w:rPr>
        <w:t>Invitrogen</w:t>
      </w:r>
      <w:r w:rsidRPr="00035CE6">
        <w:rPr>
          <w:rFonts w:eastAsia="Malgun Gothic"/>
          <w:szCs w:val="24"/>
        </w:rPr>
        <w:t>, Carlsbad, CA, USA) supplemented with 10% FBS and 1% penicillin/streptomycin.</w:t>
      </w:r>
    </w:p>
    <w:p w14:paraId="0847699A" w14:textId="77777777" w:rsidR="00F572D4" w:rsidRDefault="00F572D4" w:rsidP="00F572D4">
      <w:pPr>
        <w:rPr>
          <w:b/>
        </w:rPr>
      </w:pPr>
    </w:p>
    <w:p w14:paraId="36AAF8A3" w14:textId="77777777" w:rsidR="00F572D4" w:rsidRDefault="00F572D4" w:rsidP="00F572D4">
      <w:pPr>
        <w:rPr>
          <w:b/>
        </w:rPr>
      </w:pPr>
      <w:r w:rsidRPr="003A5CAA">
        <w:rPr>
          <w:b/>
        </w:rPr>
        <w:t>Measurement of proliferation</w:t>
      </w:r>
      <w:r>
        <w:rPr>
          <w:b/>
        </w:rPr>
        <w:t>.</w:t>
      </w:r>
    </w:p>
    <w:p w14:paraId="581147D3" w14:textId="77777777" w:rsidR="00F572D4" w:rsidRPr="003A5CAA" w:rsidRDefault="00F572D4" w:rsidP="00F572D4">
      <w:pPr>
        <w:ind w:firstLine="800"/>
      </w:pPr>
      <w:r w:rsidRPr="003A5CAA">
        <w:t>Cell proliferation was evaluated using a 3-[(4,5-dimethylthiazol-2-yl)-5,3-carboxymethoxyphenyl]-2-(4-sulfophenyl)-2H tetrazolium inner salt (MTS) reduction assay (CellTiter 96 Aqueous One Solution Cell Proliferation Assay, Promega, Madison, WI, USA). Undifferentiated PC12 or SH-SY5Y cells were seeded into 96-well plates (5×104 cells per well). The next day, the initial intensity was measured, and after culturing for 48 h under low FBS (0.5%) conditions with or without reEPO or ML1-R, the intensity was measured using the MTS assay.</w:t>
      </w:r>
    </w:p>
    <w:p w14:paraId="29FD55DA" w14:textId="77777777" w:rsidR="00F572D4" w:rsidRPr="003A5CAA" w:rsidRDefault="00F572D4" w:rsidP="00F572D4"/>
    <w:p w14:paraId="76D34AC2" w14:textId="77777777" w:rsidR="00F572D4" w:rsidRPr="00DF61F3" w:rsidRDefault="00F572D4" w:rsidP="00F572D4">
      <w:pPr>
        <w:rPr>
          <w:b/>
        </w:rPr>
      </w:pPr>
      <w:r w:rsidRPr="00DF61F3">
        <w:rPr>
          <w:b/>
        </w:rPr>
        <w:t>RNA-sequencing</w:t>
      </w:r>
    </w:p>
    <w:p w14:paraId="22E7E805" w14:textId="77777777" w:rsidR="00F572D4" w:rsidRPr="00DF61F3" w:rsidRDefault="00F572D4" w:rsidP="00F572D4">
      <w:pPr>
        <w:rPr>
          <w:b/>
          <w:i/>
        </w:rPr>
      </w:pPr>
      <w:r w:rsidRPr="00DF61F3">
        <w:rPr>
          <w:b/>
          <w:i/>
        </w:rPr>
        <w:lastRenderedPageBreak/>
        <w:t>RNA extraction and quality control</w:t>
      </w:r>
    </w:p>
    <w:p w14:paraId="35BCBEE4" w14:textId="77777777" w:rsidR="00F572D4" w:rsidRPr="00DF61F3" w:rsidRDefault="00F572D4" w:rsidP="00F572D4">
      <w:pPr>
        <w:ind w:firstLine="800"/>
      </w:pPr>
      <w:r w:rsidRPr="00DF61F3">
        <w:t>Primary cultured cortical neurons were treated with 1 nM reEPO or ML1-R for 30 min. Total RNA was extracted from the cells using the RNeasy Mini Kit (Qiagen) following the manufacturer’s protocol. The concentration and purity of the extracted RNA were measured using a Qubit 3 Fluorometer (Invitrogen), and RNA integrity was assessed with an Agilent Bioanalyzer (Agilent Technologies). Samples with an RNA integrity number &gt;7.0 were used for library preparation.</w:t>
      </w:r>
    </w:p>
    <w:p w14:paraId="24F3F7B6" w14:textId="77777777" w:rsidR="00F572D4" w:rsidRPr="00DF61F3" w:rsidRDefault="00F572D4" w:rsidP="00F572D4">
      <w:pPr>
        <w:rPr>
          <w:b/>
        </w:rPr>
      </w:pPr>
    </w:p>
    <w:p w14:paraId="3E72D483" w14:textId="77777777" w:rsidR="00F572D4" w:rsidRPr="00DF61F3" w:rsidRDefault="00F572D4" w:rsidP="00F572D4">
      <w:pPr>
        <w:rPr>
          <w:b/>
          <w:i/>
        </w:rPr>
      </w:pPr>
      <w:r w:rsidRPr="00DF61F3">
        <w:rPr>
          <w:b/>
          <w:i/>
        </w:rPr>
        <w:t>Library preparation and sequencing</w:t>
      </w:r>
    </w:p>
    <w:p w14:paraId="564F85CC" w14:textId="77777777" w:rsidR="00F572D4" w:rsidRPr="00DF61F3" w:rsidRDefault="00F572D4" w:rsidP="00F572D4">
      <w:pPr>
        <w:ind w:firstLine="800"/>
      </w:pPr>
      <w:r w:rsidRPr="00DF61F3">
        <w:t>RNA libraries were prepared using a TruSeq Stranded mRNA Library Prep Kit (Illumina) according to the manufacturer’s instructions. Poly(A)-selected RNA was fragmented, reverse transcribed into cDNA, and ligated into sequencing adapters. The resulting libraries were quality-checked and quantified using a bioanalyzer and real-time PCR. Sequencing was performed on an Illumina platform to generate 150 bp paired-end reads, with an average depth of 30 million reads per sample. Sequencing quality was assessed, and reads with a Phred quality score below 30 were filtered out.</w:t>
      </w:r>
    </w:p>
    <w:p w14:paraId="43CCC5A4" w14:textId="77777777" w:rsidR="00F572D4" w:rsidRPr="00DF61F3" w:rsidRDefault="00F572D4" w:rsidP="00F572D4">
      <w:pPr>
        <w:rPr>
          <w:b/>
        </w:rPr>
      </w:pPr>
    </w:p>
    <w:p w14:paraId="21C6F8F3" w14:textId="77777777" w:rsidR="00F572D4" w:rsidRPr="00DF61F3" w:rsidRDefault="00F572D4" w:rsidP="00F572D4">
      <w:pPr>
        <w:rPr>
          <w:b/>
          <w:i/>
        </w:rPr>
      </w:pPr>
      <w:r w:rsidRPr="00DF61F3">
        <w:rPr>
          <w:b/>
          <w:i/>
        </w:rPr>
        <w:t>Data processing and differential expression analysis</w:t>
      </w:r>
    </w:p>
    <w:p w14:paraId="694949FB" w14:textId="77777777" w:rsidR="00F572D4" w:rsidRPr="00DF61F3" w:rsidRDefault="00F572D4" w:rsidP="00F572D4">
      <w:pPr>
        <w:ind w:firstLine="800"/>
      </w:pPr>
      <w:r w:rsidRPr="00DF61F3">
        <w:t xml:space="preserve">Raw sequence reads were first quality-checked using FastQC (version 0.11.9) and then trimmed to remove low-quality bases and sequencing adapters using Trimmomatic (version 0.39). The cleaned reads were aligned to the mouse reference genome (GRCm38) using Hisat2 (version 2.1.0) with the default parameters. Read counts for each gene were obtained using featureCounts (version 1.6.4), and differential gene expression was analyzed using DESeq2 </w:t>
      </w:r>
      <w:r w:rsidRPr="00DF61F3">
        <w:lastRenderedPageBreak/>
        <w:t>(version 1.30.1). Genes with an adjusted p-value &lt;0.05 and absolute log2 fold change ≥1.5 were considered significantly differentially expressed.</w:t>
      </w:r>
    </w:p>
    <w:p w14:paraId="3BA81BDE" w14:textId="77777777" w:rsidR="00F572D4" w:rsidRPr="00DF61F3" w:rsidRDefault="00F572D4" w:rsidP="00F572D4">
      <w:pPr>
        <w:rPr>
          <w:b/>
        </w:rPr>
      </w:pPr>
    </w:p>
    <w:p w14:paraId="3B41ECE3" w14:textId="77777777" w:rsidR="00F572D4" w:rsidRPr="00DF61F3" w:rsidRDefault="00F572D4" w:rsidP="00F572D4">
      <w:pPr>
        <w:rPr>
          <w:b/>
          <w:i/>
        </w:rPr>
      </w:pPr>
      <w:r w:rsidRPr="00DF61F3">
        <w:rPr>
          <w:b/>
          <w:i/>
        </w:rPr>
        <w:t>Pathway and enrichment analysis</w:t>
      </w:r>
    </w:p>
    <w:p w14:paraId="6B29A71D" w14:textId="77777777" w:rsidR="00F572D4" w:rsidRPr="00DF61F3" w:rsidRDefault="00F572D4" w:rsidP="00F572D4">
      <w:pPr>
        <w:ind w:firstLine="800"/>
      </w:pPr>
      <w:r w:rsidRPr="00DF61F3">
        <w:t>To interpret the biological significance of the differentially expressed genes, Kyoto Encyclopedia of Genes and Genomes pathway enrichment analysis was performed using the cluster Profiler package (version 3.18.0) in R. Gene Set Enrichment Analysis was also conducted to evaluate changes in specific gene sets related to MAPK and Akt signaling pathways.</w:t>
      </w:r>
    </w:p>
    <w:p w14:paraId="37FCFDE5" w14:textId="77777777" w:rsidR="00F572D4" w:rsidRDefault="00F572D4" w:rsidP="00F572D4">
      <w:pPr>
        <w:rPr>
          <w:b/>
        </w:rPr>
      </w:pPr>
    </w:p>
    <w:p w14:paraId="7FA5057E" w14:textId="77777777" w:rsidR="00F572D4" w:rsidRDefault="00F572D4" w:rsidP="00F572D4">
      <w:pPr>
        <w:rPr>
          <w:b/>
        </w:rPr>
      </w:pPr>
      <w:r w:rsidRPr="003A5CAA">
        <w:rPr>
          <w:b/>
        </w:rPr>
        <w:t>Immunoblotting and antibodies</w:t>
      </w:r>
    </w:p>
    <w:p w14:paraId="78D0A1AA" w14:textId="77777777" w:rsidR="00F572D4" w:rsidRDefault="00F572D4" w:rsidP="00F572D4">
      <w:pPr>
        <w:ind w:firstLine="800"/>
      </w:pPr>
      <w:r w:rsidRPr="003A5CAA">
        <w:t>The cells were lysed in lysis buffer (50 mM Tris, pH 7.4, 150 mM NaCl, 1% Triton X-100, 1% deoxycholic acid, and 0.1% SDS) on ice for 30 min. The lysates (20 μg of protein) were loaded onto sodium dodecyl sulfate-polyacrylamide gel electrophoresis (8–10%), and the proteins were transferred onto polyvinylidene difluoride membranes. The membrane was blocked with 0.1% TBST and 5% non-fat dry milk at 25°C for 30 min. The primary antibodies diluted in 0.1% TBST and 3% BSA included anti-pAKT (#9271), anti-AKT (#9272), anti-pERK (#9101) anti-ERK (#9102), anti-EPOR (#sc-365662), anti-GAPDH (#MAB374, Merck Millipore Biotechnology, USA), and anti-Na+/K+ ATPase (#ab7671, Abcam). After several washes, the membranes were incubated with horseradish peroxidase-conjugated goat anti-rabbit or anti-mouse IgG secondary antibodies. The proteins were visualized using an enhanced chemiluminescence substrate kit (Pierce, Rockford, IL, USA). Blots were scanned and quantified using ImageJ software.</w:t>
      </w:r>
    </w:p>
    <w:p w14:paraId="76D6F05D" w14:textId="77777777" w:rsidR="00F572D4" w:rsidRDefault="00F572D4" w:rsidP="00F572D4">
      <w:pPr>
        <w:pStyle w:val="Paragraph"/>
        <w:spacing w:line="480" w:lineRule="auto"/>
        <w:ind w:firstLine="0"/>
        <w:rPr>
          <w:rFonts w:eastAsiaTheme="minorEastAsia"/>
          <w:b/>
          <w:bCs/>
          <w:lang w:eastAsia="ko-KR"/>
        </w:rPr>
      </w:pPr>
    </w:p>
    <w:p w14:paraId="2ED0187F" w14:textId="77777777" w:rsidR="00F572D4" w:rsidRPr="00DF61F3" w:rsidRDefault="00F572D4" w:rsidP="00F572D4">
      <w:pPr>
        <w:rPr>
          <w:b/>
        </w:rPr>
      </w:pPr>
      <w:r w:rsidRPr="00DF61F3">
        <w:rPr>
          <w:b/>
        </w:rPr>
        <w:lastRenderedPageBreak/>
        <w:t>Cell surface biotinylation assay</w:t>
      </w:r>
    </w:p>
    <w:p w14:paraId="00488B98" w14:textId="77777777" w:rsidR="00F572D4" w:rsidRDefault="00F572D4" w:rsidP="00F572D4">
      <w:pPr>
        <w:ind w:firstLine="800"/>
        <w:rPr>
          <w:b/>
          <w:color w:val="000000" w:themeColor="text1"/>
          <w:szCs w:val="24"/>
        </w:rPr>
      </w:pPr>
      <w:r w:rsidRPr="00DF61F3">
        <w:t>To monitor the localization of cell surface EPORs, rat primary cultured neurons were treated with reEPO or ML1-R and then incubated with PBS supplemented with 0.25 mg/ml sulfo-NHS-biotin (#21217, Thermo Fisher Scientific, USA) for 10 min at 4 °C to label all cell surface proteins. The remaining biotin was washed thrice with 100 mM glycine in PBS. After cells were lysed in lysis buffer (50 mM Tris, pH 7.4, 150 mM NaCl, 1% Triton X-100, 1% deoxycholic acid, and 0.1% SDS) on ice for 30 min, equal amounts of proteins from the lysates of reEPO and ML1-R were incubated with streptavidin-agarose slurry (#15942, Invitrogen) at 4 °C for 16 h to pull down biotin-labeled proteins. After washing, the biotin-labeled proteins were analyzed using western blotting to detect EPORs.</w:t>
      </w:r>
    </w:p>
    <w:p w14:paraId="7A1FF652" w14:textId="77777777" w:rsidR="00F572D4" w:rsidRPr="008B30BB" w:rsidRDefault="00F572D4" w:rsidP="00F572D4">
      <w:pPr>
        <w:pStyle w:val="Paragraph"/>
        <w:spacing w:line="480" w:lineRule="auto"/>
        <w:ind w:firstLine="0"/>
        <w:rPr>
          <w:rFonts w:eastAsiaTheme="minorEastAsia"/>
          <w:b/>
          <w:bCs/>
          <w:lang w:eastAsia="ko-KR"/>
        </w:rPr>
      </w:pPr>
    </w:p>
    <w:p w14:paraId="37399928" w14:textId="77777777" w:rsidR="00F572D4" w:rsidRDefault="00F572D4" w:rsidP="00F572D4">
      <w:pPr>
        <w:spacing w:after="160" w:line="259" w:lineRule="auto"/>
        <w:jc w:val="both"/>
        <w:rPr>
          <w:b/>
          <w:bCs/>
          <w:szCs w:val="24"/>
          <w:lang w:eastAsia="ko-KR"/>
        </w:rPr>
      </w:pPr>
      <w:r>
        <w:rPr>
          <w:b/>
          <w:bCs/>
          <w:lang w:eastAsia="ko-KR"/>
        </w:rPr>
        <w:br w:type="page"/>
      </w:r>
    </w:p>
    <w:p w14:paraId="37B57504" w14:textId="77777777" w:rsidR="00F572D4" w:rsidRDefault="00F572D4" w:rsidP="00F572D4">
      <w:pPr>
        <w:pStyle w:val="Paragraph"/>
        <w:spacing w:line="480" w:lineRule="auto"/>
        <w:ind w:firstLine="0"/>
        <w:rPr>
          <w:rFonts w:eastAsiaTheme="minorEastAsia"/>
          <w:b/>
          <w:bCs/>
          <w:lang w:eastAsia="ko-KR"/>
        </w:rPr>
      </w:pPr>
      <w:r>
        <w:rPr>
          <w:rFonts w:eastAsiaTheme="minorEastAsia" w:hint="eastAsia"/>
          <w:b/>
          <w:bCs/>
          <w:lang w:eastAsia="ko-KR"/>
        </w:rPr>
        <w:lastRenderedPageBreak/>
        <w:t>S</w:t>
      </w:r>
      <w:r>
        <w:rPr>
          <w:rFonts w:eastAsiaTheme="minorEastAsia"/>
          <w:b/>
          <w:bCs/>
          <w:lang w:eastAsia="ko-KR"/>
        </w:rPr>
        <w:t>upplementary figures</w:t>
      </w:r>
    </w:p>
    <w:p w14:paraId="4756D9FE" w14:textId="77777777" w:rsidR="00F572D4" w:rsidRDefault="00F572D4" w:rsidP="00F572D4">
      <w:pPr>
        <w:jc w:val="center"/>
        <w:rPr>
          <w:b/>
        </w:rPr>
      </w:pPr>
      <w:r>
        <w:rPr>
          <w:b/>
          <w:noProof/>
        </w:rPr>
        <w:drawing>
          <wp:inline distT="0" distB="0" distL="0" distR="0" wp14:anchorId="3F0613F3" wp14:editId="09AF70B9">
            <wp:extent cx="5581015" cy="3114136"/>
            <wp:effectExtent l="0" t="0" r="635" b="0"/>
            <wp:docPr id="15" name="그림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그림 15" descr="A screenshot of a graph&#10;&#10;Description automatically generated"/>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61348"/>
                    <a:stretch/>
                  </pic:blipFill>
                  <pic:spPr bwMode="auto">
                    <a:xfrm>
                      <a:off x="0" y="0"/>
                      <a:ext cx="5581015" cy="3114136"/>
                    </a:xfrm>
                    <a:prstGeom prst="rect">
                      <a:avLst/>
                    </a:prstGeom>
                    <a:noFill/>
                    <a:ln>
                      <a:noFill/>
                    </a:ln>
                    <a:extLst>
                      <a:ext uri="{53640926-AAD7-44D8-BBD7-CCE9431645EC}">
                        <a14:shadowObscured xmlns:a14="http://schemas.microsoft.com/office/drawing/2010/main"/>
                      </a:ext>
                    </a:extLst>
                  </pic:spPr>
                </pic:pic>
              </a:graphicData>
            </a:graphic>
          </wp:inline>
        </w:drawing>
      </w:r>
    </w:p>
    <w:p w14:paraId="69F5C04F" w14:textId="77777777" w:rsidR="00F572D4" w:rsidRDefault="00F572D4" w:rsidP="00F572D4">
      <w:pPr>
        <w:rPr>
          <w:b/>
          <w:szCs w:val="24"/>
        </w:rPr>
      </w:pPr>
    </w:p>
    <w:p w14:paraId="13DF8B24" w14:textId="77777777" w:rsidR="00F572D4" w:rsidRDefault="00F572D4" w:rsidP="00F572D4">
      <w:pPr>
        <w:rPr>
          <w:szCs w:val="24"/>
        </w:rPr>
      </w:pPr>
      <w:r>
        <w:rPr>
          <w:b/>
          <w:szCs w:val="24"/>
        </w:rPr>
        <w:t xml:space="preserve">Supplementary </w:t>
      </w:r>
      <w:r w:rsidRPr="001B0D10">
        <w:rPr>
          <w:b/>
          <w:szCs w:val="24"/>
        </w:rPr>
        <w:t xml:space="preserve">Fig. 1. </w:t>
      </w:r>
      <w:r w:rsidRPr="001B0D10">
        <w:rPr>
          <w:b/>
          <w:bCs/>
          <w:szCs w:val="24"/>
        </w:rPr>
        <w:t>Differential effects of reEPO and ML1-R on cell-proliferation</w:t>
      </w:r>
      <w:r w:rsidRPr="001B0D10">
        <w:rPr>
          <w:b/>
          <w:szCs w:val="24"/>
        </w:rPr>
        <w:t xml:space="preserve">. </w:t>
      </w:r>
      <w:r w:rsidRPr="001B0D10">
        <w:rPr>
          <w:rFonts w:hint="eastAsia"/>
          <w:szCs w:val="24"/>
        </w:rPr>
        <w:t>(</w:t>
      </w:r>
      <w:r>
        <w:rPr>
          <w:szCs w:val="24"/>
        </w:rPr>
        <w:t>a</w:t>
      </w:r>
      <w:r w:rsidRPr="001B0D10">
        <w:rPr>
          <w:rFonts w:hint="eastAsia"/>
          <w:szCs w:val="24"/>
        </w:rPr>
        <w:t xml:space="preserve">) </w:t>
      </w:r>
      <w:r w:rsidRPr="001B0D10">
        <w:rPr>
          <w:szCs w:val="24"/>
        </w:rPr>
        <w:t>Level of proliferation rate of undifferentiated PC12 cells with reEPO (10 IU/ml, 20 IU/ml) and ML1-R</w:t>
      </w:r>
      <w:r>
        <w:rPr>
          <w:szCs w:val="24"/>
        </w:rPr>
        <w:t xml:space="preserve"> </w:t>
      </w:r>
      <w:r w:rsidRPr="001B0D10">
        <w:rPr>
          <w:szCs w:val="24"/>
        </w:rPr>
        <w:t xml:space="preserve">(10 ng/ml, 20 ng/ml) under low serum condition (0.5% fetal bovine serum) for 48 h. For statistical analysis, </w:t>
      </w:r>
      <w:r w:rsidRPr="001562D5">
        <w:rPr>
          <w:szCs w:val="24"/>
        </w:rPr>
        <w:t>mean ± SEM, two-way ANOVA with Tukey’s test</w:t>
      </w:r>
      <w:r w:rsidRPr="001B0D10">
        <w:rPr>
          <w:szCs w:val="24"/>
        </w:rPr>
        <w:t xml:space="preserve"> (n = 4, ****p&lt;0.0001</w:t>
      </w:r>
      <w:r>
        <w:rPr>
          <w:szCs w:val="24"/>
        </w:rPr>
        <w:t>,</w:t>
      </w:r>
      <w:r w:rsidRPr="001B0D10">
        <w:rPr>
          <w:szCs w:val="24"/>
        </w:rPr>
        <w:t xml:space="preserve"> ns</w:t>
      </w:r>
      <w:r>
        <w:rPr>
          <w:szCs w:val="24"/>
        </w:rPr>
        <w:t>:</w:t>
      </w:r>
      <w:r w:rsidRPr="001B0D10">
        <w:rPr>
          <w:szCs w:val="24"/>
        </w:rPr>
        <w:t xml:space="preserve"> non-significant). (</w:t>
      </w:r>
      <w:r>
        <w:rPr>
          <w:szCs w:val="24"/>
        </w:rPr>
        <w:t>b</w:t>
      </w:r>
      <w:r w:rsidRPr="001B0D10">
        <w:rPr>
          <w:szCs w:val="24"/>
        </w:rPr>
        <w:t xml:space="preserve">) Level of proliferation rate of undifferentiated SH-SY5Y cells with reEPO (10 IU/ml, 20 IU/ml) and ML1-R (10 ng/ml, 20 ng/ml) under low serum condition (0.5% fetal bovine serum) for 48 h. For statistical analysis, </w:t>
      </w:r>
      <w:r w:rsidRPr="001562D5">
        <w:rPr>
          <w:szCs w:val="24"/>
        </w:rPr>
        <w:t>mean ± SEM, two-way ANOVA with Tukey’s test</w:t>
      </w:r>
      <w:r w:rsidRPr="001B0D10">
        <w:rPr>
          <w:szCs w:val="24"/>
        </w:rPr>
        <w:t xml:space="preserve"> (n = 4, *p&lt;0.05</w:t>
      </w:r>
      <w:r>
        <w:rPr>
          <w:szCs w:val="24"/>
        </w:rPr>
        <w:t>,</w:t>
      </w:r>
      <w:r w:rsidRPr="001B0D10">
        <w:rPr>
          <w:szCs w:val="24"/>
        </w:rPr>
        <w:t xml:space="preserve"> ns</w:t>
      </w:r>
      <w:r>
        <w:rPr>
          <w:szCs w:val="24"/>
        </w:rPr>
        <w:t>:</w:t>
      </w:r>
      <w:r w:rsidRPr="001B0D10">
        <w:rPr>
          <w:szCs w:val="24"/>
        </w:rPr>
        <w:t xml:space="preserve"> non-significant).</w:t>
      </w:r>
    </w:p>
    <w:p w14:paraId="01E9A1E6" w14:textId="77777777" w:rsidR="00F572D4" w:rsidRDefault="00F572D4" w:rsidP="00F572D4">
      <w:pPr>
        <w:rPr>
          <w:szCs w:val="24"/>
        </w:rPr>
      </w:pPr>
      <w:r>
        <w:rPr>
          <w:szCs w:val="24"/>
        </w:rPr>
        <w:br w:type="page"/>
      </w:r>
    </w:p>
    <w:p w14:paraId="7AF4A268" w14:textId="77777777" w:rsidR="00F572D4" w:rsidRDefault="00F572D4" w:rsidP="00F572D4">
      <w:pPr>
        <w:jc w:val="center"/>
        <w:rPr>
          <w:b/>
          <w:szCs w:val="24"/>
        </w:rPr>
      </w:pPr>
      <w:r>
        <w:rPr>
          <w:b/>
          <w:noProof/>
          <w:szCs w:val="24"/>
        </w:rPr>
        <w:lastRenderedPageBreak/>
        <w:drawing>
          <wp:inline distT="0" distB="0" distL="0" distR="0" wp14:anchorId="70EF0EAA" wp14:editId="1E1272AA">
            <wp:extent cx="5724525" cy="8277225"/>
            <wp:effectExtent l="0" t="0" r="9525" b="952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4525" cy="8277225"/>
                    </a:xfrm>
                    <a:prstGeom prst="rect">
                      <a:avLst/>
                    </a:prstGeom>
                    <a:noFill/>
                    <a:ln>
                      <a:noFill/>
                    </a:ln>
                  </pic:spPr>
                </pic:pic>
              </a:graphicData>
            </a:graphic>
          </wp:inline>
        </w:drawing>
      </w:r>
    </w:p>
    <w:p w14:paraId="16077648" w14:textId="77777777" w:rsidR="00F572D4" w:rsidRDefault="00F572D4" w:rsidP="00F572D4">
      <w:pPr>
        <w:rPr>
          <w:color w:val="000000" w:themeColor="text1"/>
          <w:szCs w:val="24"/>
        </w:rPr>
      </w:pPr>
      <w:r>
        <w:rPr>
          <w:b/>
          <w:color w:val="000000" w:themeColor="text1"/>
          <w:szCs w:val="24"/>
        </w:rPr>
        <w:lastRenderedPageBreak/>
        <w:t xml:space="preserve">Supplementary </w:t>
      </w:r>
      <w:r w:rsidRPr="00AE00DD">
        <w:rPr>
          <w:b/>
          <w:color w:val="000000" w:themeColor="text1"/>
          <w:szCs w:val="24"/>
        </w:rPr>
        <w:t xml:space="preserve">Fig. 2. Differential expression genes by ML1-R based on RNA-sequencing analysis. </w:t>
      </w:r>
      <w:r w:rsidRPr="00AE00DD">
        <w:rPr>
          <w:color w:val="000000" w:themeColor="text1"/>
          <w:szCs w:val="24"/>
        </w:rPr>
        <w:t>(</w:t>
      </w:r>
      <w:r>
        <w:rPr>
          <w:color w:val="000000" w:themeColor="text1"/>
          <w:szCs w:val="24"/>
        </w:rPr>
        <w:t>a</w:t>
      </w:r>
      <w:r w:rsidRPr="00AE00DD">
        <w:rPr>
          <w:color w:val="000000" w:themeColor="text1"/>
          <w:szCs w:val="24"/>
        </w:rPr>
        <w:t>) Volcano map of differentially expressed genes by ML1-R based on bulk RNA-sequencing data. (</w:t>
      </w:r>
      <w:r>
        <w:rPr>
          <w:color w:val="000000" w:themeColor="text1"/>
          <w:szCs w:val="24"/>
        </w:rPr>
        <w:t>b</w:t>
      </w:r>
      <w:r w:rsidRPr="00AE00DD">
        <w:rPr>
          <w:color w:val="000000" w:themeColor="text1"/>
          <w:szCs w:val="24"/>
        </w:rPr>
        <w:t>) Up-regulated pathway</w:t>
      </w:r>
      <w:r>
        <w:rPr>
          <w:color w:val="000000" w:themeColor="text1"/>
          <w:szCs w:val="24"/>
        </w:rPr>
        <w:t>s</w:t>
      </w:r>
      <w:r w:rsidRPr="00AE00DD">
        <w:rPr>
          <w:color w:val="000000" w:themeColor="text1"/>
          <w:szCs w:val="24"/>
        </w:rPr>
        <w:t xml:space="preserve"> analysis of EPOR-mediated signaling by ML1-R. (</w:t>
      </w:r>
      <w:r>
        <w:rPr>
          <w:color w:val="000000" w:themeColor="text1"/>
          <w:szCs w:val="24"/>
        </w:rPr>
        <w:t>c</w:t>
      </w:r>
      <w:r w:rsidRPr="00AE00DD">
        <w:rPr>
          <w:color w:val="000000" w:themeColor="text1"/>
          <w:szCs w:val="24"/>
        </w:rPr>
        <w:t>) Down-regulated pathway</w:t>
      </w:r>
      <w:r>
        <w:rPr>
          <w:color w:val="000000" w:themeColor="text1"/>
          <w:szCs w:val="24"/>
        </w:rPr>
        <w:t>s</w:t>
      </w:r>
      <w:r w:rsidRPr="00AE00DD">
        <w:rPr>
          <w:color w:val="000000" w:themeColor="text1"/>
          <w:szCs w:val="24"/>
        </w:rPr>
        <w:t xml:space="preserve"> enrichment analysis of EPOR-mediated signaling by ML1-R. </w:t>
      </w:r>
    </w:p>
    <w:p w14:paraId="3751745C" w14:textId="77777777" w:rsidR="00F572D4" w:rsidRDefault="00F572D4" w:rsidP="00F572D4">
      <w:pPr>
        <w:rPr>
          <w:color w:val="000000" w:themeColor="text1"/>
          <w:szCs w:val="24"/>
        </w:rPr>
      </w:pPr>
      <w:r>
        <w:rPr>
          <w:color w:val="000000" w:themeColor="text1"/>
          <w:szCs w:val="24"/>
        </w:rPr>
        <w:br w:type="page"/>
      </w:r>
    </w:p>
    <w:p w14:paraId="4AE9BCD8" w14:textId="77777777" w:rsidR="00F572D4" w:rsidRDefault="00F572D4" w:rsidP="00F572D4">
      <w:pPr>
        <w:jc w:val="center"/>
        <w:rPr>
          <w:b/>
          <w:szCs w:val="24"/>
        </w:rPr>
      </w:pPr>
      <w:r>
        <w:rPr>
          <w:b/>
          <w:noProof/>
          <w:szCs w:val="24"/>
        </w:rPr>
        <w:lastRenderedPageBreak/>
        <w:drawing>
          <wp:inline distT="0" distB="0" distL="0" distR="0" wp14:anchorId="44C5B49B" wp14:editId="6FAE77C5">
            <wp:extent cx="5581015" cy="5149970"/>
            <wp:effectExtent l="0" t="0" r="635"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36080"/>
                    <a:stretch/>
                  </pic:blipFill>
                  <pic:spPr bwMode="auto">
                    <a:xfrm>
                      <a:off x="0" y="0"/>
                      <a:ext cx="5581015" cy="5149970"/>
                    </a:xfrm>
                    <a:prstGeom prst="rect">
                      <a:avLst/>
                    </a:prstGeom>
                    <a:noFill/>
                    <a:ln>
                      <a:noFill/>
                    </a:ln>
                    <a:extLst>
                      <a:ext uri="{53640926-AAD7-44D8-BBD7-CCE9431645EC}">
                        <a14:shadowObscured xmlns:a14="http://schemas.microsoft.com/office/drawing/2010/main"/>
                      </a:ext>
                    </a:extLst>
                  </pic:spPr>
                </pic:pic>
              </a:graphicData>
            </a:graphic>
          </wp:inline>
        </w:drawing>
      </w:r>
    </w:p>
    <w:p w14:paraId="03FE98FE" w14:textId="77777777" w:rsidR="00F572D4" w:rsidRDefault="00F572D4" w:rsidP="00F572D4">
      <w:pPr>
        <w:rPr>
          <w:b/>
          <w:szCs w:val="24"/>
        </w:rPr>
      </w:pPr>
    </w:p>
    <w:p w14:paraId="593FF8AD" w14:textId="77777777" w:rsidR="00F572D4" w:rsidRDefault="00F572D4" w:rsidP="00F572D4">
      <w:pPr>
        <w:rPr>
          <w:szCs w:val="24"/>
        </w:rPr>
      </w:pPr>
      <w:r>
        <w:rPr>
          <w:b/>
          <w:szCs w:val="24"/>
        </w:rPr>
        <w:t xml:space="preserve">Supplementary </w:t>
      </w:r>
      <w:r w:rsidRPr="001B0D10">
        <w:rPr>
          <w:b/>
          <w:szCs w:val="24"/>
        </w:rPr>
        <w:t xml:space="preserve">Fig. </w:t>
      </w:r>
      <w:r>
        <w:rPr>
          <w:b/>
          <w:szCs w:val="24"/>
        </w:rPr>
        <w:t>3</w:t>
      </w:r>
      <w:r w:rsidRPr="001B0D10">
        <w:rPr>
          <w:b/>
          <w:szCs w:val="24"/>
        </w:rPr>
        <w:t xml:space="preserve">. </w:t>
      </w:r>
      <w:r>
        <w:rPr>
          <w:b/>
          <w:szCs w:val="24"/>
        </w:rPr>
        <w:t>Dose e</w:t>
      </w:r>
      <w:r w:rsidRPr="001B0D10">
        <w:rPr>
          <w:b/>
          <w:bCs/>
          <w:szCs w:val="24"/>
        </w:rPr>
        <w:t>ffects of reEPO and ML1-R on activation of Akt/Erk signaling</w:t>
      </w:r>
      <w:r w:rsidRPr="001B0D10">
        <w:rPr>
          <w:b/>
          <w:szCs w:val="24"/>
        </w:rPr>
        <w:t xml:space="preserve">. </w:t>
      </w:r>
      <w:r>
        <w:rPr>
          <w:b/>
          <w:szCs w:val="24"/>
        </w:rPr>
        <w:t xml:space="preserve"> </w:t>
      </w:r>
      <w:r w:rsidRPr="001B0D10">
        <w:rPr>
          <w:rFonts w:hint="eastAsia"/>
          <w:szCs w:val="24"/>
        </w:rPr>
        <w:t>(</w:t>
      </w:r>
      <w:r>
        <w:rPr>
          <w:szCs w:val="24"/>
        </w:rPr>
        <w:t>a</w:t>
      </w:r>
      <w:r w:rsidRPr="001B0D10">
        <w:rPr>
          <w:szCs w:val="24"/>
        </w:rPr>
        <w:t>) Dose-series immunoblots of phosphorylated Akt (pAkt) and Erk (pErk) upon treatment with reEPO and ML1-R. (</w:t>
      </w:r>
      <w:r>
        <w:rPr>
          <w:szCs w:val="24"/>
        </w:rPr>
        <w:t>b</w:t>
      </w:r>
      <w:r w:rsidRPr="001B0D10">
        <w:rPr>
          <w:szCs w:val="24"/>
        </w:rPr>
        <w:t xml:space="preserve">, </w:t>
      </w:r>
      <w:r>
        <w:rPr>
          <w:szCs w:val="24"/>
        </w:rPr>
        <w:t>c</w:t>
      </w:r>
      <w:r w:rsidRPr="001B0D10">
        <w:rPr>
          <w:szCs w:val="24"/>
        </w:rPr>
        <w:t>) The relative level of pAkt, and pErk levels were measured and normalized by total Akt, and total Erk levels</w:t>
      </w:r>
      <w:r w:rsidRPr="001B0D10">
        <w:rPr>
          <w:rFonts w:hint="eastAsia"/>
          <w:szCs w:val="24"/>
        </w:rPr>
        <w:t>.</w:t>
      </w:r>
      <w:r w:rsidRPr="001B0D10">
        <w:rPr>
          <w:szCs w:val="24"/>
        </w:rPr>
        <w:t xml:space="preserve"> For statistical analysis, one-way ANOVA was performed, followed by Dunnett’s Method (n=5, *p&lt;0.05</w:t>
      </w:r>
      <w:r>
        <w:rPr>
          <w:szCs w:val="24"/>
        </w:rPr>
        <w:t>,</w:t>
      </w:r>
      <w:r w:rsidRPr="001B0D10">
        <w:rPr>
          <w:szCs w:val="24"/>
        </w:rPr>
        <w:t xml:space="preserve"> **p&lt;0.01</w:t>
      </w:r>
      <w:r>
        <w:rPr>
          <w:szCs w:val="24"/>
        </w:rPr>
        <w:t>,</w:t>
      </w:r>
      <w:r w:rsidRPr="001B0D10">
        <w:rPr>
          <w:szCs w:val="24"/>
        </w:rPr>
        <w:t xml:space="preserve"> ***p&lt;0.001). </w:t>
      </w:r>
    </w:p>
    <w:p w14:paraId="0633EBBA" w14:textId="77777777" w:rsidR="00F572D4" w:rsidRDefault="00F572D4" w:rsidP="00F572D4">
      <w:pPr>
        <w:jc w:val="center"/>
        <w:rPr>
          <w:szCs w:val="24"/>
        </w:rPr>
      </w:pPr>
      <w:r>
        <w:rPr>
          <w:noProof/>
          <w:szCs w:val="24"/>
        </w:rPr>
        <w:lastRenderedPageBreak/>
        <w:drawing>
          <wp:inline distT="0" distB="0" distL="0" distR="0" wp14:anchorId="1335BC20" wp14:editId="0F7EDF56">
            <wp:extent cx="5581015" cy="4968815"/>
            <wp:effectExtent l="0" t="0" r="635" b="381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38328"/>
                    <a:stretch/>
                  </pic:blipFill>
                  <pic:spPr bwMode="auto">
                    <a:xfrm>
                      <a:off x="0" y="0"/>
                      <a:ext cx="5581015" cy="4968815"/>
                    </a:xfrm>
                    <a:prstGeom prst="rect">
                      <a:avLst/>
                    </a:prstGeom>
                    <a:noFill/>
                    <a:ln>
                      <a:noFill/>
                    </a:ln>
                    <a:extLst>
                      <a:ext uri="{53640926-AAD7-44D8-BBD7-CCE9431645EC}">
                        <a14:shadowObscured xmlns:a14="http://schemas.microsoft.com/office/drawing/2010/main"/>
                      </a:ext>
                    </a:extLst>
                  </pic:spPr>
                </pic:pic>
              </a:graphicData>
            </a:graphic>
          </wp:inline>
        </w:drawing>
      </w:r>
    </w:p>
    <w:p w14:paraId="10E7011C" w14:textId="77777777" w:rsidR="00F572D4" w:rsidRDefault="00F572D4" w:rsidP="00F572D4">
      <w:pPr>
        <w:rPr>
          <w:b/>
          <w:szCs w:val="24"/>
        </w:rPr>
      </w:pPr>
    </w:p>
    <w:p w14:paraId="09224E0A" w14:textId="77777777" w:rsidR="00F572D4" w:rsidRDefault="00F572D4" w:rsidP="00F572D4">
      <w:pPr>
        <w:rPr>
          <w:szCs w:val="24"/>
        </w:rPr>
      </w:pPr>
      <w:r>
        <w:rPr>
          <w:b/>
          <w:szCs w:val="24"/>
        </w:rPr>
        <w:t xml:space="preserve">Supplementary </w:t>
      </w:r>
      <w:r w:rsidRPr="001B0D10">
        <w:rPr>
          <w:b/>
          <w:szCs w:val="24"/>
        </w:rPr>
        <w:t xml:space="preserve">Fig. </w:t>
      </w:r>
      <w:r>
        <w:rPr>
          <w:rFonts w:hint="eastAsia"/>
          <w:b/>
          <w:szCs w:val="24"/>
        </w:rPr>
        <w:t>4</w:t>
      </w:r>
      <w:r w:rsidRPr="001B0D10">
        <w:rPr>
          <w:b/>
          <w:szCs w:val="24"/>
        </w:rPr>
        <w:t xml:space="preserve">. </w:t>
      </w:r>
      <w:r w:rsidRPr="00E30DD0">
        <w:rPr>
          <w:b/>
          <w:bCs/>
          <w:szCs w:val="24"/>
        </w:rPr>
        <w:t xml:space="preserve">The activation of </w:t>
      </w:r>
      <w:r>
        <w:rPr>
          <w:rFonts w:hint="eastAsia"/>
          <w:b/>
          <w:bCs/>
          <w:szCs w:val="24"/>
        </w:rPr>
        <w:t>Akt</w:t>
      </w:r>
      <w:r>
        <w:rPr>
          <w:b/>
          <w:bCs/>
          <w:szCs w:val="24"/>
        </w:rPr>
        <w:t xml:space="preserve"> </w:t>
      </w:r>
      <w:r>
        <w:rPr>
          <w:rFonts w:hint="eastAsia"/>
          <w:b/>
          <w:bCs/>
          <w:szCs w:val="24"/>
        </w:rPr>
        <w:t>and</w:t>
      </w:r>
      <w:r>
        <w:rPr>
          <w:b/>
          <w:bCs/>
          <w:szCs w:val="24"/>
        </w:rPr>
        <w:t xml:space="preserve"> </w:t>
      </w:r>
      <w:r>
        <w:rPr>
          <w:rFonts w:hint="eastAsia"/>
          <w:b/>
          <w:bCs/>
          <w:szCs w:val="24"/>
        </w:rPr>
        <w:t>Erk</w:t>
      </w:r>
      <w:r w:rsidRPr="00E30DD0">
        <w:rPr>
          <w:b/>
          <w:bCs/>
          <w:szCs w:val="24"/>
        </w:rPr>
        <w:t xml:space="preserve"> signaling by reEPO and ML1-R in HAP1 EPOR -WT and HAP1 EPOR-KO cells.</w:t>
      </w:r>
      <w:r>
        <w:rPr>
          <w:b/>
          <w:szCs w:val="24"/>
        </w:rPr>
        <w:t xml:space="preserve"> </w:t>
      </w:r>
      <w:r w:rsidRPr="00E30DD0">
        <w:rPr>
          <w:szCs w:val="24"/>
        </w:rPr>
        <w:t>(</w:t>
      </w:r>
      <w:r>
        <w:rPr>
          <w:szCs w:val="24"/>
        </w:rPr>
        <w:t>a</w:t>
      </w:r>
      <w:r w:rsidRPr="00E30DD0">
        <w:rPr>
          <w:szCs w:val="24"/>
        </w:rPr>
        <w:t>) Immunoblots of activation of Akt and Erk by reEPO and ML1-R in the EPOR-wild type HAP1 cells (HAP1 EPOR-WT) and EPOR-knock out HAP1 cells (HAP1 EPOR-KO). (</w:t>
      </w:r>
      <w:r>
        <w:rPr>
          <w:szCs w:val="24"/>
        </w:rPr>
        <w:t>b, c</w:t>
      </w:r>
      <w:r w:rsidRPr="00E30DD0">
        <w:rPr>
          <w:szCs w:val="24"/>
        </w:rPr>
        <w:t>) Quantitative analysis of pAkt and pErk in the HAP1 EPOR-WT and HAP1 EPOR-KO</w:t>
      </w:r>
      <w:r>
        <w:rPr>
          <w:szCs w:val="24"/>
        </w:rPr>
        <w:t xml:space="preserve"> </w:t>
      </w:r>
      <w:r w:rsidRPr="001B0D10">
        <w:rPr>
          <w:szCs w:val="24"/>
        </w:rPr>
        <w:t>and normalized by total Akt, and total Erk levels</w:t>
      </w:r>
      <w:r w:rsidRPr="00E30DD0">
        <w:rPr>
          <w:szCs w:val="24"/>
        </w:rPr>
        <w:t>. For statistical analysis, one-way ANOVA was performed, followed by Dunnett’s Method (n=4, *p&lt;0.05</w:t>
      </w:r>
      <w:r>
        <w:rPr>
          <w:szCs w:val="24"/>
        </w:rPr>
        <w:t>,</w:t>
      </w:r>
      <w:r w:rsidRPr="00E30DD0">
        <w:rPr>
          <w:szCs w:val="24"/>
        </w:rPr>
        <w:t xml:space="preserve"> **p&lt;0.01</w:t>
      </w:r>
      <w:r>
        <w:rPr>
          <w:szCs w:val="24"/>
        </w:rPr>
        <w:t>,</w:t>
      </w:r>
      <w:r w:rsidRPr="00E30DD0">
        <w:rPr>
          <w:szCs w:val="24"/>
        </w:rPr>
        <w:t xml:space="preserve"> ***p&lt;0.001).</w:t>
      </w:r>
      <w:r>
        <w:rPr>
          <w:szCs w:val="24"/>
        </w:rPr>
        <w:br w:type="page"/>
      </w:r>
    </w:p>
    <w:p w14:paraId="04189853" w14:textId="77777777" w:rsidR="00F572D4" w:rsidRDefault="00F572D4" w:rsidP="00F572D4">
      <w:pPr>
        <w:jc w:val="center"/>
        <w:rPr>
          <w:b/>
          <w:szCs w:val="24"/>
        </w:rPr>
      </w:pPr>
      <w:r>
        <w:rPr>
          <w:b/>
          <w:noProof/>
          <w:szCs w:val="24"/>
        </w:rPr>
        <w:lastRenderedPageBreak/>
        <w:drawing>
          <wp:inline distT="0" distB="0" distL="0" distR="0" wp14:anchorId="114A9334" wp14:editId="1CB777AF">
            <wp:extent cx="5581015" cy="3019245"/>
            <wp:effectExtent l="0" t="0" r="635" b="0"/>
            <wp:docPr id="22" name="그림 2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그림 22" descr="A screenshot of a graph&#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2526"/>
                    <a:stretch/>
                  </pic:blipFill>
                  <pic:spPr bwMode="auto">
                    <a:xfrm>
                      <a:off x="0" y="0"/>
                      <a:ext cx="5581015" cy="3019245"/>
                    </a:xfrm>
                    <a:prstGeom prst="rect">
                      <a:avLst/>
                    </a:prstGeom>
                    <a:noFill/>
                    <a:ln>
                      <a:noFill/>
                    </a:ln>
                    <a:extLst>
                      <a:ext uri="{53640926-AAD7-44D8-BBD7-CCE9431645EC}">
                        <a14:shadowObscured xmlns:a14="http://schemas.microsoft.com/office/drawing/2010/main"/>
                      </a:ext>
                    </a:extLst>
                  </pic:spPr>
                </pic:pic>
              </a:graphicData>
            </a:graphic>
          </wp:inline>
        </w:drawing>
      </w:r>
    </w:p>
    <w:p w14:paraId="3E984E97" w14:textId="77777777" w:rsidR="00F572D4" w:rsidRDefault="00F572D4" w:rsidP="00F572D4">
      <w:pPr>
        <w:rPr>
          <w:b/>
          <w:szCs w:val="24"/>
        </w:rPr>
      </w:pPr>
    </w:p>
    <w:p w14:paraId="740BD7A9" w14:textId="77777777" w:rsidR="00F572D4" w:rsidRDefault="00F572D4" w:rsidP="00F572D4">
      <w:pPr>
        <w:rPr>
          <w:szCs w:val="24"/>
        </w:rPr>
      </w:pPr>
      <w:r>
        <w:rPr>
          <w:b/>
          <w:szCs w:val="24"/>
        </w:rPr>
        <w:t xml:space="preserve">Supplementary </w:t>
      </w:r>
      <w:r w:rsidRPr="001B0D10">
        <w:rPr>
          <w:b/>
          <w:szCs w:val="24"/>
        </w:rPr>
        <w:t xml:space="preserve">Fig. </w:t>
      </w:r>
      <w:r>
        <w:rPr>
          <w:rFonts w:hint="eastAsia"/>
          <w:b/>
          <w:szCs w:val="24"/>
        </w:rPr>
        <w:t>5</w:t>
      </w:r>
      <w:r w:rsidRPr="001B0D10">
        <w:rPr>
          <w:b/>
          <w:szCs w:val="24"/>
        </w:rPr>
        <w:t xml:space="preserve">. </w:t>
      </w:r>
      <w:r w:rsidRPr="001B0D10">
        <w:rPr>
          <w:b/>
          <w:bCs/>
          <w:szCs w:val="24"/>
        </w:rPr>
        <w:t>Effects of reEPO and ML1-R on activation of Akt/Erk signaling</w:t>
      </w:r>
      <w:r w:rsidRPr="001B0D10">
        <w:rPr>
          <w:b/>
          <w:szCs w:val="24"/>
        </w:rPr>
        <w:t xml:space="preserve">. </w:t>
      </w:r>
      <w:r w:rsidRPr="001B0D10">
        <w:rPr>
          <w:szCs w:val="24"/>
        </w:rPr>
        <w:t>(</w:t>
      </w:r>
      <w:r>
        <w:rPr>
          <w:szCs w:val="24"/>
        </w:rPr>
        <w:t>a</w:t>
      </w:r>
      <w:r w:rsidRPr="001B0D10">
        <w:rPr>
          <w:szCs w:val="24"/>
        </w:rPr>
        <w:t xml:space="preserve">) Viability of cultured primary cortical neurons after hypoxia-reoxygenation for 18 h with or without reEPO (0.5 IU/ml) in the presence or absence of LY294002 (50 </w:t>
      </w:r>
      <w:r w:rsidRPr="001B0D10">
        <w:rPr>
          <w:rFonts w:ascii="Symbol" w:hAnsi="Symbol"/>
          <w:szCs w:val="24"/>
        </w:rPr>
        <w:t></w:t>
      </w:r>
      <w:r w:rsidRPr="001B0D10">
        <w:rPr>
          <w:szCs w:val="24"/>
        </w:rPr>
        <w:t xml:space="preserve">M) and U0126 (20 </w:t>
      </w:r>
      <w:r w:rsidRPr="001B0D10">
        <w:rPr>
          <w:rFonts w:ascii="Symbol" w:hAnsi="Symbol"/>
          <w:szCs w:val="24"/>
        </w:rPr>
        <w:t></w:t>
      </w:r>
      <w:r w:rsidRPr="001B0D10">
        <w:rPr>
          <w:szCs w:val="24"/>
        </w:rPr>
        <w:t>M)</w:t>
      </w:r>
      <w:r w:rsidRPr="001B0D10">
        <w:rPr>
          <w:rFonts w:hint="eastAsia"/>
          <w:szCs w:val="24"/>
        </w:rPr>
        <w:t>.</w:t>
      </w:r>
      <w:r w:rsidRPr="001B0D10">
        <w:rPr>
          <w:szCs w:val="24"/>
        </w:rPr>
        <w:t xml:space="preserve"> For statistical analysis, two-way ANOVA was performed, followed by Tukey's multiple comparisons test (n=5, ***p&lt;0.001</w:t>
      </w:r>
      <w:r>
        <w:rPr>
          <w:szCs w:val="24"/>
        </w:rPr>
        <w:t>,</w:t>
      </w:r>
      <w:r w:rsidRPr="001B0D10">
        <w:rPr>
          <w:szCs w:val="24"/>
        </w:rPr>
        <w:t xml:space="preserve"> ns</w:t>
      </w:r>
      <w:r>
        <w:rPr>
          <w:szCs w:val="24"/>
        </w:rPr>
        <w:t>:</w:t>
      </w:r>
      <w:r w:rsidRPr="001B0D10">
        <w:rPr>
          <w:szCs w:val="24"/>
        </w:rPr>
        <w:t xml:space="preserve"> non-significant). (</w:t>
      </w:r>
      <w:r>
        <w:rPr>
          <w:szCs w:val="24"/>
        </w:rPr>
        <w:t>b</w:t>
      </w:r>
      <w:r w:rsidRPr="001B0D10">
        <w:rPr>
          <w:szCs w:val="24"/>
        </w:rPr>
        <w:t xml:space="preserve">) Viability of cultured primary cortical neurons after hypoxia-reoxygenation for 18 h with or without ML1-R (1 ng/ml) in the presence or absence of LY294002 (50 </w:t>
      </w:r>
      <w:r w:rsidRPr="001B0D10">
        <w:rPr>
          <w:rFonts w:ascii="Symbol" w:hAnsi="Symbol"/>
          <w:szCs w:val="24"/>
        </w:rPr>
        <w:t></w:t>
      </w:r>
      <w:r w:rsidRPr="001B0D10">
        <w:rPr>
          <w:szCs w:val="24"/>
        </w:rPr>
        <w:t xml:space="preserve">M) and U0126 (20 </w:t>
      </w:r>
      <w:r w:rsidRPr="001B0D10">
        <w:rPr>
          <w:rFonts w:ascii="Symbol" w:hAnsi="Symbol"/>
          <w:szCs w:val="24"/>
        </w:rPr>
        <w:t></w:t>
      </w:r>
      <w:r w:rsidRPr="001B0D10">
        <w:rPr>
          <w:szCs w:val="24"/>
        </w:rPr>
        <w:t>M)</w:t>
      </w:r>
      <w:r w:rsidRPr="001B0D10">
        <w:rPr>
          <w:rFonts w:hint="eastAsia"/>
          <w:szCs w:val="24"/>
        </w:rPr>
        <w:t>.</w:t>
      </w:r>
      <w:r w:rsidRPr="001B0D10">
        <w:rPr>
          <w:szCs w:val="24"/>
        </w:rPr>
        <w:t xml:space="preserve"> For statistical analysis, two-way ANOVA was performed, followed by Tukey's multiple comparisons test (n=5, ***p&lt;0.001</w:t>
      </w:r>
      <w:r>
        <w:rPr>
          <w:szCs w:val="24"/>
        </w:rPr>
        <w:t>,</w:t>
      </w:r>
      <w:r w:rsidRPr="001B0D10">
        <w:rPr>
          <w:szCs w:val="24"/>
        </w:rPr>
        <w:t xml:space="preserve"> ns</w:t>
      </w:r>
      <w:r>
        <w:rPr>
          <w:szCs w:val="24"/>
        </w:rPr>
        <w:t>:</w:t>
      </w:r>
      <w:r w:rsidRPr="001B0D10">
        <w:rPr>
          <w:szCs w:val="24"/>
        </w:rPr>
        <w:t xml:space="preserve"> non-significant).</w:t>
      </w:r>
    </w:p>
    <w:p w14:paraId="055D6250" w14:textId="77777777" w:rsidR="00F572D4" w:rsidRDefault="00F572D4" w:rsidP="00F572D4">
      <w:pPr>
        <w:rPr>
          <w:b/>
          <w:szCs w:val="24"/>
        </w:rPr>
      </w:pPr>
    </w:p>
    <w:p w14:paraId="6A914A89" w14:textId="77777777" w:rsidR="00F572D4" w:rsidRDefault="00F572D4" w:rsidP="00F572D4">
      <w:pPr>
        <w:rPr>
          <w:b/>
          <w:szCs w:val="24"/>
        </w:rPr>
      </w:pPr>
      <w:r>
        <w:rPr>
          <w:b/>
          <w:szCs w:val="24"/>
        </w:rPr>
        <w:br w:type="page"/>
      </w:r>
    </w:p>
    <w:p w14:paraId="62E561CE" w14:textId="77777777" w:rsidR="00F572D4" w:rsidRDefault="00F572D4" w:rsidP="00F572D4">
      <w:pPr>
        <w:jc w:val="center"/>
        <w:rPr>
          <w:b/>
          <w:szCs w:val="24"/>
        </w:rPr>
      </w:pPr>
      <w:r>
        <w:rPr>
          <w:b/>
          <w:noProof/>
          <w:szCs w:val="24"/>
        </w:rPr>
        <w:lastRenderedPageBreak/>
        <w:drawing>
          <wp:inline distT="0" distB="0" distL="0" distR="0" wp14:anchorId="4B3E19DB" wp14:editId="45773816">
            <wp:extent cx="5581015" cy="1949570"/>
            <wp:effectExtent l="0" t="0" r="635" b="0"/>
            <wp:docPr id="23" name="그림 23" descr="A screenshot of a white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그림 23" descr="A screenshot of a white paper&#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75802"/>
                    <a:stretch/>
                  </pic:blipFill>
                  <pic:spPr bwMode="auto">
                    <a:xfrm>
                      <a:off x="0" y="0"/>
                      <a:ext cx="5581015" cy="1949570"/>
                    </a:xfrm>
                    <a:prstGeom prst="rect">
                      <a:avLst/>
                    </a:prstGeom>
                    <a:noFill/>
                    <a:ln>
                      <a:noFill/>
                    </a:ln>
                    <a:extLst>
                      <a:ext uri="{53640926-AAD7-44D8-BBD7-CCE9431645EC}">
                        <a14:shadowObscured xmlns:a14="http://schemas.microsoft.com/office/drawing/2010/main"/>
                      </a:ext>
                    </a:extLst>
                  </pic:spPr>
                </pic:pic>
              </a:graphicData>
            </a:graphic>
          </wp:inline>
        </w:drawing>
      </w:r>
    </w:p>
    <w:p w14:paraId="14E5F53A" w14:textId="77777777" w:rsidR="00F572D4" w:rsidRDefault="00F572D4" w:rsidP="00F572D4">
      <w:pPr>
        <w:rPr>
          <w:b/>
          <w:szCs w:val="24"/>
        </w:rPr>
      </w:pPr>
    </w:p>
    <w:p w14:paraId="54FD804B" w14:textId="77777777" w:rsidR="00F572D4" w:rsidRPr="00AE00DD" w:rsidRDefault="00F572D4" w:rsidP="00F572D4">
      <w:pPr>
        <w:rPr>
          <w:szCs w:val="24"/>
        </w:rPr>
      </w:pPr>
      <w:r>
        <w:rPr>
          <w:b/>
          <w:szCs w:val="24"/>
        </w:rPr>
        <w:t xml:space="preserve">Supplementary </w:t>
      </w:r>
      <w:r w:rsidRPr="00AE00DD">
        <w:rPr>
          <w:b/>
          <w:szCs w:val="24"/>
        </w:rPr>
        <w:t>Fig. 6. Differential effects of reEPO and ML1-R on total EPOR proteins.</w:t>
      </w:r>
      <w:r>
        <w:rPr>
          <w:b/>
          <w:szCs w:val="24"/>
        </w:rPr>
        <w:t xml:space="preserve"> </w:t>
      </w:r>
      <w:r w:rsidRPr="00AE00DD">
        <w:rPr>
          <w:szCs w:val="24"/>
        </w:rPr>
        <w:t>(</w:t>
      </w:r>
      <w:r>
        <w:rPr>
          <w:szCs w:val="24"/>
        </w:rPr>
        <w:t>a</w:t>
      </w:r>
      <w:r w:rsidRPr="00AE00DD">
        <w:rPr>
          <w:szCs w:val="24"/>
        </w:rPr>
        <w:t>) Time-series immunoblots of total EPOR under treatment with reEPO and ML1-R.</w:t>
      </w:r>
    </w:p>
    <w:p w14:paraId="1C2FAF5D" w14:textId="77777777" w:rsidR="00F572D4" w:rsidRDefault="00F572D4" w:rsidP="00F572D4">
      <w:pPr>
        <w:rPr>
          <w:b/>
          <w:szCs w:val="24"/>
        </w:rPr>
      </w:pPr>
    </w:p>
    <w:p w14:paraId="6C674EC3" w14:textId="77777777" w:rsidR="00F572D4" w:rsidRDefault="00F572D4" w:rsidP="00F572D4">
      <w:pPr>
        <w:rPr>
          <w:b/>
          <w:szCs w:val="24"/>
        </w:rPr>
      </w:pPr>
    </w:p>
    <w:p w14:paraId="52456FB9" w14:textId="77777777" w:rsidR="00F572D4" w:rsidRDefault="00F572D4" w:rsidP="00F572D4">
      <w:pPr>
        <w:jc w:val="center"/>
        <w:rPr>
          <w:b/>
          <w:szCs w:val="24"/>
        </w:rPr>
      </w:pPr>
      <w:r>
        <w:rPr>
          <w:b/>
          <w:noProof/>
          <w:szCs w:val="24"/>
        </w:rPr>
        <w:lastRenderedPageBreak/>
        <w:drawing>
          <wp:inline distT="0" distB="0" distL="0" distR="0" wp14:anchorId="5471648E" wp14:editId="1D2B7B46">
            <wp:extent cx="5581015" cy="8056880"/>
            <wp:effectExtent l="0" t="0" r="635" b="127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81015" cy="8056880"/>
                    </a:xfrm>
                    <a:prstGeom prst="rect">
                      <a:avLst/>
                    </a:prstGeom>
                    <a:noFill/>
                    <a:ln>
                      <a:noFill/>
                    </a:ln>
                  </pic:spPr>
                </pic:pic>
              </a:graphicData>
            </a:graphic>
          </wp:inline>
        </w:drawing>
      </w:r>
    </w:p>
    <w:p w14:paraId="4CDBE0CD" w14:textId="77777777" w:rsidR="00F572D4" w:rsidRDefault="00F572D4" w:rsidP="00F572D4">
      <w:pPr>
        <w:rPr>
          <w:szCs w:val="24"/>
        </w:rPr>
      </w:pPr>
      <w:r>
        <w:rPr>
          <w:b/>
          <w:szCs w:val="24"/>
        </w:rPr>
        <w:lastRenderedPageBreak/>
        <w:t xml:space="preserve">Supplementary </w:t>
      </w:r>
      <w:r w:rsidRPr="005412B5">
        <w:rPr>
          <w:b/>
          <w:szCs w:val="24"/>
        </w:rPr>
        <w:t xml:space="preserve">Fig. </w:t>
      </w:r>
      <w:r>
        <w:rPr>
          <w:b/>
          <w:szCs w:val="24"/>
        </w:rPr>
        <w:t>7</w:t>
      </w:r>
      <w:r w:rsidRPr="005412B5">
        <w:rPr>
          <w:b/>
          <w:szCs w:val="24"/>
        </w:rPr>
        <w:t>. Differential effects of reEPO and ML1-R on EPOR in plasma membrane</w:t>
      </w:r>
      <w:r>
        <w:rPr>
          <w:b/>
          <w:szCs w:val="24"/>
        </w:rPr>
        <w:t xml:space="preserve"> using cell surface biotinylation assay</w:t>
      </w:r>
      <w:r w:rsidRPr="005412B5">
        <w:rPr>
          <w:b/>
          <w:szCs w:val="24"/>
        </w:rPr>
        <w:t>.</w:t>
      </w:r>
      <w:r>
        <w:rPr>
          <w:b/>
          <w:szCs w:val="24"/>
        </w:rPr>
        <w:t xml:space="preserve"> </w:t>
      </w:r>
      <w:r w:rsidRPr="00C47C8A">
        <w:rPr>
          <w:szCs w:val="24"/>
        </w:rPr>
        <w:t>(</w:t>
      </w:r>
      <w:r>
        <w:rPr>
          <w:szCs w:val="24"/>
        </w:rPr>
        <w:t>a</w:t>
      </w:r>
      <w:r w:rsidRPr="00C47C8A">
        <w:rPr>
          <w:szCs w:val="24"/>
        </w:rPr>
        <w:t>) Schematic diagram of the process for cell surface biotinylation assay for isolation of EPOR in plasma membrane. (</w:t>
      </w:r>
      <w:r>
        <w:rPr>
          <w:szCs w:val="24"/>
        </w:rPr>
        <w:t>b</w:t>
      </w:r>
      <w:r w:rsidRPr="00C47C8A">
        <w:rPr>
          <w:szCs w:val="24"/>
        </w:rPr>
        <w:t>) Time-series immunoblots of EPOR in plasma membrane under treatment with reEPO and ML1-R by using cell surface biotinylation assay. (</w:t>
      </w:r>
      <w:r>
        <w:rPr>
          <w:szCs w:val="24"/>
        </w:rPr>
        <w:t>c</w:t>
      </w:r>
      <w:r w:rsidRPr="00C47C8A">
        <w:rPr>
          <w:szCs w:val="24"/>
        </w:rPr>
        <w:t xml:space="preserve">, </w:t>
      </w:r>
      <w:r>
        <w:rPr>
          <w:szCs w:val="24"/>
        </w:rPr>
        <w:t>d</w:t>
      </w:r>
      <w:r w:rsidRPr="00C47C8A">
        <w:rPr>
          <w:szCs w:val="24"/>
        </w:rPr>
        <w:t>) The relative level of EPOR and Na+/K+ ATPase levels in plasma membrane were measured and normalized by GAPDH. For statistical analysis, one-way ANOVA was performed, followed by Dunnett’s Method (n=5, *p&lt;0.05</w:t>
      </w:r>
      <w:r>
        <w:rPr>
          <w:szCs w:val="24"/>
        </w:rPr>
        <w:t xml:space="preserve">, </w:t>
      </w:r>
      <w:r w:rsidRPr="00C47C8A">
        <w:rPr>
          <w:szCs w:val="24"/>
        </w:rPr>
        <w:t>*</w:t>
      </w:r>
      <w:r>
        <w:rPr>
          <w:szCs w:val="24"/>
        </w:rPr>
        <w:t>*</w:t>
      </w:r>
      <w:r w:rsidRPr="00C47C8A">
        <w:rPr>
          <w:szCs w:val="24"/>
        </w:rPr>
        <w:t>p&lt;0.0</w:t>
      </w:r>
      <w:r>
        <w:rPr>
          <w:szCs w:val="24"/>
        </w:rPr>
        <w:t>1</w:t>
      </w:r>
      <w:r w:rsidRPr="00C47C8A">
        <w:rPr>
          <w:szCs w:val="24"/>
        </w:rPr>
        <w:t>).</w:t>
      </w:r>
    </w:p>
    <w:p w14:paraId="2A4BF516" w14:textId="77777777" w:rsidR="00F572D4" w:rsidRPr="00AD25EC" w:rsidRDefault="00F572D4" w:rsidP="00F572D4">
      <w:pPr>
        <w:pStyle w:val="Paragraph"/>
        <w:spacing w:line="480" w:lineRule="auto"/>
        <w:ind w:firstLine="0"/>
        <w:rPr>
          <w:b/>
          <w:color w:val="000000" w:themeColor="text1"/>
        </w:rPr>
      </w:pPr>
    </w:p>
    <w:p w14:paraId="069174B5" w14:textId="77777777" w:rsidR="00F553FF" w:rsidRDefault="00F553FF"/>
    <w:sectPr w:rsidR="00F553FF" w:rsidSect="00F572D4">
      <w:footerReference w:type="default" r:id="rId11"/>
      <w:footerReference w:type="first" r:id="rId12"/>
      <w:pgSz w:w="12240" w:h="15840" w:code="1"/>
      <w:pgMar w:top="1440" w:right="1440" w:bottom="1440" w:left="1440" w:header="432"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79965212"/>
      <w:docPartObj>
        <w:docPartGallery w:val="Page Numbers (Bottom of Page)"/>
        <w:docPartUnique/>
      </w:docPartObj>
    </w:sdtPr>
    <w:sdtContent>
      <w:p w14:paraId="2824DE2F" w14:textId="77777777" w:rsidR="00000000" w:rsidRDefault="00000000">
        <w:pPr>
          <w:pStyle w:val="Footer"/>
          <w:jc w:val="center"/>
        </w:pPr>
        <w:r>
          <w:fldChar w:fldCharType="begin"/>
        </w:r>
        <w:r>
          <w:instrText>PAGE   \* MERGEFORMAT</w:instrText>
        </w:r>
        <w:r>
          <w:fldChar w:fldCharType="separate"/>
        </w:r>
        <w:r w:rsidRPr="00DE54B9">
          <w:rPr>
            <w:noProof/>
            <w:lang w:val="ko-KR" w:eastAsia="ko-KR"/>
          </w:rPr>
          <w:t>11</w:t>
        </w:r>
        <w:r>
          <w:fldChar w:fldCharType="end"/>
        </w:r>
      </w:p>
    </w:sdtContent>
  </w:sdt>
  <w:p w14:paraId="296C7BEE"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0493481"/>
      <w:docPartObj>
        <w:docPartGallery w:val="Page Numbers (Bottom of Page)"/>
        <w:docPartUnique/>
      </w:docPartObj>
    </w:sdtPr>
    <w:sdtContent>
      <w:p w14:paraId="0E2FA679" w14:textId="77777777" w:rsidR="00000000" w:rsidRDefault="00000000">
        <w:pPr>
          <w:pStyle w:val="Footer"/>
          <w:jc w:val="center"/>
        </w:pPr>
        <w:r>
          <w:fldChar w:fldCharType="begin"/>
        </w:r>
        <w:r>
          <w:instrText>PAGE   \* MERGEFORMAT</w:instrText>
        </w:r>
        <w:r>
          <w:fldChar w:fldCharType="separate"/>
        </w:r>
        <w:r w:rsidRPr="00DE54B9">
          <w:rPr>
            <w:noProof/>
            <w:lang w:val="ko-KR" w:eastAsia="ko-KR"/>
          </w:rPr>
          <w:t>1</w:t>
        </w:r>
        <w:r>
          <w:fldChar w:fldCharType="end"/>
        </w:r>
      </w:p>
    </w:sdtContent>
  </w:sdt>
  <w:p w14:paraId="5512199E"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2D4"/>
    <w:rsid w:val="003C2EF4"/>
    <w:rsid w:val="0099608B"/>
    <w:rsid w:val="00B74216"/>
    <w:rsid w:val="00D62F8C"/>
    <w:rsid w:val="00F553FF"/>
    <w:rsid w:val="00F57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C59C3"/>
  <w15:chartTrackingRefBased/>
  <w15:docId w15:val="{01BF6903-56C2-4225-B8ED-98F04CF5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2D4"/>
    <w:pPr>
      <w:spacing w:after="0" w:line="480" w:lineRule="auto"/>
    </w:pPr>
    <w:rPr>
      <w:rFonts w:ascii="Times New Roman" w:eastAsiaTheme="minorEastAsia" w:hAnsi="Times New Roman" w:cs="Times New Roman"/>
      <w:kern w:val="0"/>
      <w:sz w:val="24"/>
      <w:szCs w:val="20"/>
      <w14:ligatures w14:val="none"/>
    </w:rPr>
  </w:style>
  <w:style w:type="paragraph" w:styleId="Heading1">
    <w:name w:val="heading 1"/>
    <w:basedOn w:val="Normal"/>
    <w:next w:val="Normal"/>
    <w:link w:val="Heading1Char"/>
    <w:uiPriority w:val="9"/>
    <w:qFormat/>
    <w:rsid w:val="00F572D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572D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572D4"/>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572D4"/>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F572D4"/>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F572D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F572D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F572D4"/>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F572D4"/>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2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72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72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72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72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72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72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72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72D4"/>
    <w:rPr>
      <w:rFonts w:eastAsiaTheme="majorEastAsia" w:cstheme="majorBidi"/>
      <w:color w:val="272727" w:themeColor="text1" w:themeTint="D8"/>
    </w:rPr>
  </w:style>
  <w:style w:type="paragraph" w:styleId="Title">
    <w:name w:val="Title"/>
    <w:basedOn w:val="Normal"/>
    <w:next w:val="Normal"/>
    <w:link w:val="TitleChar"/>
    <w:uiPriority w:val="10"/>
    <w:qFormat/>
    <w:rsid w:val="00F572D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572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2D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572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72D4"/>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F572D4"/>
    <w:rPr>
      <w:i/>
      <w:iCs/>
      <w:color w:val="404040" w:themeColor="text1" w:themeTint="BF"/>
    </w:rPr>
  </w:style>
  <w:style w:type="paragraph" w:styleId="ListParagraph">
    <w:name w:val="List Paragraph"/>
    <w:basedOn w:val="Normal"/>
    <w:uiPriority w:val="34"/>
    <w:qFormat/>
    <w:rsid w:val="00F572D4"/>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F572D4"/>
    <w:rPr>
      <w:i/>
      <w:iCs/>
      <w:color w:val="0F4761" w:themeColor="accent1" w:themeShade="BF"/>
    </w:rPr>
  </w:style>
  <w:style w:type="paragraph" w:styleId="IntenseQuote">
    <w:name w:val="Intense Quote"/>
    <w:basedOn w:val="Normal"/>
    <w:next w:val="Normal"/>
    <w:link w:val="IntenseQuoteChar"/>
    <w:uiPriority w:val="30"/>
    <w:qFormat/>
    <w:rsid w:val="00F572D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F572D4"/>
    <w:rPr>
      <w:i/>
      <w:iCs/>
      <w:color w:val="0F4761" w:themeColor="accent1" w:themeShade="BF"/>
    </w:rPr>
  </w:style>
  <w:style w:type="character" w:styleId="IntenseReference">
    <w:name w:val="Intense Reference"/>
    <w:basedOn w:val="DefaultParagraphFont"/>
    <w:uiPriority w:val="32"/>
    <w:qFormat/>
    <w:rsid w:val="00F572D4"/>
    <w:rPr>
      <w:b/>
      <w:bCs/>
      <w:smallCaps/>
      <w:color w:val="0F4761" w:themeColor="accent1" w:themeShade="BF"/>
      <w:spacing w:val="5"/>
    </w:rPr>
  </w:style>
  <w:style w:type="paragraph" w:customStyle="1" w:styleId="Paragraph">
    <w:name w:val="Paragraph"/>
    <w:basedOn w:val="Normal"/>
    <w:link w:val="ParagraphChar"/>
    <w:rsid w:val="00F572D4"/>
    <w:pPr>
      <w:spacing w:before="120" w:line="240" w:lineRule="auto"/>
      <w:ind w:firstLine="720"/>
    </w:pPr>
    <w:rPr>
      <w:rFonts w:eastAsia="Times New Roman"/>
      <w:szCs w:val="24"/>
    </w:rPr>
  </w:style>
  <w:style w:type="paragraph" w:styleId="Footer">
    <w:name w:val="footer"/>
    <w:basedOn w:val="Normal"/>
    <w:link w:val="FooterChar"/>
    <w:uiPriority w:val="99"/>
    <w:rsid w:val="00F572D4"/>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F572D4"/>
    <w:rPr>
      <w:rFonts w:ascii="Times New Roman" w:eastAsia="Times New Roman" w:hAnsi="Times New Roman" w:cs="Times New Roman"/>
      <w:kern w:val="0"/>
      <w:sz w:val="24"/>
      <w:szCs w:val="20"/>
      <w14:ligatures w14:val="none"/>
    </w:rPr>
  </w:style>
  <w:style w:type="character" w:customStyle="1" w:styleId="ParagraphChar">
    <w:name w:val="Paragraph Char"/>
    <w:basedOn w:val="DefaultParagraphFont"/>
    <w:link w:val="Paragraph"/>
    <w:rsid w:val="00F572D4"/>
    <w:rPr>
      <w:rFonts w:ascii="Times New Roman" w:eastAsia="Times New Roman" w:hAnsi="Times New Roman" w:cs="Times New Roman"/>
      <w:kern w:val="0"/>
      <w:sz w:val="24"/>
      <w:szCs w:val="24"/>
      <w14:ligatures w14:val="none"/>
    </w:rPr>
  </w:style>
  <w:style w:type="character" w:styleId="LineNumber">
    <w:name w:val="line number"/>
    <w:basedOn w:val="DefaultParagraphFont"/>
    <w:uiPriority w:val="99"/>
    <w:semiHidden/>
    <w:unhideWhenUsed/>
    <w:rsid w:val="00F572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oter" Target="footer1.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1321</Words>
  <Characters>7530</Characters>
  <Application>Microsoft Office Word</Application>
  <DocSecurity>0</DocSecurity>
  <Lines>62</Lines>
  <Paragraphs>17</Paragraphs>
  <ScaleCrop>false</ScaleCrop>
  <Company>Springer Nature</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2025-01-08T07:12:00Z</dcterms:created>
  <dcterms:modified xsi:type="dcterms:W3CDTF">2025-01-08T07:13:00Z</dcterms:modified>
</cp:coreProperties>
</file>