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20" w:line="240" w:lineRule="auto"/>
        <w:jc w:val="center"/>
        <w:rPr>
          <w:rFonts w:ascii="Times New Roman" w:hAnsi="Times New Roman" w:eastAsia="Times New Roman" w:cs="Times New Roman"/>
          <w:b/>
          <w:sz w:val="24"/>
          <w:szCs w:val="24"/>
        </w:rPr>
      </w:pPr>
      <w:r>
        <w:rPr>
          <w:rFonts w:ascii="Times New Roman" w:hAnsi="Times New Roman" w:eastAsia="Times New Roman" w:cs="Times New Roman"/>
          <w:b/>
          <w:sz w:val="24"/>
          <w:szCs w:val="24"/>
        </w:rPr>
        <w:t>Supporting Information</w:t>
      </w:r>
    </w:p>
    <w:p>
      <w:pPr>
        <w:spacing w:after="120" w:line="240" w:lineRule="auto"/>
        <w:jc w:val="center"/>
        <w:rPr>
          <w:rFonts w:ascii="Times New Roman" w:hAnsi="Times New Roman" w:eastAsia="Times New Roman" w:cs="Times New Roman"/>
          <w:b/>
          <w:sz w:val="24"/>
          <w:szCs w:val="24"/>
        </w:rPr>
      </w:pPr>
    </w:p>
    <w:p>
      <w:pPr>
        <w:spacing w:after="120" w:line="240" w:lineRule="auto"/>
        <w:jc w:val="center"/>
        <w:rPr>
          <w:rFonts w:ascii="Times New Roman" w:hAnsi="Times New Roman" w:eastAsia="Times New Roman" w:cs="Times New Roman"/>
          <w:sz w:val="24"/>
          <w:szCs w:val="24"/>
        </w:rPr>
      </w:pPr>
      <w:r>
        <w:rPr>
          <w:rFonts w:ascii="Times New Roman" w:hAnsi="Times New Roman" w:eastAsia="Times New Roman" w:cs="Times New Roman"/>
          <w:sz w:val="24"/>
          <w:szCs w:val="24"/>
        </w:rPr>
        <w:t>for</w:t>
      </w:r>
    </w:p>
    <w:p>
      <w:pPr>
        <w:spacing w:after="120" w:line="240" w:lineRule="auto"/>
        <w:jc w:val="center"/>
        <w:rPr>
          <w:rFonts w:hint="eastAsia" w:ascii="等线" w:hAnsi="等线" w:eastAsia="宋体" w:cs="等线"/>
          <w:sz w:val="24"/>
          <w:szCs w:val="24"/>
          <w:lang w:val="en-US" w:eastAsia="zh-CN"/>
        </w:rPr>
      </w:pPr>
      <w:bookmarkStart w:id="0" w:name="_566or5yabq4i" w:colFirst="0" w:colLast="0"/>
      <w:bookmarkEnd w:id="0"/>
      <w:r>
        <w:rPr>
          <w:rFonts w:hint="eastAsia" w:ascii="Times New Roman" w:hAnsi="Times New Roman" w:eastAsia="Times New Roman" w:cs="Times New Roman"/>
          <w:b/>
          <w:sz w:val="24"/>
          <w:szCs w:val="24"/>
        </w:rPr>
        <w:t>Global mangrove loss footprint mappings across space and time</w:t>
      </w:r>
      <w:r>
        <w:rPr>
          <w:rFonts w:hint="eastAsia" w:ascii="Times New Roman" w:hAnsi="Times New Roman" w:eastAsia="宋体" w:cs="Times New Roman"/>
          <w:b/>
          <w:sz w:val="24"/>
          <w:szCs w:val="24"/>
          <w:lang w:val="en-US" w:eastAsia="zh-CN"/>
        </w:rPr>
        <w:t>.</w:t>
      </w:r>
    </w:p>
    <w:p>
      <w:pPr>
        <w:spacing w:after="120" w:line="240" w:lineRule="auto"/>
        <w:rPr>
          <w:rFonts w:ascii="等线" w:hAnsi="等线" w:eastAsia="等线" w:cs="等线"/>
          <w:sz w:val="24"/>
          <w:szCs w:val="24"/>
        </w:rPr>
      </w:pPr>
    </w:p>
    <w:p>
      <w:pPr>
        <w:spacing w:after="120" w:line="240" w:lineRule="auto"/>
        <w:rPr>
          <w:rFonts w:ascii="等线" w:hAnsi="等线" w:eastAsia="等线" w:cs="等线"/>
          <w:sz w:val="24"/>
          <w:szCs w:val="24"/>
        </w:rPr>
      </w:pPr>
    </w:p>
    <w:p>
      <w:pPr>
        <w:spacing w:after="120" w:line="240" w:lineRule="auto"/>
        <w:rPr>
          <w:rFonts w:ascii="Times New Roman" w:hAnsi="Times New Roman" w:eastAsia="Times New Roman" w:cs="Times New Roman"/>
          <w:sz w:val="24"/>
          <w:szCs w:val="24"/>
        </w:rPr>
      </w:pPr>
    </w:p>
    <w:p>
      <w:pPr>
        <w:spacing w:after="120" w:line="240" w:lineRule="auto"/>
        <w:rPr>
          <w:rFonts w:hint="eastAsia" w:ascii="Times New Roman" w:hAnsi="Times New Roman" w:eastAsia="宋体" w:cs="Times New Roman"/>
          <w:sz w:val="24"/>
          <w:szCs w:val="24"/>
          <w:lang w:eastAsia="zh-CN"/>
        </w:rPr>
      </w:pPr>
      <w:r>
        <w:rPr>
          <w:rFonts w:ascii="Times New Roman" w:hAnsi="Times New Roman" w:eastAsia="Times New Roman" w:cs="Times New Roman"/>
          <w:sz w:val="24"/>
          <w:szCs w:val="24"/>
        </w:rPr>
        <w:t xml:space="preserve">Pages: </w:t>
      </w:r>
      <w:r>
        <w:rPr>
          <w:rFonts w:hint="eastAsia" w:ascii="Times New Roman" w:hAnsi="Times New Roman" w:eastAsia="宋体" w:cs="Times New Roman"/>
          <w:sz w:val="24"/>
          <w:szCs w:val="24"/>
          <w:lang w:val="en-US" w:eastAsia="zh-CN"/>
        </w:rPr>
        <w:t>8</w:t>
      </w:r>
    </w:p>
    <w:p>
      <w:pPr>
        <w:spacing w:after="120" w:line="240" w:lineRule="auto"/>
        <w:rPr>
          <w:rFonts w:ascii="Times New Roman" w:hAnsi="Times New Roman" w:cs="Times New Roman"/>
          <w:sz w:val="24"/>
          <w:szCs w:val="24"/>
        </w:rPr>
      </w:pPr>
      <w:r>
        <w:rPr>
          <w:rFonts w:ascii="Times New Roman" w:hAnsi="Times New Roman" w:eastAsia="Times New Roman" w:cs="Times New Roman"/>
          <w:sz w:val="24"/>
          <w:szCs w:val="24"/>
        </w:rPr>
        <w:t xml:space="preserve">Figures: </w:t>
      </w:r>
      <w:r>
        <w:rPr>
          <w:rFonts w:hint="eastAsia" w:ascii="Times New Roman" w:hAnsi="Times New Roman" w:cs="Times New Roman"/>
          <w:sz w:val="24"/>
          <w:szCs w:val="24"/>
        </w:rPr>
        <w:t>2</w:t>
      </w:r>
    </w:p>
    <w:p>
      <w:pPr>
        <w:spacing w:after="120" w:line="240" w:lineRule="auto"/>
        <w:rPr>
          <w:rFonts w:hint="eastAsia" w:ascii="Times New Roman" w:hAnsi="Times New Roman" w:cs="Times New Roman" w:eastAsiaTheme="minorEastAsia"/>
          <w:sz w:val="24"/>
          <w:szCs w:val="24"/>
          <w:lang w:eastAsia="zh-CN"/>
        </w:rPr>
      </w:pPr>
      <w:r>
        <w:rPr>
          <w:rFonts w:hint="eastAsia" w:ascii="Times New Roman" w:hAnsi="Times New Roman" w:cs="Times New Roman"/>
          <w:sz w:val="24"/>
          <w:szCs w:val="24"/>
        </w:rPr>
        <w:t>Tables:</w:t>
      </w:r>
      <w:r>
        <w:rPr>
          <w:rFonts w:hint="eastAsia" w:ascii="Times New Roman" w:hAnsi="Times New Roman" w:cs="Times New Roman"/>
          <w:sz w:val="24"/>
          <w:szCs w:val="24"/>
          <w:lang w:val="en-US" w:eastAsia="zh-CN"/>
        </w:rPr>
        <w:t>8</w:t>
      </w:r>
    </w:p>
    <w:p>
      <w:pPr>
        <w:spacing w:after="120" w:line="240" w:lineRule="auto"/>
        <w:rPr>
          <w:rFonts w:ascii="Times New Roman" w:hAnsi="Times New Roman" w:eastAsia="Times New Roman" w:cs="Times New Roman"/>
          <w:sz w:val="24"/>
          <w:szCs w:val="24"/>
        </w:rPr>
      </w:pPr>
    </w:p>
    <w:p>
      <w:pPr>
        <w:spacing w:after="120" w:line="240" w:lineRule="auto"/>
        <w:rPr>
          <w:rFonts w:ascii="Times New Roman" w:hAnsi="Times New Roman" w:eastAsia="Times New Roman" w:cs="Times New Roman"/>
          <w:sz w:val="24"/>
          <w:szCs w:val="24"/>
        </w:rPr>
      </w:pPr>
    </w:p>
    <w:p>
      <w:pPr>
        <w:numPr>
          <w:ilvl w:val="0"/>
          <w:numId w:val="0"/>
        </w:numPr>
        <w:ind w:left="360" w:leftChars="0"/>
        <w:jc w:val="both"/>
        <w:rPr>
          <w:rFonts w:ascii="Times New Roman" w:hAnsi="Times New Roman" w:eastAsia="Times New Roman" w:cs="Times New Roman"/>
          <w:sz w:val="24"/>
          <w:szCs w:val="24"/>
        </w:rPr>
      </w:pPr>
      <w:r>
        <w:rPr>
          <w:rFonts w:hint="eastAsia" w:ascii="Times New Roman" w:hAnsi="Times New Roman" w:eastAsia="宋体" w:cs="Times New Roman"/>
          <w:sz w:val="24"/>
          <w:szCs w:val="24"/>
          <w:lang w:val="en-US" w:eastAsia="zh-CN"/>
        </w:rPr>
        <w:t xml:space="preserve">SI-Figure 1: </w:t>
      </w:r>
      <w:r>
        <w:rPr>
          <w:rFonts w:ascii="Times New Roman" w:hAnsi="Times New Roman" w:eastAsia="Times New Roman" w:cs="Times New Roman"/>
          <w:sz w:val="24"/>
          <w:szCs w:val="24"/>
        </w:rPr>
        <w:t>Mangrove loss footprint flows (km2) between mangrove-holding and consumer countries in 2000-2016.</w:t>
      </w:r>
    </w:p>
    <w:p>
      <w:pPr>
        <w:numPr>
          <w:ilvl w:val="0"/>
          <w:numId w:val="0"/>
        </w:numPr>
        <w:ind w:left="360" w:leftChars="0"/>
        <w:rPr>
          <w:rFonts w:ascii="Times New Roman" w:hAnsi="Times New Roman" w:eastAsia="Times New Roman" w:cs="Times New Roman"/>
          <w:sz w:val="24"/>
          <w:szCs w:val="24"/>
        </w:rPr>
      </w:pPr>
      <w:r>
        <w:rPr>
          <w:rFonts w:hint="eastAsia" w:ascii="Times New Roman" w:hAnsi="Times New Roman" w:eastAsia="宋体" w:cs="Times New Roman"/>
          <w:sz w:val="24"/>
          <w:szCs w:val="24"/>
          <w:lang w:val="en-US" w:eastAsia="zh-CN"/>
        </w:rPr>
        <w:t xml:space="preserve">SI-Figure 2: </w:t>
      </w:r>
      <w:r>
        <w:rPr>
          <w:rFonts w:ascii="Times New Roman" w:hAnsi="Times New Roman" w:eastAsia="Times New Roman" w:cs="Times New Roman"/>
          <w:sz w:val="24"/>
          <w:szCs w:val="24"/>
        </w:rPr>
        <w:t>Maps of Mangrove loss footprints (km2) in 65 mangrove-holding countries driven by USA’s consumption.</w:t>
      </w:r>
    </w:p>
    <w:p>
      <w:pPr>
        <w:numPr>
          <w:ilvl w:val="0"/>
          <w:numId w:val="0"/>
        </w:numPr>
        <w:ind w:left="360" w:leftChars="0"/>
        <w:rPr>
          <w:rFonts w:ascii="Times New Roman" w:hAnsi="Times New Roman" w:eastAsia="Times New Roman" w:cs="Times New Roman"/>
          <w:sz w:val="24"/>
          <w:szCs w:val="24"/>
        </w:rPr>
      </w:pP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1: 65 mangrove holding countries and their country attributes.</w:t>
      </w: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2:Adjacent countries of China, Thailand,and India.</w:t>
      </w: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3:Indonesia, top 20, and all mangrove-holding countries</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 xml:space="preserve"> mangrove loss percentage driven by domestic, adjacent, and distant consumptions (%). </w:t>
      </w: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4:List of 12 Southeast countries</w:t>
      </w: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5: 12 Southeast countries</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 xml:space="preserve"> mangrove loss percentage compared to other areas worldwide driven by China</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s consumption.</w:t>
      </w:r>
    </w:p>
    <w:p>
      <w:pPr>
        <w:numPr>
          <w:ilvl w:val="0"/>
          <w:numId w:val="0"/>
        </w:numPr>
        <w:ind w:left="360" w:leftChars="0"/>
        <w:rPr>
          <w:rFonts w:hint="default"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6: 12 Southeast countries</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 xml:space="preserve"> mangrove loss percentage compared to other areas worldwide driven by USA</w:t>
      </w:r>
      <w:r>
        <w:rPr>
          <w:rFonts w:hint="default" w:ascii="Times New Roman" w:hAnsi="Times New Roman" w:cs="Times New Roman"/>
          <w:sz w:val="24"/>
          <w:szCs w:val="24"/>
          <w:lang w:val="en-US" w:eastAsia="zh-CN"/>
        </w:rPr>
        <w:t>’</w:t>
      </w:r>
      <w:r>
        <w:rPr>
          <w:rFonts w:hint="eastAsia" w:ascii="Times New Roman" w:hAnsi="Times New Roman" w:cs="Times New Roman"/>
          <w:sz w:val="24"/>
          <w:szCs w:val="24"/>
          <w:lang w:val="en-US" w:eastAsia="zh-CN"/>
        </w:rPr>
        <w:t>s consumption.</w:t>
      </w:r>
    </w:p>
    <w:p>
      <w:pPr>
        <w:numPr>
          <w:ilvl w:val="0"/>
          <w:numId w:val="0"/>
        </w:numPr>
        <w:ind w:left="360" w:leftChars="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SI-Table 7: Literature review between mangrove loss footprint and other spatial explicit footprint</w:t>
      </w:r>
    </w:p>
    <w:p>
      <w:pPr>
        <w:numPr>
          <w:ilvl w:val="0"/>
          <w:numId w:val="0"/>
        </w:numPr>
        <w:ind w:left="360" w:leftChars="0"/>
        <w:rPr>
          <w:rFonts w:ascii="Times New Roman" w:hAnsi="Times New Roman" w:eastAsia="Times New Roman" w:cs="Times New Roman"/>
          <w:sz w:val="24"/>
          <w:szCs w:val="24"/>
        </w:rPr>
      </w:pPr>
      <w:r>
        <w:rPr>
          <w:rFonts w:hint="eastAsia" w:ascii="Times New Roman" w:hAnsi="Times New Roman" w:cs="Times New Roman"/>
          <w:sz w:val="24"/>
          <w:szCs w:val="24"/>
          <w:lang w:val="en-US" w:eastAsia="zh-CN"/>
        </w:rPr>
        <w:t>SI-</w:t>
      </w:r>
      <w:r>
        <w:rPr>
          <w:rFonts w:ascii="Times New Roman" w:hAnsi="Times New Roman" w:eastAsia="Times New Roman" w:cs="Times New Roman"/>
          <w:sz w:val="24"/>
          <w:szCs w:val="24"/>
        </w:rPr>
        <w:t xml:space="preserve">Table </w:t>
      </w:r>
      <w:r>
        <w:rPr>
          <w:rFonts w:hint="eastAsia" w:ascii="Times New Roman" w:hAnsi="Times New Roman" w:eastAsia="宋体" w:cs="Times New Roman"/>
          <w:sz w:val="24"/>
          <w:szCs w:val="24"/>
          <w:lang w:val="en-US" w:eastAsia="zh-CN"/>
        </w:rPr>
        <w:t>8</w:t>
      </w:r>
      <w:r>
        <w:rPr>
          <w:rFonts w:ascii="Times New Roman" w:hAnsi="Times New Roman" w:eastAsia="Times New Roman" w:cs="Times New Roman"/>
          <w:sz w:val="24"/>
          <w:szCs w:val="24"/>
        </w:rPr>
        <w:t>: Concept clarification</w:t>
      </w:r>
      <w:r>
        <w:rPr>
          <w:rFonts w:hint="eastAsia" w:ascii="Times New Roman" w:hAnsi="Times New Roman" w:eastAsia="宋体" w:cs="Times New Roman"/>
          <w:sz w:val="24"/>
          <w:szCs w:val="24"/>
          <w:lang w:val="en-US" w:eastAsia="zh-CN"/>
        </w:rPr>
        <w:t xml:space="preserve"> of mangrove loss footprint and mangrove loss</w:t>
      </w:r>
      <w:r>
        <w:rPr>
          <w:rFonts w:ascii="Times New Roman" w:hAnsi="Times New Roman" w:eastAsia="Times New Roman" w:cs="Times New Roman"/>
          <w:sz w:val="24"/>
          <w:szCs w:val="24"/>
        </w:rPr>
        <w:t>.</w:t>
      </w:r>
    </w:p>
    <w:p>
      <w:pPr>
        <w:numPr>
          <w:ilvl w:val="0"/>
          <w:numId w:val="0"/>
        </w:numPr>
        <w:ind w:left="360" w:leftChars="0"/>
        <w:rPr>
          <w:rFonts w:hint="eastAsia" w:ascii="Times New Roman" w:hAnsi="Times New Roman" w:cs="Times New Roman"/>
          <w:sz w:val="24"/>
          <w:szCs w:val="24"/>
          <w:lang w:val="en-US" w:eastAsia="zh-CN"/>
        </w:rPr>
      </w:pPr>
    </w:p>
    <w:p>
      <w:pPr>
        <w:rPr>
          <w:rFonts w:ascii="Times New Roman" w:hAnsi="Times New Roman" w:eastAsia="Times New Roman" w:cs="Times New Roman"/>
          <w:sz w:val="24"/>
          <w:szCs w:val="24"/>
        </w:rPr>
      </w:pPr>
    </w:p>
    <w:p>
      <w:pPr>
        <w:rPr>
          <w:rFonts w:ascii="Times New Roman" w:hAnsi="Times New Roman" w:eastAsia="Times New Roman" w:cs="Times New Roman"/>
          <w:sz w:val="24"/>
          <w:szCs w:val="24"/>
        </w:rPr>
      </w:pPr>
    </w:p>
    <w:p>
      <w:pPr>
        <w:rPr>
          <w:rFonts w:ascii="Times New Roman" w:hAnsi="Times New Roman" w:eastAsia="Times New Roman" w:cs="Times New Roman"/>
          <w:sz w:val="24"/>
          <w:szCs w:val="24"/>
        </w:rPr>
      </w:pPr>
    </w:p>
    <w:p>
      <w:pPr>
        <w:rPr>
          <w:rFonts w:ascii="Times New Roman" w:hAnsi="Times New Roman" w:eastAsia="Times New Roman" w:cs="Times New Roman"/>
          <w:sz w:val="24"/>
          <w:szCs w:val="24"/>
        </w:rPr>
      </w:pPr>
    </w:p>
    <w:p>
      <w:pPr>
        <w:spacing w:after="120" w:line="240" w:lineRule="auto"/>
        <w:rPr>
          <w:rFonts w:ascii="宋体" w:hAnsi="宋体" w:eastAsia="宋体" w:cs="宋体"/>
          <w:sz w:val="24"/>
          <w:szCs w:val="24"/>
        </w:rPr>
      </w:pPr>
      <w:r>
        <w:rPr>
          <w:rFonts w:ascii="Times New Roman" w:hAnsi="Times New Roman" w:eastAsia="Times New Roman" w:cs="Times New Roman"/>
          <w:sz w:val="24"/>
          <w:szCs w:val="24"/>
        </w:rPr>
        <w:t>The supporting information provides supplemental Figures and Tables supporting the main text.</w:t>
      </w:r>
      <w:r>
        <w:br w:type="page"/>
      </w:r>
      <w:bookmarkStart w:id="1" w:name="_3q4i612rgj8f" w:colFirst="0" w:colLast="0"/>
      <w:bookmarkEnd w:id="1"/>
    </w:p>
    <w:p>
      <w:pPr>
        <w:jc w:val="both"/>
        <w:rPr>
          <w:rFonts w:ascii="Times New Roman" w:hAnsi="Times New Roman" w:eastAsia="Times New Roman" w:cs="Times New Roman"/>
          <w:sz w:val="24"/>
          <w:szCs w:val="24"/>
        </w:rPr>
      </w:pPr>
    </w:p>
    <w:p>
      <w:pPr>
        <w:pStyle w:val="3"/>
        <w:numPr>
          <w:ilvl w:val="0"/>
          <w:numId w:val="0"/>
        </w:numPr>
        <w:ind w:left="360" w:leftChars="0"/>
        <w:jc w:val="both"/>
        <w:rPr>
          <w:rFonts w:ascii="Times New Roman" w:hAnsi="Times New Roman" w:eastAsia="Times New Roman" w:cs="Times New Roman"/>
          <w:b/>
          <w:sz w:val="24"/>
          <w:szCs w:val="24"/>
        </w:rPr>
      </w:pPr>
      <w:bookmarkStart w:id="2" w:name="_9n4szvre9dlm" w:colFirst="0" w:colLast="0"/>
      <w:bookmarkEnd w:id="2"/>
      <w:r>
        <w:rPr>
          <w:rFonts w:hint="eastAsia" w:ascii="Times New Roman" w:hAnsi="Times New Roman" w:eastAsia="Times New Roman" w:cs="Times New Roman"/>
          <w:b/>
          <w:sz w:val="24"/>
          <w:szCs w:val="24"/>
          <w:lang w:val="en-US" w:eastAsia="zh-CN"/>
        </w:rPr>
        <w:t>SI-Figure 1:</w:t>
      </w:r>
      <w:r>
        <w:rPr>
          <w:rFonts w:ascii="Times New Roman" w:hAnsi="Times New Roman" w:eastAsia="Times New Roman" w:cs="Times New Roman"/>
          <w:b/>
          <w:sz w:val="24"/>
          <w:szCs w:val="24"/>
        </w:rPr>
        <w:t>Mangrove loss footprint flows (km2) between mangrove-holding and consumer countries in 2000-2016</w:t>
      </w:r>
    </w:p>
    <w:p>
      <w:r>
        <w:drawing>
          <wp:inline distT="114300" distB="114300" distL="114300" distR="114300">
            <wp:extent cx="6367145" cy="3088005"/>
            <wp:effectExtent l="0" t="0" r="0" b="0"/>
            <wp:docPr id="1" name="image3.png"/>
            <wp:cNvGraphicFramePr/>
            <a:graphic xmlns:a="http://schemas.openxmlformats.org/drawingml/2006/main">
              <a:graphicData uri="http://schemas.openxmlformats.org/drawingml/2006/picture">
                <pic:pic xmlns:pic="http://schemas.openxmlformats.org/drawingml/2006/picture">
                  <pic:nvPicPr>
                    <pic:cNvPr id="1" name="image3.png"/>
                    <pic:cNvPicPr preferRelativeResize="0"/>
                  </pic:nvPicPr>
                  <pic:blipFill>
                    <a:blip r:embed="rId6"/>
                    <a:srcRect/>
                    <a:stretch>
                      <a:fillRect/>
                    </a:stretch>
                  </pic:blipFill>
                  <pic:spPr>
                    <a:xfrm>
                      <a:off x="0" y="0"/>
                      <a:ext cx="6367463" cy="3088410"/>
                    </a:xfrm>
                    <a:prstGeom prst="rect">
                      <a:avLst/>
                    </a:prstGeom>
                  </pic:spPr>
                </pic:pic>
              </a:graphicData>
            </a:graphic>
          </wp:inline>
        </w:drawing>
      </w:r>
    </w:p>
    <w:p>
      <w:pPr>
        <w:jc w:val="center"/>
      </w:pPr>
      <w:r>
        <w:drawing>
          <wp:inline distT="114300" distB="114300" distL="114300" distR="114300">
            <wp:extent cx="4410075" cy="953770"/>
            <wp:effectExtent l="0" t="0" r="9525" b="6350"/>
            <wp:docPr id="3" name="image2.png"/>
            <wp:cNvGraphicFramePr/>
            <a:graphic xmlns:a="http://schemas.openxmlformats.org/drawingml/2006/main">
              <a:graphicData uri="http://schemas.openxmlformats.org/drawingml/2006/picture">
                <pic:pic xmlns:pic="http://schemas.openxmlformats.org/drawingml/2006/picture">
                  <pic:nvPicPr>
                    <pic:cNvPr id="3" name="image2.png"/>
                    <pic:cNvPicPr preferRelativeResize="0"/>
                  </pic:nvPicPr>
                  <pic:blipFill>
                    <a:blip r:embed="rId7"/>
                    <a:srcRect/>
                    <a:stretch>
                      <a:fillRect/>
                    </a:stretch>
                  </pic:blipFill>
                  <pic:spPr>
                    <a:xfrm>
                      <a:off x="0" y="0"/>
                      <a:ext cx="4410075" cy="954227"/>
                    </a:xfrm>
                    <a:prstGeom prst="rect">
                      <a:avLst/>
                    </a:prstGeom>
                  </pic:spPr>
                </pic:pic>
              </a:graphicData>
            </a:graphic>
          </wp:inline>
        </w:drawing>
      </w:r>
    </w:p>
    <w:p>
      <w:pPr>
        <w:jc w:val="both"/>
      </w:pPr>
      <w:r>
        <w:rPr>
          <w:rFonts w:ascii="Times New Roman" w:hAnsi="Times New Roman" w:eastAsia="Times New Roman" w:cs="Times New Roman"/>
          <w:sz w:val="24"/>
          <w:szCs w:val="24"/>
        </w:rPr>
        <w:t xml:space="preserve">Mangrove loss footprint flows (km2) between mangrove-holding and consumer countries in 2000-2016 with two </w:t>
      </w:r>
      <w:r>
        <w:rPr>
          <w:rFonts w:hint="eastAsia" w:ascii="Times New Roman" w:hAnsi="Times New Roman" w:cs="Times New Roman"/>
          <w:sz w:val="24"/>
          <w:szCs w:val="24"/>
        </w:rPr>
        <w:t>visualization ways.</w:t>
      </w:r>
      <w:r>
        <w:rPr>
          <w:rFonts w:ascii="Times New Roman" w:hAnsi="Times New Roman" w:eastAsia="Times New Roman" w:cs="Times New Roman"/>
          <w:sz w:val="24"/>
          <w:szCs w:val="24"/>
        </w:rPr>
        <w:t xml:space="preserve"> (a</w:t>
      </w:r>
      <w:r>
        <w:rPr>
          <w:rFonts w:hint="eastAsia" w:ascii="Times New Roman" w:hAnsi="Times New Roman" w:cs="Times New Roman"/>
          <w:sz w:val="24"/>
          <w:szCs w:val="24"/>
        </w:rPr>
        <w:t>) the flow color represents the consumer country</w:t>
      </w:r>
      <w:r>
        <w:rPr>
          <w:rFonts w:ascii="Times New Roman" w:hAnsi="Times New Roman" w:cs="Times New Roman"/>
          <w:sz w:val="24"/>
          <w:szCs w:val="24"/>
        </w:rPr>
        <w:t>’</w:t>
      </w:r>
      <w:r>
        <w:rPr>
          <w:rFonts w:hint="eastAsia" w:ascii="Times New Roman" w:hAnsi="Times New Roman" w:cs="Times New Roman"/>
          <w:sz w:val="24"/>
          <w:szCs w:val="24"/>
        </w:rPr>
        <w:t>s economic status</w:t>
      </w:r>
      <w:r>
        <w:rPr>
          <w:rFonts w:ascii="Times New Roman" w:hAnsi="Times New Roman" w:eastAsia="Times New Roman" w:cs="Times New Roman"/>
          <w:sz w:val="24"/>
          <w:szCs w:val="24"/>
        </w:rPr>
        <w:t>, and (b) the flow color represents how mangrove forest resources flow</w:t>
      </w:r>
      <w:r>
        <w:rPr>
          <w:rFonts w:hint="eastAsia" w:ascii="Times New Roman" w:hAnsi="Times New Roman" w:cs="Times New Roman"/>
          <w:sz w:val="24"/>
          <w:szCs w:val="24"/>
        </w:rPr>
        <w:t xml:space="preserve"> between </w:t>
      </w:r>
      <w:r>
        <w:rPr>
          <w:rFonts w:ascii="Times New Roman" w:hAnsi="Times New Roman" w:cs="Times New Roman"/>
          <w:sz w:val="24"/>
          <w:szCs w:val="24"/>
        </w:rPr>
        <w:t>countries of different economic statuses</w:t>
      </w:r>
      <w:r>
        <w:rPr>
          <w:rFonts w:ascii="Times New Roman" w:hAnsi="Times New Roman" w:eastAsia="Times New Roman" w:cs="Times New Roman"/>
          <w:sz w:val="24"/>
          <w:szCs w:val="24"/>
        </w:rPr>
        <w:t xml:space="preserve">. Mangrove-holding countries are marked by green in their outer circle bar, and consumer countries by red. The arc length of the circle indicates the sum of consumption exported and imported between the mangrove-holding and consumer countries. The arc color of the circle indicates the region of countries, which is ordered by their geographic location. </w:t>
      </w:r>
    </w:p>
    <w:p>
      <w:pPr>
        <w:pStyle w:val="3"/>
        <w:numPr>
          <w:ilvl w:val="0"/>
          <w:numId w:val="0"/>
        </w:numPr>
        <w:ind w:left="360" w:leftChars="0"/>
        <w:rPr>
          <w:rFonts w:ascii="Times New Roman" w:hAnsi="Times New Roman" w:eastAsia="Times New Roman" w:cs="Times New Roman"/>
          <w:b/>
          <w:sz w:val="24"/>
          <w:szCs w:val="24"/>
        </w:rPr>
      </w:pPr>
      <w:bookmarkStart w:id="3" w:name="_rgu86mqmol7k" w:colFirst="0" w:colLast="0"/>
      <w:bookmarkEnd w:id="3"/>
      <w:r>
        <w:rPr>
          <w:rFonts w:hint="eastAsia" w:ascii="Times New Roman" w:hAnsi="Times New Roman" w:eastAsia="Times New Roman" w:cs="Times New Roman"/>
          <w:b/>
          <w:sz w:val="24"/>
          <w:szCs w:val="24"/>
          <w:lang w:val="en-US" w:eastAsia="zh-CN"/>
        </w:rPr>
        <w:t>SI-Figure 2:M</w:t>
      </w:r>
      <w:r>
        <w:rPr>
          <w:rFonts w:ascii="Times New Roman" w:hAnsi="Times New Roman" w:eastAsia="Times New Roman" w:cs="Times New Roman"/>
          <w:b/>
          <w:sz w:val="24"/>
          <w:szCs w:val="24"/>
        </w:rPr>
        <w:t>aps of Mangrove loss footprints (km2) in 65 mangrove-holding countries driven by USA’s consumption</w:t>
      </w:r>
    </w:p>
    <w:p>
      <w:pPr>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drawing>
          <wp:inline distT="114300" distB="114300" distL="114300" distR="114300">
            <wp:extent cx="5943600" cy="42037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2" name="image1.png"/>
                    <pic:cNvPicPr preferRelativeResize="0"/>
                  </pic:nvPicPr>
                  <pic:blipFill>
                    <a:blip r:embed="rId8"/>
                    <a:srcRect/>
                    <a:stretch>
                      <a:fillRect/>
                    </a:stretch>
                  </pic:blipFill>
                  <pic:spPr>
                    <a:xfrm>
                      <a:off x="0" y="0"/>
                      <a:ext cx="5943600" cy="4203700"/>
                    </a:xfrm>
                    <a:prstGeom prst="rect">
                      <a:avLst/>
                    </a:prstGeom>
                  </pic:spPr>
                </pic:pic>
              </a:graphicData>
            </a:graphic>
          </wp:inline>
        </w:drawing>
      </w:r>
    </w:p>
    <w:p>
      <w:pPr>
        <w:jc w:val="both"/>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Maps of Mangrove loss footprints (km2) in 65 mangrove-holding countries driven by USA’s consumption to compare the changes (a) and (b) and expansion (a), (c), and (d) in three epochs (2000-2005, 2006-2010, 2011-2016)  at the country level. </w:t>
      </w:r>
    </w:p>
    <w:p>
      <w:pPr>
        <w:rPr>
          <w:rFonts w:ascii="Times New Roman" w:hAnsi="Times New Roman" w:eastAsia="Times New Roman" w:cs="Times New Roman"/>
          <w:sz w:val="24"/>
          <w:szCs w:val="24"/>
        </w:rPr>
      </w:pPr>
      <w:r>
        <w:rPr>
          <w:rFonts w:ascii="Times New Roman" w:hAnsi="Times New Roman" w:eastAsia="Times New Roman" w:cs="Times New Roman"/>
          <w:sz w:val="24"/>
          <w:szCs w:val="24"/>
        </w:rPr>
        <w:br w:type="page"/>
      </w:r>
    </w:p>
    <w:p>
      <w:pPr>
        <w:numPr>
          <w:ilvl w:val="0"/>
          <w:numId w:val="0"/>
        </w:numPr>
        <w:rPr>
          <w:rFonts w:hint="eastAsia"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1:65 mangrove holding countries and their country attributes.</w:t>
      </w:r>
    </w:p>
    <w:p>
      <w:pPr>
        <w:numPr>
          <w:ilvl w:val="0"/>
          <w:numId w:val="0"/>
        </w:numPr>
        <w:rPr>
          <w:rFonts w:hint="eastAsia" w:ascii="Times New Roman" w:hAnsi="Times New Roman" w:eastAsia="Times New Roman" w:cs="Times New Roman"/>
          <w:b/>
          <w:sz w:val="24"/>
          <w:szCs w:val="24"/>
          <w:lang w:val="en-US" w:eastAsia="zh-CN" w:bidi="ar-SA"/>
        </w:rPr>
      </w:pPr>
    </w:p>
    <w:tbl>
      <w:tblPr>
        <w:tblStyle w:val="12"/>
        <w:tblW w:w="5839"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889"/>
        <w:gridCol w:w="2416"/>
        <w:gridCol w:w="1096"/>
        <w:gridCol w:w="14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2" w:hRule="atLeast"/>
        </w:trPr>
        <w:tc>
          <w:tcPr>
            <w:tcW w:w="889" w:type="dxa"/>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country</w:t>
            </w:r>
          </w:p>
        </w:tc>
        <w:tc>
          <w:tcPr>
            <w:tcW w:w="2416" w:type="dxa"/>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Country</w:t>
            </w:r>
          </w:p>
        </w:tc>
        <w:tc>
          <w:tcPr>
            <w:tcW w:w="1096" w:type="dxa"/>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Region</w:t>
            </w:r>
          </w:p>
        </w:tc>
        <w:tc>
          <w:tcPr>
            <w:tcW w:w="1438" w:type="dxa"/>
            <w:shd w:val="clear" w:color="auto" w:fill="auto"/>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IncomeGroup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IDN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Indonesia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MMR</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Myanmar</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VNM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Vietnam</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MYS</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Malaysia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CUB</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Cuba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NGA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Nigeria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MDG</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Madagascar</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GIN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Guinea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MEX</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Mexico</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Brazil</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PHL</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Philippines</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THA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Thailand</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SUR</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Suriname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IND</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India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MOZ</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Mozambique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BGD</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Bangladesh</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COL</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Colombia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AUS</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Australia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CMR</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Cameroon</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SLE</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Sierra Leone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GUY</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Guyana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KHM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Cambodia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GHA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Ghana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ECU</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Ecuador</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VEN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Venezuela, RB</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NIC</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Nicaragua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JAM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Jamaica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TZA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Tanzania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USA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United States</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HND</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Honduras</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KEN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Kenya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Panama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BLZ</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Belize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GAB</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Gabon</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AGO</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Angola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SLV</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El Salvador</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HTI</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Haiti</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PNG</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Papua New Guinea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Oceania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LKA</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Sri Lanka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PAK</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Pakistan</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Dominican Republic</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NZL</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New Zealand</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CRI</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Costa Rica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OECD</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ARE</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United Arab Emirates</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MENA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TTO</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Trinidad and Tobago</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SAU</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Saudi Arabia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MENA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PER</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Peru</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SEN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Senegal</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Benin</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GMB</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Gambia, The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GTM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Guatemala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LAC</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CIV</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Cote d'Ivoire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ZAF</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South Africa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UMIC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OMN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Oman</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MENA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SOM</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Somalia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LBR</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Liberia</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DJI</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Djibouti</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QAT</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Qatar</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MENA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IRN</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Iran, Islamic Rep.</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MENA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LMIC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SGP</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Singapore</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E_S_Asia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HIC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889"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TGO</w:t>
            </w:r>
          </w:p>
        </w:tc>
        <w:tc>
          <w:tcPr>
            <w:tcW w:w="241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Togo</w:t>
            </w:r>
          </w:p>
        </w:tc>
        <w:tc>
          <w:tcPr>
            <w:tcW w:w="1096"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Africa</w:t>
            </w:r>
          </w:p>
        </w:tc>
        <w:tc>
          <w:tcPr>
            <w:tcW w:w="1438" w:type="dxa"/>
            <w:shd w:val="clear" w:color="auto" w:fill="auto"/>
            <w:noWrap/>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22"/>
                <w:szCs w:val="22"/>
                <w:u w:val="none"/>
                <w:lang w:val="en-US" w:eastAsia="zh-CN" w:bidi="ar"/>
              </w:rPr>
              <w:t>LIC</w:t>
            </w:r>
          </w:p>
        </w:tc>
      </w:tr>
    </w:tbl>
    <w:p>
      <w:pPr>
        <w:numPr>
          <w:ilvl w:val="0"/>
          <w:numId w:val="0"/>
        </w:numPr>
        <w:spacing w:line="276" w:lineRule="auto"/>
        <w:rPr>
          <w:rFonts w:ascii="Times New Roman" w:hAnsi="Times New Roman" w:eastAsia="Times New Roman" w:cs="Times New Roman"/>
          <w:sz w:val="24"/>
          <w:szCs w:val="24"/>
        </w:rPr>
      </w:pPr>
    </w:p>
    <w:p>
      <w:pPr>
        <w:numPr>
          <w:ilvl w:val="0"/>
          <w:numId w:val="0"/>
        </w:numPr>
        <w:rPr>
          <w:rFonts w:hint="eastAsia"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2:Adjacent countries of China, Thailand,and India.</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tcPr>
          <w:p>
            <w:pPr>
              <w:widowControl w:val="0"/>
              <w:numPr>
                <w:ilvl w:val="0"/>
                <w:numId w:val="0"/>
              </w:numPr>
              <w:jc w:val="both"/>
              <w:rPr>
                <w:rFonts w:hint="default" w:ascii="Times New Roman" w:hAnsi="Times New Roman" w:eastAsia="Times New Roman" w:cs="Times New Roman"/>
                <w:sz w:val="24"/>
                <w:szCs w:val="24"/>
                <w:vertAlign w:val="baseline"/>
                <w:lang w:val="en-US"/>
              </w:rPr>
            </w:pP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Adjacent countries with mangrove forests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China</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 xml:space="preserve">Myanmar, Vietnam, Laos, India,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Thailand</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Laos, Cambodia,Malaysia, Myanmar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India</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China, Bangladash, Myanmar</w:t>
            </w:r>
          </w:p>
        </w:tc>
      </w:tr>
    </w:tbl>
    <w:p>
      <w:pPr>
        <w:numPr>
          <w:ilvl w:val="0"/>
          <w:numId w:val="0"/>
        </w:numPr>
        <w:rPr>
          <w:rFonts w:hint="default" w:ascii="Times New Roman" w:hAnsi="Times New Roman" w:eastAsia="Times New Roman" w:cs="Times New Roman"/>
          <w:b/>
          <w:sz w:val="24"/>
          <w:szCs w:val="24"/>
          <w:lang w:val="en-US" w:eastAsia="zh-CN" w:bidi="ar-SA"/>
        </w:rPr>
      </w:pPr>
    </w:p>
    <w:p>
      <w:pPr>
        <w:numPr>
          <w:ilvl w:val="0"/>
          <w:numId w:val="0"/>
        </w:numPr>
        <w:rPr>
          <w:rFonts w:hint="eastAsia"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3:Indonesia, top 20, and all mangrove-holding countries</w:t>
      </w:r>
      <w:r>
        <w:rPr>
          <w:rFonts w:hint="default" w:ascii="Times New Roman" w:hAnsi="Times New Roman" w:eastAsia="Times New Roman" w:cs="Times New Roman"/>
          <w:b/>
          <w:sz w:val="24"/>
          <w:szCs w:val="24"/>
          <w:lang w:val="en-US" w:eastAsia="zh-CN" w:bidi="ar-SA"/>
        </w:rPr>
        <w:t>’</w:t>
      </w:r>
      <w:r>
        <w:rPr>
          <w:rFonts w:hint="eastAsia" w:ascii="Times New Roman" w:hAnsi="Times New Roman" w:eastAsia="Times New Roman" w:cs="Times New Roman"/>
          <w:b/>
          <w:sz w:val="24"/>
          <w:szCs w:val="24"/>
          <w:lang w:val="en-US" w:eastAsia="zh-CN" w:bidi="ar-SA"/>
        </w:rPr>
        <w:t xml:space="preserve"> mangrove loss percentage driven by domestic, adjacent, and distant consumptions (%).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94"/>
        <w:gridCol w:w="2394"/>
        <w:gridCol w:w="2394"/>
        <w:gridCol w:w="2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widowControl w:val="0"/>
              <w:jc w:val="both"/>
              <w:rPr>
                <w:rFonts w:hint="eastAsia" w:ascii="Times New Roman" w:hAnsi="Times New Roman" w:eastAsia="宋体" w:cs="Times New Roman"/>
                <w:sz w:val="24"/>
                <w:szCs w:val="24"/>
                <w:vertAlign w:val="baseline"/>
                <w:lang w:val="en-US" w:eastAsia="zh-CN" w:bidi="ar-SA"/>
              </w:rPr>
            </w:pPr>
          </w:p>
        </w:tc>
        <w:tc>
          <w:tcPr>
            <w:tcW w:w="2394" w:type="dxa"/>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domestic</w:t>
            </w:r>
          </w:p>
        </w:tc>
        <w:tc>
          <w:tcPr>
            <w:tcW w:w="2394" w:type="dxa"/>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adjacent</w:t>
            </w:r>
          </w:p>
        </w:tc>
        <w:tc>
          <w:tcPr>
            <w:tcW w:w="2394" w:type="dxa"/>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distant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IDN</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65.93899147</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0.839378932</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33.2216296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Top20</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66.61403321</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6.903647849</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26.48231894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94" w:type="dxa"/>
            <w:vAlign w:val="center"/>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All countries</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67.0574219</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6.748637976</w:t>
            </w:r>
          </w:p>
        </w:tc>
        <w:tc>
          <w:tcPr>
            <w:tcW w:w="2394" w:type="dxa"/>
            <w:vAlign w:val="center"/>
          </w:tcPr>
          <w:p>
            <w:pPr>
              <w:widowControl w:val="0"/>
              <w:numPr>
                <w:ilvl w:val="0"/>
                <w:numId w:val="0"/>
              </w:numPr>
              <w:jc w:val="both"/>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26.19394012</w:t>
            </w:r>
          </w:p>
        </w:tc>
      </w:tr>
    </w:tbl>
    <w:p>
      <w:pPr>
        <w:rPr>
          <w:rFonts w:ascii="Times New Roman" w:hAnsi="Times New Roman" w:eastAsia="Times New Roman" w:cs="Times New Roman"/>
          <w:sz w:val="24"/>
          <w:szCs w:val="24"/>
        </w:rPr>
      </w:pPr>
      <w:r>
        <w:rPr>
          <w:rFonts w:ascii="Times New Roman" w:hAnsi="Times New Roman" w:eastAsia="Times New Roman" w:cs="Times New Roman"/>
          <w:sz w:val="24"/>
          <w:szCs w:val="24"/>
        </w:rPr>
        <w:br w:type="page"/>
      </w:r>
    </w:p>
    <w:p>
      <w:pPr>
        <w:numPr>
          <w:ilvl w:val="0"/>
          <w:numId w:val="0"/>
        </w:numPr>
        <w:spacing w:line="276" w:lineRule="auto"/>
        <w:rPr>
          <w:rFonts w:ascii="Times New Roman" w:hAnsi="Times New Roman" w:eastAsia="Times New Roman" w:cs="Times New Roman"/>
          <w:sz w:val="24"/>
          <w:szCs w:val="24"/>
        </w:rPr>
      </w:pPr>
    </w:p>
    <w:p>
      <w:pPr>
        <w:numPr>
          <w:ilvl w:val="0"/>
          <w:numId w:val="0"/>
        </w:numPr>
        <w:rPr>
          <w:rFonts w:hint="default"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 xml:space="preserve">SI-Table 4:List of 12 Southeast countries </w:t>
      </w:r>
    </w:p>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88"/>
        <w:gridCol w:w="4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BGD</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Bangladesh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IDN</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Indonesia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IND</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India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KHM</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Cambodia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LKA</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Sri Lanka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MMR</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Myanmar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MYS</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Malaysia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PAK</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Pakistan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PHL</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Philippines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PNG</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Papua New Guinea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THA</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Thailand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788" w:type="dxa"/>
            <w:vAlign w:val="center"/>
          </w:tcPr>
          <w:p>
            <w:pPr>
              <w:keepNext w:val="0"/>
              <w:keepLines w:val="0"/>
              <w:widowControl/>
              <w:suppressLineNumbers w:val="0"/>
              <w:jc w:val="left"/>
              <w:textAlignment w:val="center"/>
              <w:rPr>
                <w:rFonts w:hint="default" w:ascii="Times New Roman" w:hAnsi="Times New Roman" w:eastAsia="宋体" w:cs="Times New Roman"/>
                <w:i w:val="0"/>
                <w:iCs w:val="0"/>
                <w:color w:val="000000"/>
                <w:kern w:val="0"/>
                <w:sz w:val="22"/>
                <w:szCs w:val="22"/>
                <w:u w:val="none"/>
                <w:lang w:val="en-US" w:eastAsia="zh-CN" w:bidi="ar"/>
              </w:rPr>
            </w:pPr>
            <w:r>
              <w:rPr>
                <w:rFonts w:hint="eastAsia" w:ascii="Times New Roman" w:hAnsi="Times New Roman" w:eastAsia="宋体" w:cs="Times New Roman"/>
                <w:i w:val="0"/>
                <w:iCs w:val="0"/>
                <w:color w:val="000000"/>
                <w:kern w:val="0"/>
                <w:sz w:val="22"/>
                <w:szCs w:val="22"/>
                <w:u w:val="none"/>
                <w:lang w:val="en-US" w:eastAsia="zh-CN" w:bidi="ar"/>
              </w:rPr>
              <w:t>VNM</w:t>
            </w:r>
          </w:p>
        </w:tc>
        <w:tc>
          <w:tcPr>
            <w:tcW w:w="4788" w:type="dxa"/>
          </w:tcPr>
          <w:p>
            <w:pPr>
              <w:widowControl w:val="0"/>
              <w:numPr>
                <w:ilvl w:val="0"/>
                <w:numId w:val="0"/>
              </w:numPr>
              <w:jc w:val="both"/>
              <w:rPr>
                <w:rFonts w:hint="default"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Vietnam</w:t>
            </w:r>
          </w:p>
        </w:tc>
      </w:tr>
    </w:tbl>
    <w:p>
      <w:pPr>
        <w:numPr>
          <w:ilvl w:val="0"/>
          <w:numId w:val="0"/>
        </w:numPr>
        <w:ind w:left="360" w:leftChars="0"/>
        <w:rPr>
          <w:rFonts w:ascii="Times New Roman" w:hAnsi="Times New Roman" w:eastAsia="Times New Roman" w:cs="Times New Roman"/>
          <w:sz w:val="24"/>
          <w:szCs w:val="24"/>
        </w:rPr>
      </w:pPr>
    </w:p>
    <w:p>
      <w:pPr>
        <w:numPr>
          <w:ilvl w:val="0"/>
          <w:numId w:val="0"/>
        </w:numPr>
        <w:rPr>
          <w:rFonts w:hint="default"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5:12 Southeast countries</w:t>
      </w:r>
      <w:r>
        <w:rPr>
          <w:rFonts w:hint="default" w:ascii="Times New Roman" w:hAnsi="Times New Roman" w:eastAsia="Times New Roman" w:cs="Times New Roman"/>
          <w:b/>
          <w:sz w:val="24"/>
          <w:szCs w:val="24"/>
          <w:lang w:val="en-US" w:eastAsia="zh-CN" w:bidi="ar-SA"/>
        </w:rPr>
        <w:t>’</w:t>
      </w:r>
      <w:r>
        <w:rPr>
          <w:rFonts w:hint="eastAsia" w:ascii="Times New Roman" w:hAnsi="Times New Roman" w:eastAsia="Times New Roman" w:cs="Times New Roman"/>
          <w:b/>
          <w:sz w:val="24"/>
          <w:szCs w:val="24"/>
          <w:lang w:val="en-US" w:eastAsia="zh-CN" w:bidi="ar-SA"/>
        </w:rPr>
        <w:t xml:space="preserve"> mangrove loss total amount (km2) and percentage(%) compared to other areas driven by China</w:t>
      </w:r>
      <w:r>
        <w:rPr>
          <w:rFonts w:hint="default" w:ascii="Times New Roman" w:hAnsi="Times New Roman" w:eastAsia="Times New Roman" w:cs="Times New Roman"/>
          <w:b/>
          <w:sz w:val="24"/>
          <w:szCs w:val="24"/>
          <w:lang w:val="en-US" w:eastAsia="zh-CN" w:bidi="ar-SA"/>
        </w:rPr>
        <w:t>’</w:t>
      </w:r>
      <w:r>
        <w:rPr>
          <w:rFonts w:hint="eastAsia" w:ascii="Times New Roman" w:hAnsi="Times New Roman" w:eastAsia="Times New Roman" w:cs="Times New Roman"/>
          <w:b/>
          <w:sz w:val="24"/>
          <w:szCs w:val="24"/>
          <w:lang w:val="en-US" w:eastAsia="zh-CN" w:bidi="ar-SA"/>
        </w:rPr>
        <w:t>s consumption.</w:t>
      </w:r>
    </w:p>
    <w:tbl>
      <w:tblPr>
        <w:tblStyle w:val="12"/>
        <w:tblW w:w="690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037"/>
        <w:gridCol w:w="1715"/>
        <w:gridCol w:w="1560"/>
        <w:gridCol w:w="15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Loss area (km2)</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2000-2005</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2011-2016</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Southeast Asia</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46.40657184</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17.58190439</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117.6745104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Worldwide</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47.34787596</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18.21361591</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120.3088447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715"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560"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588"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Percentage (%)</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2000-2005</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2011-2016</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Southeast Asia</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98.01194012</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96.53165234</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97.81035696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2037"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Other areas</w:t>
            </w:r>
          </w:p>
        </w:tc>
        <w:tc>
          <w:tcPr>
            <w:tcW w:w="171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1.988059878</w:t>
            </w:r>
          </w:p>
        </w:tc>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3.46834766</w:t>
            </w:r>
          </w:p>
        </w:tc>
        <w:tc>
          <w:tcPr>
            <w:tcW w:w="1588"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rPr>
            </w:pPr>
            <w:r>
              <w:rPr>
                <w:rFonts w:hint="eastAsia" w:ascii="Times New Roman" w:hAnsi="Times New Roman" w:eastAsia="宋体" w:cs="Times New Roman"/>
                <w:sz w:val="24"/>
                <w:szCs w:val="24"/>
                <w:vertAlign w:val="baseline"/>
                <w:lang w:val="en-US" w:eastAsia="zh-CN"/>
              </w:rPr>
              <w:t>2.189643044</w:t>
            </w:r>
          </w:p>
        </w:tc>
      </w:tr>
    </w:tbl>
    <w:p>
      <w:pPr>
        <w:numPr>
          <w:ilvl w:val="0"/>
          <w:numId w:val="0"/>
        </w:numPr>
        <w:rPr>
          <w:rFonts w:hint="default" w:ascii="Times New Roman" w:hAnsi="Times New Roman" w:eastAsia="宋体" w:cs="Times New Roman"/>
          <w:sz w:val="24"/>
          <w:szCs w:val="24"/>
          <w:lang w:val="en-US" w:eastAsia="zh-CN"/>
        </w:rPr>
      </w:pPr>
    </w:p>
    <w:p>
      <w:pPr>
        <w:pStyle w:val="18"/>
        <w:numPr>
          <w:ilvl w:val="0"/>
          <w:numId w:val="0"/>
        </w:numPr>
        <w:ind w:left="360" w:leftChars="0"/>
        <w:jc w:val="both"/>
        <w:rPr>
          <w:rFonts w:ascii="Times New Roman" w:hAnsi="Times New Roman" w:cs="Times New Roman"/>
          <w:sz w:val="24"/>
          <w:szCs w:val="24"/>
        </w:rPr>
      </w:pPr>
    </w:p>
    <w:p>
      <w:pPr>
        <w:numPr>
          <w:ilvl w:val="0"/>
          <w:numId w:val="0"/>
        </w:numPr>
        <w:rPr>
          <w:rFonts w:hint="default"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6:12 Southeast countries</w:t>
      </w:r>
      <w:r>
        <w:rPr>
          <w:rFonts w:hint="default" w:ascii="Times New Roman" w:hAnsi="Times New Roman" w:eastAsia="Times New Roman" w:cs="Times New Roman"/>
          <w:b/>
          <w:sz w:val="24"/>
          <w:szCs w:val="24"/>
          <w:lang w:val="en-US" w:eastAsia="zh-CN" w:bidi="ar-SA"/>
        </w:rPr>
        <w:t>’</w:t>
      </w:r>
      <w:r>
        <w:rPr>
          <w:rFonts w:hint="eastAsia" w:ascii="Times New Roman" w:hAnsi="Times New Roman" w:eastAsia="Times New Roman" w:cs="Times New Roman"/>
          <w:b/>
          <w:sz w:val="24"/>
          <w:szCs w:val="24"/>
          <w:lang w:val="en-US" w:eastAsia="zh-CN" w:bidi="ar-SA"/>
        </w:rPr>
        <w:t xml:space="preserve"> mangrove loss total amount (km2) and percentage(%) compared to other areas driven by USA</w:t>
      </w:r>
      <w:r>
        <w:rPr>
          <w:rFonts w:hint="default" w:ascii="Times New Roman" w:hAnsi="Times New Roman" w:eastAsia="Times New Roman" w:cs="Times New Roman"/>
          <w:b/>
          <w:sz w:val="24"/>
          <w:szCs w:val="24"/>
          <w:lang w:val="en-US" w:eastAsia="zh-CN" w:bidi="ar-SA"/>
        </w:rPr>
        <w:t>’</w:t>
      </w:r>
      <w:r>
        <w:rPr>
          <w:rFonts w:hint="eastAsia" w:ascii="Times New Roman" w:hAnsi="Times New Roman" w:eastAsia="Times New Roman" w:cs="Times New Roman"/>
          <w:b/>
          <w:sz w:val="24"/>
          <w:szCs w:val="24"/>
          <w:lang w:val="en-US" w:eastAsia="zh-CN" w:bidi="ar-SA"/>
        </w:rPr>
        <w:t>s consumption.</w:t>
      </w:r>
    </w:p>
    <w:tbl>
      <w:tblPr>
        <w:tblStyle w:val="12"/>
        <w:tblW w:w="6858"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83"/>
        <w:gridCol w:w="1595"/>
        <w:gridCol w:w="1659"/>
        <w:gridCol w:w="18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default"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Loss area (km2)</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2000-2005</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2011-2016</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Southeast Asia</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63.09021299</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8.676726461</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74.28828018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Worldwide</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72.02784934</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11.72575288</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90.59779764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8" w:hRule="atLeast"/>
        </w:trPr>
        <w:tc>
          <w:tcPr>
            <w:tcW w:w="1783"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595"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659"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c>
          <w:tcPr>
            <w:tcW w:w="1821" w:type="dxa"/>
            <w:tcBorders>
              <w:top w:val="single" w:color="auto" w:sz="4" w:space="0"/>
              <w:left w:val="nil"/>
              <w:bottom w:val="single" w:color="auto" w:sz="4" w:space="0"/>
              <w:right w:val="nil"/>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hint="default"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Percentage (%)</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2000-2005</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2011-2016</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2000-2016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Southeast Asia</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87.59141578</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73.99717994</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81.99788749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8" w:hRule="atLeast"/>
        </w:trPr>
        <w:tc>
          <w:tcPr>
            <w:tcW w:w="1783"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Other Areas</w:t>
            </w:r>
          </w:p>
        </w:tc>
        <w:tc>
          <w:tcPr>
            <w:tcW w:w="1595"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12.40858422</w:t>
            </w:r>
          </w:p>
        </w:tc>
        <w:tc>
          <w:tcPr>
            <w:tcW w:w="1659"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26.00282006</w:t>
            </w:r>
          </w:p>
        </w:tc>
        <w:tc>
          <w:tcPr>
            <w:tcW w:w="1821" w:type="dxa"/>
            <w:tcBorders>
              <w:top w:val="single" w:color="auto" w:sz="4" w:space="0"/>
              <w:left w:val="single" w:color="auto" w:sz="4" w:space="0"/>
              <w:bottom w:val="single" w:color="auto" w:sz="4" w:space="0"/>
              <w:right w:val="single" w:color="auto" w:sz="4" w:space="0"/>
            </w:tcBorders>
            <w:shd w:val="clear" w:color="auto" w:fill="auto"/>
            <w:noWrap/>
            <w:vAlign w:val="center"/>
          </w:tcPr>
          <w:p>
            <w:pPr>
              <w:numPr>
                <w:ilvl w:val="0"/>
                <w:numId w:val="0"/>
              </w:numPr>
              <w:rPr>
                <w:rFonts w:hint="eastAsia" w:ascii="Times New Roman" w:hAnsi="Times New Roman" w:eastAsia="宋体" w:cs="Times New Roman"/>
                <w:sz w:val="24"/>
                <w:szCs w:val="24"/>
                <w:vertAlign w:val="baseline"/>
                <w:lang w:val="en-US" w:eastAsia="zh-CN" w:bidi="ar-SA"/>
              </w:rPr>
            </w:pPr>
            <w:r>
              <w:rPr>
                <w:rFonts w:hint="eastAsia" w:ascii="Times New Roman" w:hAnsi="Times New Roman" w:eastAsia="宋体" w:cs="Times New Roman"/>
                <w:sz w:val="24"/>
                <w:szCs w:val="24"/>
                <w:vertAlign w:val="baseline"/>
                <w:lang w:val="en-US" w:eastAsia="zh-CN" w:bidi="ar-SA"/>
              </w:rPr>
              <w:t>18.00211251</w:t>
            </w:r>
          </w:p>
        </w:tc>
      </w:tr>
    </w:tbl>
    <w:p>
      <w:pPr>
        <w:numPr>
          <w:ilvl w:val="0"/>
          <w:numId w:val="0"/>
        </w:numPr>
        <w:rPr>
          <w:rFonts w:hint="default" w:ascii="Times New Roman" w:hAnsi="Times New Roman" w:eastAsia="宋体" w:cs="Times New Roman"/>
          <w:sz w:val="24"/>
          <w:szCs w:val="24"/>
          <w:lang w:val="en-US" w:eastAsia="zh-CN"/>
        </w:rPr>
      </w:pPr>
    </w:p>
    <w:p>
      <w:pPr>
        <w:numPr>
          <w:ilvl w:val="0"/>
          <w:numId w:val="1"/>
        </w:numPr>
        <w:ind w:left="720" w:leftChars="0" w:hanging="360" w:firstLineChars="0"/>
        <w:rPr>
          <w:rFonts w:ascii="Times New Roman" w:hAnsi="Times New Roman" w:cs="Times New Roman"/>
          <w:sz w:val="24"/>
          <w:szCs w:val="24"/>
        </w:rPr>
      </w:pPr>
      <w:r>
        <w:rPr>
          <w:rFonts w:hint="eastAsia" w:ascii="Times New Roman" w:hAnsi="Times New Roman" w:cs="Times New Roman"/>
          <w:sz w:val="24"/>
          <w:szCs w:val="24"/>
        </w:rPr>
        <w:br w:type="page"/>
      </w:r>
    </w:p>
    <w:p>
      <w:pPr>
        <w:numPr>
          <w:ilvl w:val="0"/>
          <w:numId w:val="0"/>
        </w:numPr>
        <w:rPr>
          <w:rFonts w:hint="eastAsia" w:ascii="Times New Roman" w:hAnsi="Times New Roman" w:eastAsia="Times New Roman" w:cs="Times New Roman"/>
          <w:b/>
          <w:sz w:val="24"/>
          <w:szCs w:val="24"/>
          <w:lang w:val="en-US" w:eastAsia="zh-CN" w:bidi="ar-SA"/>
        </w:rPr>
      </w:pPr>
      <w:r>
        <w:rPr>
          <w:rFonts w:hint="eastAsia" w:ascii="Times New Roman" w:hAnsi="Times New Roman" w:eastAsia="Times New Roman" w:cs="Times New Roman"/>
          <w:b/>
          <w:sz w:val="24"/>
          <w:szCs w:val="24"/>
          <w:lang w:val="en-US" w:eastAsia="zh-CN" w:bidi="ar-SA"/>
        </w:rPr>
        <w:t>SI-Table 7:Literature review between mangrove loss footprint and other spatial explicit footprints</w:t>
      </w:r>
    </w:p>
    <w:p>
      <w:pPr>
        <w:ind w:left="360"/>
        <w:jc w:val="both"/>
        <w:rPr>
          <w:rFonts w:hint="eastAsia"/>
        </w:rPr>
      </w:pPr>
      <w:r>
        <w:rPr>
          <w:rFonts w:hint="eastAsia"/>
        </w:rPr>
        <w:drawing>
          <wp:inline distT="0" distB="0" distL="0" distR="0">
            <wp:extent cx="7544435" cy="3081020"/>
            <wp:effectExtent l="0" t="0" r="12700" b="14605"/>
            <wp:docPr id="915924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92430" name="图片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rot="5400000">
                      <a:off x="0" y="0"/>
                      <a:ext cx="7544435" cy="3081020"/>
                    </a:xfrm>
                    <a:prstGeom prst="rect">
                      <a:avLst/>
                    </a:prstGeom>
                    <a:noFill/>
                    <a:ln>
                      <a:noFill/>
                    </a:ln>
                  </pic:spPr>
                </pic:pic>
              </a:graphicData>
            </a:graphic>
          </wp:inline>
        </w:drawing>
      </w:r>
    </w:p>
    <w:p>
      <w:pPr>
        <w:numPr>
          <w:ilvl w:val="0"/>
          <w:numId w:val="0"/>
        </w:numPr>
        <w:spacing w:line="276" w:lineRule="auto"/>
        <w:jc w:val="both"/>
        <w:rPr>
          <w:rFonts w:hint="default" w:eastAsiaTheme="minorEastAsia"/>
          <w:lang w:val="en-US" w:eastAsia="zh-CN"/>
        </w:rPr>
      </w:pPr>
    </w:p>
    <w:p>
      <w:pPr>
        <w:spacing w:line="480" w:lineRule="auto"/>
        <w:jc w:val="both"/>
        <w:rPr>
          <w:rFonts w:ascii="Times New Roman" w:hAnsi="Times New Roman" w:eastAsia="Times New Roman" w:cs="Times New Roman"/>
          <w:sz w:val="24"/>
          <w:szCs w:val="24"/>
        </w:rPr>
      </w:pPr>
      <w:r>
        <w:rPr>
          <w:rFonts w:hint="eastAsia" w:ascii="Times New Roman" w:hAnsi="Times New Roman" w:eastAsia="宋体" w:cs="Times New Roman"/>
          <w:sz w:val="24"/>
          <w:szCs w:val="24"/>
          <w:lang w:val="en-US" w:eastAsia="zh-CN"/>
        </w:rPr>
        <w:t>SI-</w:t>
      </w:r>
      <w:r>
        <w:rPr>
          <w:rFonts w:ascii="Times New Roman" w:hAnsi="Times New Roman" w:eastAsia="Times New Roman" w:cs="Times New Roman"/>
          <w:sz w:val="24"/>
          <w:szCs w:val="24"/>
        </w:rPr>
        <w:t xml:space="preserve">Table </w:t>
      </w:r>
      <w:r>
        <w:rPr>
          <w:rFonts w:hint="eastAsia" w:ascii="Times New Roman" w:hAnsi="Times New Roman" w:eastAsia="宋体" w:cs="Times New Roman"/>
          <w:sz w:val="24"/>
          <w:szCs w:val="24"/>
          <w:lang w:val="en-US" w:eastAsia="zh-CN"/>
        </w:rPr>
        <w:t>8</w:t>
      </w:r>
      <w:r>
        <w:rPr>
          <w:rFonts w:ascii="Times New Roman" w:hAnsi="Times New Roman" w:eastAsia="Times New Roman" w:cs="Times New Roman"/>
          <w:sz w:val="24"/>
          <w:szCs w:val="24"/>
        </w:rPr>
        <w:t>: Concept clarification</w:t>
      </w:r>
      <w:r>
        <w:rPr>
          <w:rFonts w:hint="eastAsia" w:ascii="Times New Roman" w:hAnsi="Times New Roman" w:eastAsia="宋体" w:cs="Times New Roman"/>
          <w:sz w:val="24"/>
          <w:szCs w:val="24"/>
          <w:lang w:val="en-US" w:eastAsia="zh-CN"/>
        </w:rPr>
        <w:t xml:space="preserve"> of mangrove loss footprint and mangrove loss</w:t>
      </w:r>
      <w:r>
        <w:rPr>
          <w:rFonts w:ascii="Times New Roman" w:hAnsi="Times New Roman" w:eastAsia="Times New Roman" w:cs="Times New Roman"/>
          <w:sz w:val="24"/>
          <w:szCs w:val="24"/>
        </w:rPr>
        <w:t>.</w:t>
      </w:r>
    </w:p>
    <w:tbl>
      <w:tblPr>
        <w:tblStyle w:val="12"/>
        <w:tblW w:w="935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715"/>
        <w:gridCol w:w="2853"/>
        <w:gridCol w:w="992"/>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5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Concepts</w:t>
            </w:r>
          </w:p>
        </w:tc>
        <w:tc>
          <w:tcPr>
            <w:tcW w:w="27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Definitions</w:t>
            </w:r>
          </w:p>
        </w:tc>
        <w:tc>
          <w:tcPr>
            <w:tcW w:w="2853"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Description</w:t>
            </w:r>
          </w:p>
        </w:tc>
        <w:tc>
          <w:tcPr>
            <w:tcW w:w="992"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Method</w:t>
            </w:r>
          </w:p>
        </w:tc>
        <w:tc>
          <w:tcPr>
            <w:tcW w:w="1276" w:type="dxa"/>
            <w:tcMar>
              <w:top w:w="0" w:type="dxa"/>
              <w:left w:w="40" w:type="dxa"/>
              <w:bottom w:w="0" w:type="dxa"/>
              <w:right w:w="40" w:type="dxa"/>
            </w:tcMar>
            <w:vAlign w:val="bottom"/>
          </w:tcPr>
          <w:p>
            <w:pPr>
              <w:spacing w:after="120" w:afterLines="50"/>
              <w:rPr>
                <w:rFonts w:ascii="Times New Roman" w:hAnsi="Times New Roman" w:eastAsia="宋体" w:cs="Times New Roman"/>
                <w:sz w:val="24"/>
                <w:szCs w:val="24"/>
              </w:rPr>
            </w:pPr>
            <w:r>
              <w:rPr>
                <w:rFonts w:ascii="Times New Roman" w:hAnsi="Times New Roman" w:eastAsia="Times New Roman" w:cs="Times New Roman"/>
                <w:sz w:val="24"/>
                <w:szCs w:val="24"/>
              </w:rPr>
              <w:t>Reference</w:t>
            </w:r>
            <w:r>
              <w:rPr>
                <w:rFonts w:ascii="Times New Roman" w:hAnsi="Times New Roman" w:eastAsia="宋体" w:cs="Times New Roman"/>
                <w:sz w:val="24"/>
                <w:szCs w:val="24"/>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0" w:hRule="atLeast"/>
        </w:trPr>
        <w:tc>
          <w:tcPr>
            <w:tcW w:w="15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Mangrove loss</w:t>
            </w:r>
          </w:p>
        </w:tc>
        <w:tc>
          <w:tcPr>
            <w:tcW w:w="2715" w:type="dxa"/>
            <w:tcMar>
              <w:top w:w="0" w:type="dxa"/>
              <w:left w:w="40" w:type="dxa"/>
              <w:bottom w:w="0" w:type="dxa"/>
              <w:right w:w="40" w:type="dxa"/>
            </w:tcMar>
            <w:vAlign w:val="bottom"/>
          </w:tcPr>
          <w:p>
            <w:pPr>
              <w:spacing w:after="120" w:afterLines="50"/>
              <w:rPr>
                <w:rFonts w:ascii="Times New Roman" w:hAnsi="Times New Roman" w:cs="Times New Roman"/>
                <w:sz w:val="24"/>
                <w:szCs w:val="24"/>
              </w:rPr>
            </w:pPr>
            <w:r>
              <w:rPr>
                <w:rFonts w:ascii="Times New Roman" w:hAnsi="Times New Roman" w:eastAsia="Times New Roman" w:cs="Times New Roman"/>
                <w:sz w:val="24"/>
                <w:szCs w:val="24"/>
              </w:rPr>
              <w:t xml:space="preserve">Direct mangrove loss from the ground </w:t>
            </w:r>
            <w:r>
              <w:rPr>
                <w:rFonts w:ascii="Times New Roman" w:hAnsi="Times New Roman" w:eastAsia="宋体" w:cs="Times New Roman"/>
                <w:sz w:val="24"/>
                <w:szCs w:val="24"/>
              </w:rPr>
              <w:t>through r</w:t>
            </w:r>
            <w:r>
              <w:rPr>
                <w:rFonts w:ascii="Times New Roman" w:hAnsi="Times New Roman" w:eastAsia="Times New Roman" w:cs="Times New Roman"/>
                <w:sz w:val="24"/>
                <w:szCs w:val="24"/>
              </w:rPr>
              <w:t xml:space="preserve">emote sensing data. </w:t>
            </w:r>
            <w:r>
              <w:rPr>
                <w:rFonts w:ascii="Times New Roman" w:hAnsi="Times New Roman" w:cs="Times New Roman"/>
                <w:sz w:val="24"/>
                <w:szCs w:val="24"/>
              </w:rPr>
              <w:t>‘</w:t>
            </w:r>
            <w:r>
              <w:rPr>
                <w:rFonts w:hint="eastAsia" w:ascii="Times New Roman" w:hAnsi="Times New Roman" w:cs="Times New Roman"/>
                <w:sz w:val="24"/>
                <w:szCs w:val="24"/>
              </w:rPr>
              <w:t>Mangrove loss</w:t>
            </w:r>
            <w:r>
              <w:rPr>
                <w:rFonts w:ascii="Times New Roman" w:hAnsi="Times New Roman" w:cs="Times New Roman"/>
                <w:sz w:val="24"/>
                <w:szCs w:val="24"/>
              </w:rPr>
              <w:t>’</w:t>
            </w:r>
            <w:r>
              <w:rPr>
                <w:rFonts w:hint="eastAsia" w:ascii="Times New Roman" w:hAnsi="Times New Roman" w:cs="Times New Roman"/>
                <w:sz w:val="24"/>
                <w:szCs w:val="24"/>
              </w:rPr>
              <w:t xml:space="preserve"> is measured </w:t>
            </w:r>
            <w:r>
              <w:rPr>
                <w:rFonts w:ascii="Times New Roman" w:hAnsi="Times New Roman" w:eastAsia="Times New Roman" w:cs="Times New Roman"/>
                <w:sz w:val="24"/>
                <w:szCs w:val="24"/>
              </w:rPr>
              <w:t>as the complete removal of tree cover exceeding a height threshold of 5 meters within the mangrove habitat.</w:t>
            </w:r>
            <w:r>
              <w:rPr>
                <w:rFonts w:hint="eastAsia" w:ascii="Times New Roman" w:hAnsi="Times New Roman" w:cs="Times New Roman"/>
                <w:sz w:val="24"/>
                <w:szCs w:val="24"/>
              </w:rPr>
              <w:t xml:space="preserve"> Countries with mangrove forest coverage are mangrove-holding countries.</w:t>
            </w:r>
          </w:p>
        </w:tc>
        <w:tc>
          <w:tcPr>
            <w:tcW w:w="2853"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 xml:space="preserve">The final products include </w:t>
            </w:r>
            <w:r>
              <w:rPr>
                <w:rFonts w:hint="eastAsia" w:ascii="Times New Roman" w:hAnsi="Times New Roman" w:eastAsia="宋体" w:cs="Times New Roman"/>
                <w:sz w:val="24"/>
                <w:szCs w:val="24"/>
                <w:lang w:val="en-US"/>
              </w:rPr>
              <w:t>pixel-level</w:t>
            </w:r>
            <w:r>
              <w:rPr>
                <w:rFonts w:ascii="Times New Roman" w:hAnsi="Times New Roman" w:eastAsia="Times New Roman" w:cs="Times New Roman"/>
                <w:sz w:val="24"/>
                <w:szCs w:val="24"/>
              </w:rPr>
              <w:t xml:space="preserve"> raster data</w:t>
            </w:r>
            <w:r>
              <w:rPr>
                <w:rFonts w:hint="eastAsia" w:ascii="Times New Roman" w:hAnsi="Times New Roman" w:eastAsia="宋体" w:cs="Times New Roman"/>
                <w:sz w:val="24"/>
                <w:szCs w:val="24"/>
                <w:lang w:val="en-US"/>
              </w:rPr>
              <w:t xml:space="preserve"> (</w:t>
            </w:r>
            <w:r>
              <w:rPr>
                <w:rFonts w:ascii="Times New Roman" w:hAnsi="Times New Roman" w:eastAsia="Times New Roman" w:cs="Times New Roman"/>
                <w:sz w:val="24"/>
                <w:szCs w:val="24"/>
              </w:rPr>
              <w:t>30m*30m</w:t>
            </w:r>
            <w:r>
              <w:rPr>
                <w:rFonts w:hint="eastAsia" w:ascii="Times New Roman" w:hAnsi="Times New Roman" w:eastAsia="宋体" w:cs="Times New Roman"/>
                <w:sz w:val="24"/>
                <w:szCs w:val="24"/>
                <w:lang w:val="en-US"/>
              </w:rPr>
              <w:t>)</w:t>
            </w:r>
            <w:r>
              <w:rPr>
                <w:rFonts w:ascii="Times New Roman" w:hAnsi="Times New Roman" w:eastAsia="Times New Roman" w:cs="Times New Roman"/>
                <w:sz w:val="24"/>
                <w:szCs w:val="24"/>
              </w:rPr>
              <w:t xml:space="preserve"> in 39 countries </w:t>
            </w:r>
            <w:r>
              <w:rPr>
                <w:rFonts w:hint="eastAsia" w:ascii="Times New Roman" w:hAnsi="Times New Roman" w:eastAsia="宋体" w:cs="Times New Roman"/>
                <w:sz w:val="24"/>
                <w:szCs w:val="24"/>
                <w:lang w:val="en-US"/>
              </w:rPr>
              <w:t>for every driver in three epochs (</w:t>
            </w:r>
            <w:r>
              <w:rPr>
                <w:rFonts w:ascii="Times New Roman" w:hAnsi="Times New Roman" w:eastAsia="Times New Roman" w:cs="Times New Roman"/>
                <w:sz w:val="24"/>
                <w:szCs w:val="24"/>
              </w:rPr>
              <w:t>2000-2005, 2005-2010, and 2010-2016</w:t>
            </w:r>
            <w:r>
              <w:rPr>
                <w:rFonts w:hint="eastAsia" w:ascii="Times New Roman" w:hAnsi="Times New Roman" w:eastAsia="宋体" w:cs="Times New Roman"/>
                <w:sz w:val="24"/>
                <w:szCs w:val="24"/>
                <w:lang w:val="en-US"/>
              </w:rPr>
              <w:t>). Its country-level statistics are also provided for 72 countries.</w:t>
            </w:r>
          </w:p>
        </w:tc>
        <w:tc>
          <w:tcPr>
            <w:tcW w:w="992"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Remote Sensing</w:t>
            </w:r>
          </w:p>
        </w:tc>
        <w:tc>
          <w:tcPr>
            <w:tcW w:w="1276"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Goldberg et al. (2022)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5" w:hRule="atLeast"/>
        </w:trPr>
        <w:tc>
          <w:tcPr>
            <w:tcW w:w="15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Human-induced mangrove loss</w:t>
            </w:r>
          </w:p>
        </w:tc>
        <w:tc>
          <w:tcPr>
            <w:tcW w:w="27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宋体" w:cs="Times New Roman"/>
                <w:sz w:val="24"/>
                <w:szCs w:val="24"/>
              </w:rPr>
              <w:t>M</w:t>
            </w:r>
            <w:r>
              <w:rPr>
                <w:rFonts w:ascii="Times New Roman" w:hAnsi="Times New Roman" w:eastAsia="Times New Roman" w:cs="Times New Roman"/>
                <w:sz w:val="24"/>
                <w:szCs w:val="24"/>
              </w:rPr>
              <w:t>angrove loss from the ground due to</w:t>
            </w:r>
            <w:r>
              <w:rPr>
                <w:rFonts w:ascii="Times New Roman" w:hAnsi="Times New Roman" w:eastAsia="宋体" w:cs="Times New Roman"/>
                <w:sz w:val="24"/>
                <w:szCs w:val="24"/>
              </w:rPr>
              <w:t xml:space="preserve"> direct </w:t>
            </w:r>
            <w:r>
              <w:rPr>
                <w:rFonts w:ascii="Times New Roman" w:hAnsi="Times New Roman" w:eastAsia="Times New Roman" w:cs="Times New Roman"/>
                <w:sz w:val="24"/>
                <w:szCs w:val="24"/>
              </w:rPr>
              <w:t>human-related</w:t>
            </w:r>
            <w:r>
              <w:rPr>
                <w:rFonts w:ascii="Times New Roman" w:hAnsi="Times New Roman" w:eastAsia="宋体" w:cs="Times New Roman"/>
                <w:sz w:val="24"/>
                <w:szCs w:val="24"/>
              </w:rPr>
              <w:t xml:space="preserve"> conversion</w:t>
            </w:r>
            <w:r>
              <w:rPr>
                <w:rFonts w:ascii="Times New Roman" w:hAnsi="Times New Roman" w:eastAsia="Times New Roman" w:cs="Times New Roman"/>
                <w:sz w:val="24"/>
                <w:szCs w:val="24"/>
              </w:rPr>
              <w:t>: commodities, human settlement, and non-productive conversion</w:t>
            </w:r>
          </w:p>
        </w:tc>
        <w:tc>
          <w:tcPr>
            <w:tcW w:w="2853"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same as above.</w:t>
            </w:r>
          </w:p>
        </w:tc>
        <w:tc>
          <w:tcPr>
            <w:tcW w:w="992"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Remote Sensing</w:t>
            </w:r>
          </w:p>
        </w:tc>
        <w:tc>
          <w:tcPr>
            <w:tcW w:w="1276"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Goldberg et al. (2022)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25" w:hRule="atLeast"/>
        </w:trPr>
        <w:tc>
          <w:tcPr>
            <w:tcW w:w="15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宋体" w:cs="Times New Roman"/>
                <w:sz w:val="24"/>
                <w:szCs w:val="24"/>
              </w:rPr>
              <w:t>M</w:t>
            </w:r>
            <w:r>
              <w:rPr>
                <w:rFonts w:ascii="Times New Roman" w:hAnsi="Times New Roman" w:eastAsia="Times New Roman" w:cs="Times New Roman"/>
                <w:sz w:val="24"/>
                <w:szCs w:val="24"/>
              </w:rPr>
              <w:t xml:space="preserve">angrove loss footprint </w:t>
            </w:r>
            <w:r>
              <w:rPr>
                <w:rFonts w:ascii="Times New Roman" w:hAnsi="Times New Roman" w:eastAsia="宋体" w:cs="Times New Roman"/>
                <w:sz w:val="24"/>
                <w:szCs w:val="24"/>
              </w:rPr>
              <w:t>(</w:t>
            </w:r>
            <w:r>
              <w:rPr>
                <w:rFonts w:ascii="Times New Roman" w:hAnsi="Times New Roman" w:eastAsia="Times New Roman" w:cs="Times New Roman"/>
                <w:sz w:val="24"/>
                <w:szCs w:val="24"/>
              </w:rPr>
              <w:t>Trade-adjusted mangrove loss)</w:t>
            </w:r>
          </w:p>
        </w:tc>
        <w:tc>
          <w:tcPr>
            <w:tcW w:w="2715"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宋体" w:cs="Times New Roman"/>
                <w:sz w:val="24"/>
                <w:szCs w:val="24"/>
              </w:rPr>
              <w:t>M</w:t>
            </w:r>
            <w:r>
              <w:rPr>
                <w:rFonts w:ascii="Times New Roman" w:hAnsi="Times New Roman" w:eastAsia="Times New Roman" w:cs="Times New Roman"/>
                <w:sz w:val="24"/>
                <w:szCs w:val="24"/>
              </w:rPr>
              <w:t xml:space="preserve">angrove loss </w:t>
            </w:r>
            <w:r>
              <w:rPr>
                <w:rFonts w:ascii="Times New Roman" w:hAnsi="Times New Roman" w:eastAsia="宋体" w:cs="Times New Roman"/>
                <w:sz w:val="24"/>
                <w:szCs w:val="24"/>
              </w:rPr>
              <w:t>that is consumed to meet a country’s final demand, such as local mangrove conversion to commodities</w:t>
            </w:r>
            <w:r>
              <w:rPr>
                <w:rFonts w:ascii="Times New Roman" w:hAnsi="Times New Roman" w:eastAsia="Times New Roman" w:cs="Times New Roman"/>
                <w:sz w:val="24"/>
                <w:szCs w:val="24"/>
              </w:rPr>
              <w:t xml:space="preserve"> </w:t>
            </w:r>
            <w:r>
              <w:rPr>
                <w:rFonts w:ascii="Times New Roman" w:hAnsi="Times New Roman" w:eastAsia="宋体" w:cs="Times New Roman"/>
                <w:sz w:val="24"/>
                <w:szCs w:val="24"/>
              </w:rPr>
              <w:t xml:space="preserve">exported and </w:t>
            </w:r>
            <w:r>
              <w:rPr>
                <w:rFonts w:ascii="Times New Roman" w:hAnsi="Times New Roman" w:eastAsia="Times New Roman" w:cs="Times New Roman"/>
                <w:sz w:val="24"/>
                <w:szCs w:val="24"/>
              </w:rPr>
              <w:t>consumed abroad</w:t>
            </w:r>
            <w:r>
              <w:rPr>
                <w:rFonts w:ascii="Times New Roman" w:hAnsi="Times New Roman" w:eastAsia="宋体" w:cs="Times New Roman"/>
                <w:sz w:val="24"/>
                <w:szCs w:val="24"/>
              </w:rPr>
              <w:t>.</w:t>
            </w:r>
            <w:r>
              <w:rPr>
                <w:rFonts w:ascii="Times New Roman" w:hAnsi="Times New Roman" w:eastAsia="Times New Roman" w:cs="Times New Roman"/>
                <w:sz w:val="24"/>
                <w:szCs w:val="24"/>
              </w:rPr>
              <w:t xml:space="preserve"> It is the loss caused by final demand through the global supply chain. </w:t>
            </w:r>
          </w:p>
        </w:tc>
        <w:tc>
          <w:tcPr>
            <w:tcW w:w="2853"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Mangrove loss footprint is measured for 189 countries in the Eora database for three periods: 2000-2005, 2005-2010, and 2010-2016. The Eora sectors are aggregated to link with mangrove loss’s anthropogenic drivers and then connected to spatially explicit human-induced loss to calculate the mangrove loss footprint.</w:t>
            </w:r>
          </w:p>
        </w:tc>
        <w:tc>
          <w:tcPr>
            <w:tcW w:w="992" w:type="dxa"/>
            <w:tcMar>
              <w:top w:w="0" w:type="dxa"/>
              <w:left w:w="40" w:type="dxa"/>
              <w:bottom w:w="0" w:type="dxa"/>
              <w:right w:w="40" w:type="dxa"/>
            </w:tcMar>
            <w:vAlign w:val="bottom"/>
          </w:tcPr>
          <w:p>
            <w:pPr>
              <w:spacing w:after="120" w:afterLines="50"/>
              <w:rPr>
                <w:rFonts w:ascii="Times New Roman" w:hAnsi="Times New Roman" w:eastAsia="Times New Roman" w:cs="Times New Roman"/>
                <w:sz w:val="24"/>
                <w:szCs w:val="24"/>
              </w:rPr>
            </w:pPr>
            <w:r>
              <w:rPr>
                <w:rFonts w:ascii="Times New Roman" w:hAnsi="Times New Roman" w:eastAsia="Times New Roman" w:cs="Times New Roman"/>
                <w:sz w:val="24"/>
                <w:szCs w:val="24"/>
              </w:rPr>
              <w:t>MRIO+Remote sensing+GIS mapping</w:t>
            </w:r>
          </w:p>
        </w:tc>
        <w:tc>
          <w:tcPr>
            <w:tcW w:w="1276" w:type="dxa"/>
            <w:tcMar>
              <w:top w:w="0" w:type="dxa"/>
              <w:left w:w="40" w:type="dxa"/>
              <w:bottom w:w="0" w:type="dxa"/>
              <w:right w:w="40" w:type="dxa"/>
            </w:tcMar>
            <w:vAlign w:val="bottom"/>
          </w:tcPr>
          <w:p>
            <w:pPr>
              <w:spacing w:after="120" w:afterLines="50"/>
              <w:rPr>
                <w:rFonts w:hint="default" w:ascii="Times New Roman" w:hAnsi="Times New Roman" w:eastAsia="Times New Roman" w:cs="Times New Roman"/>
                <w:sz w:val="24"/>
                <w:szCs w:val="24"/>
                <w:lang w:val="en-US"/>
              </w:rPr>
            </w:pPr>
            <w:r>
              <w:rPr>
                <w:rFonts w:ascii="Times New Roman" w:hAnsi="Times New Roman" w:eastAsia="Times New Roman" w:cs="Times New Roman"/>
                <w:sz w:val="24"/>
                <w:szCs w:val="24"/>
                <w:lang w:val="en-US" w:eastAsia="zh-CN"/>
              </w:rPr>
              <w:t>Wiedmann &amp; Lenzen.</w:t>
            </w:r>
            <w:r>
              <w:rPr>
                <w:rFonts w:hint="eastAsia" w:ascii="Times New Roman" w:hAnsi="Times New Roman" w:eastAsia="Times New Roman" w:cs="Times New Roman"/>
                <w:sz w:val="24"/>
                <w:szCs w:val="24"/>
                <w:lang w:val="en-US" w:eastAsia="zh-CN"/>
              </w:rPr>
              <w:t xml:space="preserve"> (</w:t>
            </w:r>
            <w:r>
              <w:rPr>
                <w:rFonts w:ascii="Times New Roman" w:hAnsi="Times New Roman" w:eastAsia="Times New Roman" w:cs="Times New Roman"/>
                <w:sz w:val="24"/>
                <w:szCs w:val="24"/>
                <w:lang w:val="en-US" w:eastAsia="zh-CN"/>
              </w:rPr>
              <w:t>2018</w:t>
            </w:r>
            <w:r>
              <w:rPr>
                <w:rFonts w:hint="eastAsia" w:ascii="Times New Roman" w:hAnsi="Times New Roman" w:eastAsia="Times New Roman" w:cs="Times New Roman"/>
                <w:sz w:val="24"/>
                <w:szCs w:val="24"/>
                <w:lang w:val="en-US" w:eastAsia="zh-CN"/>
              </w:rPr>
              <w:t>)</w:t>
            </w:r>
          </w:p>
          <w:p>
            <w:pPr>
              <w:spacing w:after="120" w:afterLines="50"/>
              <w:rPr>
                <w:rFonts w:ascii="Times New Roman" w:hAnsi="Times New Roman" w:eastAsia="Times New Roman" w:cs="Times New Roman"/>
                <w:sz w:val="24"/>
                <w:szCs w:val="24"/>
                <w:lang w:val="fr-FR"/>
              </w:rPr>
            </w:pPr>
            <w:r>
              <w:rPr>
                <w:rFonts w:ascii="Times New Roman" w:hAnsi="Times New Roman" w:eastAsia="Times New Roman" w:cs="Times New Roman"/>
                <w:sz w:val="24"/>
                <w:szCs w:val="24"/>
                <w:lang w:val="fr-FR"/>
              </w:rPr>
              <w:t>Hoang et al. (2021)</w:t>
            </w:r>
          </w:p>
        </w:tc>
      </w:tr>
    </w:tbl>
    <w:p>
      <w:pPr>
        <w:spacing w:after="120" w:afterLines="50" w:line="480" w:lineRule="auto"/>
        <w:jc w:val="both"/>
        <w:rPr>
          <w:rFonts w:ascii="Times New Roman" w:hAnsi="Times New Roman" w:eastAsia="宋体" w:cs="Times New Roman"/>
          <w:sz w:val="24"/>
          <w:szCs w:val="24"/>
          <w:lang w:val="fr-FR"/>
        </w:rPr>
      </w:pPr>
    </w:p>
    <w:p>
      <w:pPr>
        <w:numPr>
          <w:ilvl w:val="0"/>
          <w:numId w:val="0"/>
        </w:numPr>
        <w:spacing w:line="276" w:lineRule="auto"/>
        <w:jc w:val="both"/>
        <w:rPr>
          <w:rFonts w:hint="default" w:eastAsiaTheme="minorEastAsia"/>
          <w:lang w:val="en-US" w:eastAsia="zh-CN"/>
        </w:rPr>
      </w:pPr>
    </w:p>
    <w:sectPr>
      <w:pgSz w:w="12240" w:h="15840"/>
      <w:pgMar w:top="1440" w:right="1440" w:bottom="1440" w:left="1440" w:header="720" w:footer="720" w:gutter="0"/>
      <w:pgNumType w:start="1"/>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auto"/>
    <w:pitch w:val="default"/>
    <w:sig w:usb0="E0002EFF" w:usb1="C000785B"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76" w:lineRule="auto"/>
      </w:pPr>
      <w:r>
        <w:separator/>
      </w:r>
    </w:p>
  </w:footnote>
  <w:footnote w:type="continuationSeparator" w:id="1">
    <w:p>
      <w:pPr>
        <w:spacing w:line="276"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5506F3"/>
    <w:multiLevelType w:val="multilevel"/>
    <w:tmpl w:val="335506F3"/>
    <w:lvl w:ilvl="0" w:tentative="0">
      <w:start w:val="1"/>
      <w:numFmt w:val="decimal"/>
      <w:lvlText w:val="%1."/>
      <w:lvlJc w:val="left"/>
      <w:pPr>
        <w:ind w:left="720" w:hanging="360"/>
      </w:pPr>
      <w:rPr>
        <w:u w:val="none"/>
      </w:rPr>
    </w:lvl>
    <w:lvl w:ilvl="1" w:tentative="0">
      <w:start w:val="1"/>
      <w:numFmt w:val="lowerLetter"/>
      <w:lvlText w:val="%2."/>
      <w:lvlJc w:val="left"/>
      <w:pPr>
        <w:ind w:left="1440" w:hanging="360"/>
      </w:pPr>
      <w:rPr>
        <w:u w:val="none"/>
      </w:rPr>
    </w:lvl>
    <w:lvl w:ilvl="2" w:tentative="0">
      <w:start w:val="1"/>
      <w:numFmt w:val="lowerRoman"/>
      <w:lvlText w:val="%3."/>
      <w:lvlJc w:val="right"/>
      <w:pPr>
        <w:ind w:left="2160" w:hanging="360"/>
      </w:pPr>
      <w:rPr>
        <w:u w:val="none"/>
      </w:rPr>
    </w:lvl>
    <w:lvl w:ilvl="3" w:tentative="0">
      <w:start w:val="1"/>
      <w:numFmt w:val="decimal"/>
      <w:lvlText w:val="%4."/>
      <w:lvlJc w:val="left"/>
      <w:pPr>
        <w:ind w:left="2880" w:hanging="360"/>
      </w:pPr>
      <w:rPr>
        <w:u w:val="none"/>
      </w:rPr>
    </w:lvl>
    <w:lvl w:ilvl="4" w:tentative="0">
      <w:start w:val="1"/>
      <w:numFmt w:val="lowerLetter"/>
      <w:lvlText w:val="%5."/>
      <w:lvlJc w:val="left"/>
      <w:pPr>
        <w:ind w:left="3600" w:hanging="360"/>
      </w:pPr>
      <w:rPr>
        <w:u w:val="none"/>
      </w:rPr>
    </w:lvl>
    <w:lvl w:ilvl="5" w:tentative="0">
      <w:start w:val="1"/>
      <w:numFmt w:val="lowerRoman"/>
      <w:lvlText w:val="%6."/>
      <w:lvlJc w:val="right"/>
      <w:pPr>
        <w:ind w:left="4320" w:hanging="360"/>
      </w:pPr>
      <w:rPr>
        <w:u w:val="none"/>
      </w:rPr>
    </w:lvl>
    <w:lvl w:ilvl="6" w:tentative="0">
      <w:start w:val="1"/>
      <w:numFmt w:val="decimal"/>
      <w:lvlText w:val="%7."/>
      <w:lvlJc w:val="left"/>
      <w:pPr>
        <w:ind w:left="5040" w:hanging="360"/>
      </w:pPr>
      <w:rPr>
        <w:u w:val="none"/>
      </w:rPr>
    </w:lvl>
    <w:lvl w:ilvl="7" w:tentative="0">
      <w:start w:val="1"/>
      <w:numFmt w:val="lowerLetter"/>
      <w:lvlText w:val="%8."/>
      <w:lvlJc w:val="left"/>
      <w:pPr>
        <w:ind w:left="5760" w:hanging="360"/>
      </w:pPr>
      <w:rPr>
        <w:u w:val="none"/>
      </w:rPr>
    </w:lvl>
    <w:lvl w:ilvl="8" w:tentative="0">
      <w:start w:val="1"/>
      <w:numFmt w:val="lowerRoman"/>
      <w:lvlText w:val="%9."/>
      <w:lvlJc w:val="right"/>
      <w:pPr>
        <w:ind w:left="648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DYwZTJjNzUyYmI4MDVlNmU3YzBjOWNiNmZiNzQ4ZjIifQ=="/>
  </w:docVars>
  <w:rsids>
    <w:rsidRoot w:val="002E152A"/>
    <w:rsid w:val="0016779F"/>
    <w:rsid w:val="0023351B"/>
    <w:rsid w:val="002E152A"/>
    <w:rsid w:val="00322272"/>
    <w:rsid w:val="00440D9A"/>
    <w:rsid w:val="004B11CE"/>
    <w:rsid w:val="005A6436"/>
    <w:rsid w:val="00642244"/>
    <w:rsid w:val="007F2E31"/>
    <w:rsid w:val="00811358"/>
    <w:rsid w:val="008B2808"/>
    <w:rsid w:val="00B32F78"/>
    <w:rsid w:val="00B72C92"/>
    <w:rsid w:val="00BF23A9"/>
    <w:rsid w:val="00C07A0F"/>
    <w:rsid w:val="00FE5BCD"/>
    <w:rsid w:val="104E5D16"/>
    <w:rsid w:val="144E7211"/>
    <w:rsid w:val="155F416A"/>
    <w:rsid w:val="1A163D48"/>
    <w:rsid w:val="2AF754D0"/>
    <w:rsid w:val="2CCB0937"/>
    <w:rsid w:val="2D826FFF"/>
    <w:rsid w:val="2EAB0136"/>
    <w:rsid w:val="2FD275B3"/>
    <w:rsid w:val="37FA215C"/>
    <w:rsid w:val="3A5126D0"/>
    <w:rsid w:val="3B971BE3"/>
    <w:rsid w:val="3E566392"/>
    <w:rsid w:val="5C07081F"/>
    <w:rsid w:val="6C164AAF"/>
    <w:rsid w:val="6FEE23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line="276" w:lineRule="auto"/>
    </w:pPr>
    <w:rPr>
      <w:rFonts w:ascii="Arial" w:hAnsi="Arial" w:cs="Arial" w:eastAsiaTheme="minorEastAsia"/>
      <w:sz w:val="22"/>
      <w:szCs w:val="22"/>
      <w:lang w:val="en" w:eastAsia="zh-CN" w:bidi="ar-SA"/>
    </w:rPr>
  </w:style>
  <w:style w:type="paragraph" w:styleId="2">
    <w:name w:val="heading 1"/>
    <w:basedOn w:val="1"/>
    <w:next w:val="1"/>
    <w:autoRedefine/>
    <w:qFormat/>
    <w:uiPriority w:val="9"/>
    <w:pPr>
      <w:keepNext/>
      <w:keepLines/>
      <w:spacing w:before="400" w:after="120"/>
      <w:outlineLvl w:val="0"/>
    </w:pPr>
    <w:rPr>
      <w:sz w:val="40"/>
      <w:szCs w:val="40"/>
    </w:rPr>
  </w:style>
  <w:style w:type="paragraph" w:styleId="3">
    <w:name w:val="heading 2"/>
    <w:basedOn w:val="1"/>
    <w:next w:val="1"/>
    <w:autoRedefine/>
    <w:unhideWhenUsed/>
    <w:qFormat/>
    <w:uiPriority w:val="9"/>
    <w:pPr>
      <w:keepNext/>
      <w:keepLines/>
      <w:spacing w:before="360" w:after="120"/>
      <w:outlineLvl w:val="1"/>
    </w:pPr>
    <w:rPr>
      <w:sz w:val="32"/>
      <w:szCs w:val="32"/>
    </w:rPr>
  </w:style>
  <w:style w:type="paragraph" w:styleId="4">
    <w:name w:val="heading 3"/>
    <w:basedOn w:val="1"/>
    <w:next w:val="1"/>
    <w:autoRedefine/>
    <w:semiHidden/>
    <w:unhideWhenUsed/>
    <w:qFormat/>
    <w:uiPriority w:val="9"/>
    <w:pPr>
      <w:keepNext/>
      <w:keepLines/>
      <w:spacing w:before="320" w:after="80"/>
      <w:outlineLvl w:val="2"/>
    </w:pPr>
    <w:rPr>
      <w:color w:val="434343"/>
      <w:sz w:val="28"/>
      <w:szCs w:val="28"/>
    </w:rPr>
  </w:style>
  <w:style w:type="paragraph" w:styleId="5">
    <w:name w:val="heading 4"/>
    <w:basedOn w:val="1"/>
    <w:next w:val="1"/>
    <w:autoRedefine/>
    <w:semiHidden/>
    <w:unhideWhenUsed/>
    <w:qFormat/>
    <w:uiPriority w:val="9"/>
    <w:pPr>
      <w:keepNext/>
      <w:keepLines/>
      <w:spacing w:before="280" w:after="80"/>
      <w:outlineLvl w:val="3"/>
    </w:pPr>
    <w:rPr>
      <w:color w:val="666666"/>
      <w:sz w:val="24"/>
      <w:szCs w:val="24"/>
    </w:rPr>
  </w:style>
  <w:style w:type="paragraph" w:styleId="6">
    <w:name w:val="heading 5"/>
    <w:basedOn w:val="1"/>
    <w:next w:val="1"/>
    <w:autoRedefine/>
    <w:semiHidden/>
    <w:unhideWhenUsed/>
    <w:qFormat/>
    <w:uiPriority w:val="9"/>
    <w:pPr>
      <w:keepNext/>
      <w:keepLines/>
      <w:spacing w:before="240" w:after="80"/>
      <w:outlineLvl w:val="4"/>
    </w:pPr>
    <w:rPr>
      <w:color w:val="666666"/>
    </w:rPr>
  </w:style>
  <w:style w:type="paragraph" w:styleId="7">
    <w:name w:val="heading 6"/>
    <w:basedOn w:val="1"/>
    <w:next w:val="1"/>
    <w:autoRedefine/>
    <w:semiHidden/>
    <w:unhideWhenUsed/>
    <w:qFormat/>
    <w:uiPriority w:val="9"/>
    <w:pPr>
      <w:keepNext/>
      <w:keepLines/>
      <w:spacing w:before="240" w:after="80"/>
      <w:outlineLvl w:val="5"/>
    </w:pPr>
    <w:rPr>
      <w:i/>
      <w:color w:val="666666"/>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8">
    <w:name w:val="footer"/>
    <w:basedOn w:val="1"/>
    <w:link w:val="17"/>
    <w:autoRedefine/>
    <w:unhideWhenUsed/>
    <w:qFormat/>
    <w:uiPriority w:val="99"/>
    <w:pPr>
      <w:tabs>
        <w:tab w:val="center" w:pos="4153"/>
        <w:tab w:val="right" w:pos="8306"/>
      </w:tabs>
      <w:snapToGrid w:val="0"/>
      <w:spacing w:line="240" w:lineRule="auto"/>
    </w:pPr>
    <w:rPr>
      <w:sz w:val="18"/>
      <w:szCs w:val="18"/>
    </w:rPr>
  </w:style>
  <w:style w:type="paragraph" w:styleId="9">
    <w:name w:val="header"/>
    <w:basedOn w:val="1"/>
    <w:link w:val="16"/>
    <w:autoRedefine/>
    <w:unhideWhenUsed/>
    <w:qFormat/>
    <w:uiPriority w:val="99"/>
    <w:pPr>
      <w:tabs>
        <w:tab w:val="center" w:pos="4153"/>
        <w:tab w:val="right" w:pos="8306"/>
      </w:tabs>
      <w:snapToGrid w:val="0"/>
      <w:spacing w:line="240" w:lineRule="auto"/>
      <w:jc w:val="center"/>
    </w:pPr>
    <w:rPr>
      <w:sz w:val="18"/>
      <w:szCs w:val="18"/>
    </w:rPr>
  </w:style>
  <w:style w:type="paragraph" w:styleId="10">
    <w:name w:val="Subtitle"/>
    <w:basedOn w:val="1"/>
    <w:next w:val="1"/>
    <w:autoRedefine/>
    <w:qFormat/>
    <w:uiPriority w:val="11"/>
    <w:pPr>
      <w:keepNext/>
      <w:keepLines/>
      <w:spacing w:after="320"/>
    </w:pPr>
    <w:rPr>
      <w:rFonts w:eastAsia="Arial"/>
      <w:color w:val="666666"/>
      <w:sz w:val="30"/>
      <w:szCs w:val="30"/>
    </w:rPr>
  </w:style>
  <w:style w:type="paragraph" w:styleId="11">
    <w:name w:val="Title"/>
    <w:basedOn w:val="1"/>
    <w:next w:val="1"/>
    <w:autoRedefine/>
    <w:qFormat/>
    <w:uiPriority w:val="10"/>
    <w:pPr>
      <w:keepNext/>
      <w:keepLines/>
      <w:spacing w:after="60"/>
    </w:pPr>
    <w:rPr>
      <w:sz w:val="52"/>
      <w:szCs w:val="52"/>
    </w:rPr>
  </w:style>
  <w:style w:type="table" w:styleId="13">
    <w:name w:val="Table Grid"/>
    <w:basedOn w:val="12"/>
    <w:autoRedefine/>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5">
    <w:name w:val="Table Normal"/>
    <w:autoRedefine/>
    <w:qFormat/>
    <w:uiPriority w:val="0"/>
    <w:tblPr>
      <w:tblCellMar>
        <w:top w:w="0" w:type="dxa"/>
        <w:left w:w="0" w:type="dxa"/>
        <w:bottom w:w="0" w:type="dxa"/>
        <w:right w:w="0" w:type="dxa"/>
      </w:tblCellMar>
    </w:tblPr>
  </w:style>
  <w:style w:type="character" w:customStyle="1" w:styleId="16">
    <w:name w:val="页眉 字符"/>
    <w:basedOn w:val="14"/>
    <w:link w:val="9"/>
    <w:autoRedefine/>
    <w:qFormat/>
    <w:uiPriority w:val="99"/>
    <w:rPr>
      <w:sz w:val="18"/>
      <w:szCs w:val="18"/>
    </w:rPr>
  </w:style>
  <w:style w:type="character" w:customStyle="1" w:styleId="17">
    <w:name w:val="页脚 字符"/>
    <w:basedOn w:val="14"/>
    <w:link w:val="8"/>
    <w:autoRedefine/>
    <w:qFormat/>
    <w:uiPriority w:val="99"/>
    <w:rPr>
      <w:sz w:val="18"/>
      <w:szCs w:val="18"/>
    </w:rPr>
  </w:style>
  <w:style w:type="paragraph" w:styleId="18">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emf"/><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docProps/app.xml><?xml version="1.0" encoding="utf-8"?>
<Properties xmlns="http://schemas.openxmlformats.org/officeDocument/2006/extended-properties" xmlns:vt="http://schemas.openxmlformats.org/officeDocument/2006/docPropsVTypes">
  <Template>Normal</Template>
  <Pages>4</Pages>
  <Words>249</Words>
  <Characters>1508</Characters>
  <Lines>48</Lines>
  <Paragraphs>15</Paragraphs>
  <TotalTime>32</TotalTime>
  <ScaleCrop>false</ScaleCrop>
  <LinksUpToDate>false</LinksUpToDate>
  <CharactersWithSpaces>1746</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2024-07-02T23:25:00Z</dcterms:created>
  <dc:creator>lenovo</dc:creator>
  <cp:lastModifiedBy>龚醚</cp:lastModifiedBy>
  <dcterms:modified xsi:type="dcterms:W3CDTF">2025-01-03T02:51:21Z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991d7277c02a504af53961c332bc1556ef8f7e2fb7cc5c102400c8b747559b5a</vt:lpwstr>
  </property>
  <property fmtid="{D5CDD505-2E9C-101B-9397-08002B2CF9AE}" pid="3" name="KSOProductBuildVer">
    <vt:lpwstr>2052-12.1.0.16417</vt:lpwstr>
  </property>
  <property fmtid="{D5CDD505-2E9C-101B-9397-08002B2CF9AE}" pid="4" name="ICV">
    <vt:lpwstr>CF4E5CCDCBD84FD9B9161391834532A2_12</vt:lpwstr>
  </property>
</Properties>
</file>