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1C7C" w:rsidRDefault="00AC1C7C" w:rsidP="00AC1C7C">
      <w:pPr>
        <w:rPr>
          <w:rFonts w:cstheme="minorHAnsi"/>
          <w:b/>
          <w:sz w:val="32"/>
          <w:lang w:val="en-US"/>
        </w:rPr>
      </w:pPr>
      <w:r>
        <w:rPr>
          <w:rFonts w:cstheme="minorHAnsi"/>
          <w:b/>
          <w:sz w:val="32"/>
          <w:lang w:val="en-US"/>
        </w:rPr>
        <w:t>S</w:t>
      </w:r>
      <w:r w:rsidR="00C44BD6">
        <w:rPr>
          <w:rFonts w:cstheme="minorHAnsi"/>
          <w:b/>
          <w:sz w:val="32"/>
          <w:lang w:val="en-US"/>
        </w:rPr>
        <w:t>upplementary information</w:t>
      </w:r>
      <w:bookmarkStart w:id="0" w:name="_GoBack"/>
      <w:bookmarkEnd w:id="0"/>
    </w:p>
    <w:p w:rsidR="00AC1C7C" w:rsidRDefault="00AC1C7C" w:rsidP="00AC1C7C">
      <w:pPr>
        <w:spacing w:line="360" w:lineRule="auto"/>
        <w:rPr>
          <w:rFonts w:cstheme="minorHAnsi"/>
          <w:sz w:val="24"/>
          <w:szCs w:val="24"/>
          <w:lang w:val="en-US"/>
        </w:rPr>
      </w:pPr>
      <w:r w:rsidRPr="004971CC">
        <w:rPr>
          <w:rFonts w:cstheme="minorHAnsi"/>
          <w:b/>
          <w:sz w:val="24"/>
          <w:szCs w:val="24"/>
          <w:lang w:val="en-US"/>
        </w:rPr>
        <w:t>Supplementary file</w:t>
      </w:r>
      <w:r>
        <w:rPr>
          <w:rFonts w:cstheme="minorHAnsi"/>
          <w:b/>
          <w:sz w:val="24"/>
          <w:szCs w:val="24"/>
          <w:lang w:val="en-US"/>
        </w:rPr>
        <w:t xml:space="preserve"> 1</w:t>
      </w:r>
      <w:r w:rsidRPr="004971CC">
        <w:rPr>
          <w:rFonts w:cstheme="minorHAnsi"/>
          <w:b/>
          <w:sz w:val="24"/>
          <w:szCs w:val="24"/>
          <w:lang w:val="en-US"/>
        </w:rPr>
        <w:t xml:space="preserve">: </w:t>
      </w:r>
      <w:r w:rsidRPr="004971CC">
        <w:rPr>
          <w:rFonts w:cstheme="minorHAnsi"/>
          <w:sz w:val="24"/>
          <w:szCs w:val="24"/>
          <w:lang w:val="en-US"/>
        </w:rPr>
        <w:t>Proteomic data</w:t>
      </w:r>
      <w:r>
        <w:rPr>
          <w:rFonts w:cstheme="minorHAnsi"/>
          <w:sz w:val="24"/>
          <w:szCs w:val="24"/>
          <w:lang w:val="en-US"/>
        </w:rPr>
        <w:t xml:space="preserve"> from search against human proteins (</w:t>
      </w:r>
      <w:proofErr w:type="spellStart"/>
      <w:r>
        <w:rPr>
          <w:rFonts w:cstheme="minorHAnsi"/>
          <w:sz w:val="24"/>
          <w:szCs w:val="24"/>
          <w:lang w:val="en-US"/>
        </w:rPr>
        <w:t>Swissprot</w:t>
      </w:r>
      <w:proofErr w:type="spellEnd"/>
      <w:r>
        <w:rPr>
          <w:rFonts w:cstheme="minorHAnsi"/>
          <w:sz w:val="24"/>
          <w:szCs w:val="24"/>
          <w:lang w:val="en-US"/>
        </w:rPr>
        <w:t>)</w:t>
      </w:r>
      <w:r w:rsidRPr="004971CC">
        <w:rPr>
          <w:rFonts w:cstheme="minorHAnsi"/>
          <w:sz w:val="24"/>
          <w:szCs w:val="24"/>
          <w:lang w:val="en-US"/>
        </w:rPr>
        <w:t>. Sheet ‘</w:t>
      </w:r>
      <w:proofErr w:type="spellStart"/>
      <w:r w:rsidRPr="004971CC">
        <w:rPr>
          <w:rFonts w:cstheme="minorHAnsi"/>
          <w:sz w:val="24"/>
          <w:szCs w:val="24"/>
          <w:lang w:val="en-US"/>
        </w:rPr>
        <w:t>proteinGroups</w:t>
      </w:r>
      <w:proofErr w:type="spellEnd"/>
      <w:r w:rsidRPr="004971CC">
        <w:rPr>
          <w:rFonts w:cstheme="minorHAnsi"/>
          <w:sz w:val="24"/>
          <w:szCs w:val="24"/>
          <w:lang w:val="en-US"/>
        </w:rPr>
        <w:t xml:space="preserve">’ shows the protein identification and label-free quantification data from </w:t>
      </w:r>
      <w:proofErr w:type="spellStart"/>
      <w:r w:rsidRPr="004971CC">
        <w:rPr>
          <w:rFonts w:cstheme="minorHAnsi"/>
          <w:sz w:val="24"/>
          <w:szCs w:val="24"/>
          <w:lang w:val="en-US"/>
        </w:rPr>
        <w:t>MaxQuant</w:t>
      </w:r>
      <w:proofErr w:type="spellEnd"/>
      <w:r w:rsidRPr="004971CC">
        <w:rPr>
          <w:rFonts w:cstheme="minorHAnsi"/>
          <w:sz w:val="24"/>
          <w:szCs w:val="24"/>
          <w:lang w:val="en-US"/>
        </w:rPr>
        <w:t xml:space="preserve"> search, and sheet ‘Perseus’ shows results from additional data processing and statistical analyses performed in Perseus software. </w:t>
      </w:r>
      <w:r>
        <w:rPr>
          <w:rFonts w:cstheme="minorHAnsi"/>
          <w:sz w:val="24"/>
          <w:szCs w:val="24"/>
          <w:lang w:val="en-US"/>
        </w:rPr>
        <w:t xml:space="preserve">Data are anonymized, and individual samples within each group are equally labeled with group name 1-4, representing Controls, T2D only, HIV only and HIV+T2D, respectively. </w:t>
      </w:r>
      <w:r w:rsidRPr="004971CC">
        <w:rPr>
          <w:rFonts w:cstheme="minorHAnsi"/>
          <w:sz w:val="24"/>
          <w:szCs w:val="24"/>
          <w:lang w:val="en-US"/>
        </w:rPr>
        <w:t xml:space="preserve">Sheet ‘Filtered IDs vs </w:t>
      </w:r>
      <w:proofErr w:type="spellStart"/>
      <w:r w:rsidRPr="004971CC">
        <w:rPr>
          <w:rFonts w:cstheme="minorHAnsi"/>
          <w:sz w:val="24"/>
          <w:szCs w:val="24"/>
          <w:lang w:val="en-US"/>
        </w:rPr>
        <w:t>Vesiclepedia</w:t>
      </w:r>
      <w:proofErr w:type="spellEnd"/>
      <w:r w:rsidRPr="004971CC">
        <w:rPr>
          <w:rFonts w:cstheme="minorHAnsi"/>
          <w:sz w:val="24"/>
          <w:szCs w:val="24"/>
          <w:lang w:val="en-US"/>
        </w:rPr>
        <w:t xml:space="preserve">’ lists the identified proteins compared with </w:t>
      </w:r>
      <w:proofErr w:type="spellStart"/>
      <w:r w:rsidRPr="004971CC">
        <w:rPr>
          <w:rFonts w:cstheme="minorHAnsi"/>
          <w:sz w:val="24"/>
          <w:szCs w:val="24"/>
          <w:lang w:val="en-US"/>
        </w:rPr>
        <w:t>Vesiclepedia</w:t>
      </w:r>
      <w:proofErr w:type="spellEnd"/>
      <w:r w:rsidRPr="004971CC">
        <w:rPr>
          <w:rFonts w:cstheme="minorHAnsi"/>
          <w:sz w:val="24"/>
          <w:szCs w:val="24"/>
          <w:lang w:val="en-US"/>
        </w:rPr>
        <w:t xml:space="preserve"> database. </w:t>
      </w:r>
    </w:p>
    <w:p w:rsidR="00AC1C7C" w:rsidRDefault="00AC1C7C" w:rsidP="00AC1C7C">
      <w:pPr>
        <w:spacing w:line="360" w:lineRule="auto"/>
        <w:rPr>
          <w:rFonts w:cstheme="minorHAnsi"/>
          <w:sz w:val="24"/>
          <w:szCs w:val="24"/>
          <w:lang w:val="en-US"/>
        </w:rPr>
      </w:pPr>
      <w:r w:rsidRPr="00827337">
        <w:rPr>
          <w:rFonts w:cstheme="minorHAnsi"/>
          <w:b/>
          <w:sz w:val="24"/>
          <w:szCs w:val="24"/>
          <w:lang w:val="en-US"/>
        </w:rPr>
        <w:t>Supplementary file 2:</w:t>
      </w:r>
      <w:r>
        <w:rPr>
          <w:rFonts w:cstheme="minorHAnsi"/>
          <w:sz w:val="24"/>
          <w:szCs w:val="24"/>
          <w:lang w:val="en-US"/>
        </w:rPr>
        <w:t xml:space="preserve"> Proteomic data from search against bacterial proteins (</w:t>
      </w:r>
      <w:proofErr w:type="spellStart"/>
      <w:r>
        <w:rPr>
          <w:rFonts w:cstheme="minorHAnsi"/>
          <w:sz w:val="24"/>
          <w:szCs w:val="24"/>
          <w:lang w:val="en-US"/>
        </w:rPr>
        <w:t>Uniprot</w:t>
      </w:r>
      <w:proofErr w:type="spellEnd"/>
      <w:r>
        <w:rPr>
          <w:rFonts w:cstheme="minorHAnsi"/>
          <w:sz w:val="24"/>
          <w:szCs w:val="24"/>
          <w:lang w:val="en-US"/>
        </w:rPr>
        <w:t>). Sheet ‘</w:t>
      </w:r>
      <w:proofErr w:type="spellStart"/>
      <w:r>
        <w:rPr>
          <w:rFonts w:cstheme="minorHAnsi"/>
          <w:sz w:val="24"/>
          <w:szCs w:val="24"/>
          <w:lang w:val="en-US"/>
        </w:rPr>
        <w:t>proteinGroups</w:t>
      </w:r>
      <w:proofErr w:type="spellEnd"/>
      <w:r>
        <w:rPr>
          <w:rFonts w:cstheme="minorHAnsi"/>
          <w:sz w:val="24"/>
          <w:szCs w:val="24"/>
          <w:lang w:val="en-US"/>
        </w:rPr>
        <w:t xml:space="preserve">’ shows the protein identification and label-free quantification data from </w:t>
      </w:r>
      <w:proofErr w:type="spellStart"/>
      <w:r>
        <w:rPr>
          <w:rFonts w:cstheme="minorHAnsi"/>
          <w:sz w:val="24"/>
          <w:szCs w:val="24"/>
          <w:lang w:val="en-US"/>
        </w:rPr>
        <w:t>MaxQuant</w:t>
      </w:r>
      <w:proofErr w:type="spellEnd"/>
      <w:r>
        <w:rPr>
          <w:rFonts w:cstheme="minorHAnsi"/>
          <w:sz w:val="24"/>
          <w:szCs w:val="24"/>
          <w:lang w:val="en-US"/>
        </w:rPr>
        <w:t xml:space="preserve"> search. Data are anonymized, and individual samples within each group are equally labeled with group name 1-4, representing Controls, T2D only, HIV only and HIV+T2D, respectively. Sheet ‘Taxonomy’ shows taxonomic classification of origin species from first detected Majority Protein ID of each identification. </w:t>
      </w:r>
    </w:p>
    <w:p w:rsidR="00AC1C7C" w:rsidRDefault="00AC1C7C" w:rsidP="00AC1C7C">
      <w:pPr>
        <w:spacing w:line="360" w:lineRule="auto"/>
        <w:rPr>
          <w:rFonts w:cstheme="minorHAnsi"/>
          <w:sz w:val="24"/>
          <w:szCs w:val="24"/>
          <w:lang w:val="en-US"/>
        </w:rPr>
      </w:pPr>
      <w:r w:rsidRPr="00AC1C7C">
        <w:rPr>
          <w:rFonts w:cstheme="minorHAnsi"/>
          <w:b/>
          <w:sz w:val="32"/>
          <w:szCs w:val="24"/>
          <w:lang w:val="en-US"/>
        </w:rPr>
        <w:t>Supplementary Figures:</w:t>
      </w:r>
      <w:r>
        <w:rPr>
          <w:rFonts w:cstheme="minorHAnsi"/>
          <w:noProof/>
          <w:sz w:val="24"/>
          <w:szCs w:val="24"/>
          <w:lang w:val="en-US" w:eastAsia="en-US"/>
        </w:rPr>
        <w:drawing>
          <wp:inline distT="0" distB="0" distL="0" distR="0" wp14:anchorId="5243B440" wp14:editId="0A66CCDA">
            <wp:extent cx="4044950" cy="2491202"/>
            <wp:effectExtent l="0" t="0" r="0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EV pools Apoa1_AboB 190520.tif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953" t="7055" r="16997" b="8584"/>
                    <a:stretch/>
                  </pic:blipFill>
                  <pic:spPr bwMode="auto">
                    <a:xfrm>
                      <a:off x="0" y="0"/>
                      <a:ext cx="4063816" cy="2502821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1C7C" w:rsidRDefault="00AC1C7C" w:rsidP="00AC1C7C">
      <w:pPr>
        <w:spacing w:line="360" w:lineRule="auto"/>
        <w:rPr>
          <w:rFonts w:cstheme="minorHAnsi"/>
          <w:sz w:val="24"/>
          <w:szCs w:val="24"/>
          <w:lang w:val="en-US"/>
        </w:rPr>
      </w:pPr>
      <w:r w:rsidRPr="00F66FFF">
        <w:rPr>
          <w:rFonts w:cstheme="minorHAnsi"/>
          <w:b/>
          <w:sz w:val="24"/>
          <w:szCs w:val="24"/>
          <w:lang w:val="en-US"/>
        </w:rPr>
        <w:lastRenderedPageBreak/>
        <w:t>Supplementary Figure 1.</w:t>
      </w:r>
      <w:r>
        <w:rPr>
          <w:rFonts w:cstheme="minorHAnsi"/>
          <w:sz w:val="24"/>
          <w:szCs w:val="24"/>
          <w:lang w:val="en-US"/>
        </w:rPr>
        <w:t xml:space="preserve"> Levels of abundant </w:t>
      </w:r>
      <w:proofErr w:type="spellStart"/>
      <w:r>
        <w:rPr>
          <w:rFonts w:cstheme="minorHAnsi"/>
          <w:sz w:val="24"/>
          <w:szCs w:val="24"/>
          <w:lang w:val="en-US"/>
        </w:rPr>
        <w:t>apolipoproteins</w:t>
      </w:r>
      <w:proofErr w:type="spellEnd"/>
      <w:r>
        <w:rPr>
          <w:rFonts w:cstheme="minorHAnsi"/>
          <w:sz w:val="24"/>
          <w:szCs w:val="24"/>
          <w:lang w:val="en-US"/>
        </w:rPr>
        <w:t xml:space="preserve"> in </w:t>
      </w:r>
      <w:proofErr w:type="spellStart"/>
      <w:r>
        <w:rPr>
          <w:rFonts w:cstheme="minorHAnsi"/>
          <w:sz w:val="24"/>
          <w:szCs w:val="24"/>
          <w:lang w:val="en-US"/>
        </w:rPr>
        <w:t>unconcentrated</w:t>
      </w:r>
      <w:proofErr w:type="spellEnd"/>
      <w:r>
        <w:rPr>
          <w:rFonts w:cstheme="minorHAnsi"/>
          <w:sz w:val="24"/>
          <w:szCs w:val="24"/>
          <w:lang w:val="en-US"/>
        </w:rPr>
        <w:t xml:space="preserve"> EV fractions from pooled plasma.</w:t>
      </w:r>
    </w:p>
    <w:p w:rsidR="00AC1C7C" w:rsidRPr="004971CC" w:rsidRDefault="00AC1C7C" w:rsidP="00AC1C7C">
      <w:pPr>
        <w:spacing w:line="360" w:lineRule="auto"/>
        <w:rPr>
          <w:rFonts w:cstheme="minorHAnsi"/>
          <w:sz w:val="24"/>
          <w:szCs w:val="24"/>
          <w:lang w:val="en-US"/>
        </w:rPr>
      </w:pPr>
      <w:r>
        <w:rPr>
          <w:rFonts w:cstheme="minorHAnsi"/>
          <w:noProof/>
          <w:sz w:val="24"/>
          <w:szCs w:val="24"/>
          <w:lang w:val="en-US" w:eastAsia="en-US"/>
        </w:rPr>
        <w:drawing>
          <wp:inline distT="0" distB="0" distL="0" distR="0" wp14:anchorId="24CD7341" wp14:editId="78CB56F5">
            <wp:extent cx="4775200" cy="4949117"/>
            <wp:effectExtent l="0" t="0" r="6350" b="444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ytokin respons Stim av Mo med EV fra EV og T2D April21 ny_017.tif"/>
                    <pic:cNvPicPr/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244" t="3527" r="36398"/>
                    <a:stretch/>
                  </pic:blipFill>
                  <pic:spPr bwMode="auto">
                    <a:xfrm>
                      <a:off x="0" y="0"/>
                      <a:ext cx="4780372" cy="495447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AC1C7C" w:rsidRPr="00AC1C7C" w:rsidRDefault="00AC1C7C" w:rsidP="00AC1C7C">
      <w:pPr>
        <w:rPr>
          <w:rFonts w:cstheme="minorHAnsi"/>
          <w:b/>
          <w:sz w:val="24"/>
          <w:lang w:val="en-US"/>
        </w:rPr>
      </w:pPr>
      <w:bookmarkStart w:id="1" w:name="OLE_LINK1"/>
      <w:r>
        <w:rPr>
          <w:rFonts w:cstheme="minorHAnsi"/>
          <w:b/>
          <w:sz w:val="24"/>
          <w:lang w:val="en-US"/>
        </w:rPr>
        <w:t xml:space="preserve">Supplementary Figure 2. </w:t>
      </w:r>
      <w:r>
        <w:rPr>
          <w:rFonts w:cstheme="minorHAnsi"/>
          <w:sz w:val="24"/>
          <w:lang w:val="en-US"/>
        </w:rPr>
        <w:t>Pro-inflammatory</w:t>
      </w:r>
      <w:r w:rsidRPr="00F66FFF">
        <w:rPr>
          <w:rFonts w:cstheme="minorHAnsi"/>
          <w:sz w:val="24"/>
          <w:lang w:val="en-US"/>
        </w:rPr>
        <w:t xml:space="preserve"> effect of plasma EVs </w:t>
      </w:r>
      <w:r>
        <w:rPr>
          <w:rFonts w:cstheme="minorHAnsi"/>
          <w:sz w:val="24"/>
          <w:lang w:val="en-US"/>
        </w:rPr>
        <w:t xml:space="preserve">from patients with HIV and/or type 2 diabetes compared with controls </w:t>
      </w:r>
      <w:r w:rsidRPr="00F66FFF">
        <w:rPr>
          <w:rFonts w:cstheme="minorHAnsi"/>
          <w:sz w:val="24"/>
          <w:lang w:val="en-US"/>
        </w:rPr>
        <w:t>(a)</w:t>
      </w:r>
      <w:r>
        <w:rPr>
          <w:rFonts w:cstheme="minorHAnsi"/>
          <w:sz w:val="24"/>
          <w:lang w:val="en-US"/>
        </w:rPr>
        <w:t>,</w:t>
      </w:r>
      <w:r w:rsidRPr="00F66FFF">
        <w:rPr>
          <w:rFonts w:cstheme="minorHAnsi"/>
          <w:sz w:val="24"/>
          <w:lang w:val="en-US"/>
        </w:rPr>
        <w:t xml:space="preserve"> and bacterial outer membrane vesicles (OMVs) from </w:t>
      </w:r>
      <w:r w:rsidRPr="00F66FFF">
        <w:rPr>
          <w:rFonts w:cstheme="minorHAnsi"/>
          <w:i/>
          <w:sz w:val="24"/>
          <w:lang w:val="en-US"/>
        </w:rPr>
        <w:t xml:space="preserve">Neisseria </w:t>
      </w:r>
      <w:proofErr w:type="spellStart"/>
      <w:r w:rsidRPr="00F66FFF">
        <w:rPr>
          <w:rFonts w:cstheme="minorHAnsi"/>
          <w:i/>
          <w:sz w:val="24"/>
          <w:lang w:val="en-US"/>
        </w:rPr>
        <w:t>Meningitidis</w:t>
      </w:r>
      <w:proofErr w:type="spellEnd"/>
      <w:r w:rsidRPr="00F66FFF">
        <w:rPr>
          <w:rFonts w:cstheme="minorHAnsi"/>
          <w:i/>
          <w:sz w:val="24"/>
          <w:lang w:val="en-US"/>
        </w:rPr>
        <w:t xml:space="preserve"> </w:t>
      </w:r>
      <w:r w:rsidRPr="00F66FFF">
        <w:rPr>
          <w:rFonts w:cstheme="minorHAnsi"/>
          <w:sz w:val="24"/>
          <w:lang w:val="en-US"/>
        </w:rPr>
        <w:t>(b)</w:t>
      </w:r>
      <w:r>
        <w:rPr>
          <w:rFonts w:cstheme="minorHAnsi"/>
          <w:sz w:val="24"/>
          <w:lang w:val="en-US"/>
        </w:rPr>
        <w:t xml:space="preserve">, on primary human monocytes </w:t>
      </w:r>
      <w:r w:rsidRPr="00F66FFF">
        <w:rPr>
          <w:rFonts w:cstheme="minorHAnsi"/>
          <w:i/>
          <w:sz w:val="24"/>
          <w:lang w:val="en-US"/>
        </w:rPr>
        <w:t>in vitro</w:t>
      </w:r>
      <w:r w:rsidRPr="00F66FFF">
        <w:rPr>
          <w:rFonts w:cstheme="minorHAnsi"/>
          <w:sz w:val="24"/>
          <w:lang w:val="en-US"/>
        </w:rPr>
        <w:t>.</w:t>
      </w:r>
      <w:r>
        <w:rPr>
          <w:rFonts w:cstheme="minorHAnsi"/>
          <w:sz w:val="24"/>
          <w:lang w:val="en-US"/>
        </w:rPr>
        <w:t xml:space="preserve"> Results </w:t>
      </w:r>
      <w:proofErr w:type="gramStart"/>
      <w:r>
        <w:rPr>
          <w:rFonts w:cstheme="minorHAnsi"/>
          <w:sz w:val="24"/>
          <w:lang w:val="en-US"/>
        </w:rPr>
        <w:t>are shown</w:t>
      </w:r>
      <w:proofErr w:type="gramEnd"/>
      <w:r>
        <w:rPr>
          <w:rFonts w:cstheme="minorHAnsi"/>
          <w:sz w:val="24"/>
          <w:lang w:val="en-US"/>
        </w:rPr>
        <w:t xml:space="preserve"> as mean values with SD (a). Me</w:t>
      </w:r>
      <w:r w:rsidRPr="00932CDB">
        <w:rPr>
          <w:rFonts w:cstheme="minorHAnsi"/>
          <w:sz w:val="24"/>
          <w:lang w:val="en-US"/>
        </w:rPr>
        <w:t xml:space="preserve">asurements </w:t>
      </w:r>
      <w:r>
        <w:rPr>
          <w:rFonts w:cstheme="minorHAnsi"/>
          <w:sz w:val="24"/>
          <w:lang w:val="en-US"/>
        </w:rPr>
        <w:tab/>
        <w:t xml:space="preserve">in supernatants </w:t>
      </w:r>
      <w:r w:rsidRPr="00932CDB">
        <w:rPr>
          <w:rFonts w:cstheme="minorHAnsi"/>
          <w:sz w:val="24"/>
          <w:lang w:val="en-US"/>
        </w:rPr>
        <w:t xml:space="preserve">from </w:t>
      </w:r>
      <w:r>
        <w:rPr>
          <w:rFonts w:cstheme="minorHAnsi"/>
          <w:sz w:val="24"/>
          <w:lang w:val="en-US"/>
        </w:rPr>
        <w:t>monocytes</w:t>
      </w:r>
      <w:r w:rsidRPr="00932CDB">
        <w:rPr>
          <w:rFonts w:cstheme="minorHAnsi"/>
          <w:sz w:val="24"/>
          <w:lang w:val="en-US"/>
        </w:rPr>
        <w:t xml:space="preserve"> treated with EVs from plasma pools of patients with HIV+T2D, HIV or T2D </w:t>
      </w:r>
      <w:proofErr w:type="gramStart"/>
      <w:r w:rsidRPr="00932CDB">
        <w:rPr>
          <w:rFonts w:cstheme="minorHAnsi"/>
          <w:sz w:val="24"/>
          <w:lang w:val="en-US"/>
        </w:rPr>
        <w:t>were merged</w:t>
      </w:r>
      <w:proofErr w:type="gramEnd"/>
      <w:r>
        <w:rPr>
          <w:rFonts w:cstheme="minorHAnsi"/>
          <w:sz w:val="24"/>
          <w:lang w:val="en-US"/>
        </w:rPr>
        <w:t>,</w:t>
      </w:r>
      <w:r w:rsidRPr="00932CDB">
        <w:rPr>
          <w:rFonts w:cstheme="minorHAnsi"/>
          <w:sz w:val="24"/>
          <w:lang w:val="en-US"/>
        </w:rPr>
        <w:t xml:space="preserve"> as the experimental setup was not powered for individual group comparisons</w:t>
      </w:r>
      <w:r>
        <w:rPr>
          <w:rFonts w:cstheme="minorHAnsi"/>
          <w:sz w:val="24"/>
          <w:lang w:val="en-US"/>
        </w:rPr>
        <w:t>.</w:t>
      </w:r>
      <w:bookmarkEnd w:id="1"/>
    </w:p>
    <w:p w:rsidR="00AC1C7C" w:rsidRDefault="00AC1C7C">
      <w:pPr>
        <w:spacing w:after="160" w:line="259" w:lineRule="auto"/>
        <w:rPr>
          <w:rFonts w:cstheme="minorHAnsi"/>
          <w:b/>
          <w:sz w:val="32"/>
          <w:lang w:val="en-US"/>
        </w:rPr>
      </w:pPr>
      <w:r>
        <w:rPr>
          <w:rFonts w:cstheme="minorHAnsi"/>
          <w:b/>
          <w:sz w:val="32"/>
          <w:lang w:val="en-US"/>
        </w:rPr>
        <w:lastRenderedPageBreak/>
        <w:br w:type="page"/>
      </w:r>
    </w:p>
    <w:p w:rsidR="00AC1C7C" w:rsidRPr="00EB6D63" w:rsidRDefault="00AC1C7C" w:rsidP="00AC1C7C">
      <w:pPr>
        <w:rPr>
          <w:rFonts w:cstheme="minorHAnsi"/>
          <w:b/>
          <w:sz w:val="32"/>
          <w:lang w:val="en-US"/>
        </w:rPr>
      </w:pPr>
      <w:r w:rsidRPr="00EB6D63">
        <w:rPr>
          <w:rFonts w:cstheme="minorHAnsi"/>
          <w:b/>
          <w:sz w:val="32"/>
          <w:lang w:val="en-US"/>
        </w:rPr>
        <w:t>Supplementary Methods</w:t>
      </w:r>
    </w:p>
    <w:p w:rsidR="00AC1C7C" w:rsidRPr="00EB6D63" w:rsidRDefault="00AC1C7C" w:rsidP="00AC1C7C">
      <w:pPr>
        <w:spacing w:line="360" w:lineRule="auto"/>
        <w:rPr>
          <w:rFonts w:cstheme="minorHAnsi"/>
          <w:b/>
          <w:sz w:val="24"/>
          <w:szCs w:val="24"/>
          <w:lang w:val="en-US"/>
        </w:rPr>
      </w:pPr>
      <w:proofErr w:type="spellStart"/>
      <w:r w:rsidRPr="00EB6D63">
        <w:rPr>
          <w:rFonts w:cstheme="minorHAnsi"/>
          <w:b/>
          <w:sz w:val="24"/>
          <w:szCs w:val="24"/>
          <w:lang w:val="en-US"/>
        </w:rPr>
        <w:t>Apolipoprotein</w:t>
      </w:r>
      <w:proofErr w:type="spellEnd"/>
      <w:r w:rsidRPr="00EB6D63">
        <w:rPr>
          <w:rFonts w:cstheme="minorHAnsi"/>
          <w:b/>
          <w:sz w:val="24"/>
          <w:szCs w:val="24"/>
          <w:lang w:val="en-US"/>
        </w:rPr>
        <w:t xml:space="preserve"> ELISA assay</w:t>
      </w:r>
    </w:p>
    <w:p w:rsidR="00AC1C7C" w:rsidRDefault="00AC1C7C" w:rsidP="00AC1C7C">
      <w:pPr>
        <w:spacing w:line="360" w:lineRule="auto"/>
        <w:rPr>
          <w:rFonts w:cstheme="minorHAnsi"/>
          <w:sz w:val="24"/>
          <w:szCs w:val="24"/>
          <w:lang w:val="en-US"/>
        </w:rPr>
      </w:pPr>
      <w:r w:rsidRPr="00F01EDC">
        <w:rPr>
          <w:rFonts w:cstheme="minorHAnsi"/>
          <w:sz w:val="24"/>
          <w:szCs w:val="24"/>
          <w:lang w:val="en-US"/>
        </w:rPr>
        <w:t xml:space="preserve">Quantification of </w:t>
      </w:r>
      <w:proofErr w:type="spellStart"/>
      <w:r w:rsidRPr="00F01EDC">
        <w:rPr>
          <w:rFonts w:cstheme="minorHAnsi"/>
          <w:sz w:val="24"/>
          <w:szCs w:val="24"/>
          <w:lang w:val="en-US"/>
        </w:rPr>
        <w:t>Apolipoprotein</w:t>
      </w:r>
      <w:proofErr w:type="spellEnd"/>
      <w:r w:rsidRPr="00F01EDC">
        <w:rPr>
          <w:rFonts w:cstheme="minorHAnsi"/>
          <w:sz w:val="24"/>
          <w:szCs w:val="24"/>
          <w:lang w:val="en-US"/>
        </w:rPr>
        <w:t xml:space="preserve"> A1 (ApoA1) and </w:t>
      </w:r>
      <w:proofErr w:type="spellStart"/>
      <w:r w:rsidRPr="00F01EDC">
        <w:rPr>
          <w:rFonts w:cstheme="minorHAnsi"/>
          <w:sz w:val="24"/>
          <w:szCs w:val="24"/>
          <w:lang w:val="en-US"/>
        </w:rPr>
        <w:t>Apolipoprotein</w:t>
      </w:r>
      <w:proofErr w:type="spellEnd"/>
      <w:r w:rsidRPr="00F01EDC">
        <w:rPr>
          <w:rFonts w:cstheme="minorHAnsi"/>
          <w:sz w:val="24"/>
          <w:szCs w:val="24"/>
          <w:lang w:val="en-US"/>
        </w:rPr>
        <w:t xml:space="preserve"> B (</w:t>
      </w:r>
      <w:proofErr w:type="spellStart"/>
      <w:r w:rsidRPr="00F01EDC">
        <w:rPr>
          <w:rFonts w:cstheme="minorHAnsi"/>
          <w:sz w:val="24"/>
          <w:szCs w:val="24"/>
          <w:lang w:val="en-US"/>
        </w:rPr>
        <w:t>ApoB</w:t>
      </w:r>
      <w:proofErr w:type="spellEnd"/>
      <w:r w:rsidRPr="00F01EDC">
        <w:rPr>
          <w:rFonts w:cstheme="minorHAnsi"/>
          <w:sz w:val="24"/>
          <w:szCs w:val="24"/>
          <w:lang w:val="en-US"/>
        </w:rPr>
        <w:t xml:space="preserve">) </w:t>
      </w:r>
      <w:r>
        <w:rPr>
          <w:rFonts w:cstheme="minorHAnsi"/>
          <w:sz w:val="24"/>
          <w:szCs w:val="24"/>
          <w:lang w:val="en-US"/>
        </w:rPr>
        <w:t xml:space="preserve">in </w:t>
      </w:r>
      <w:proofErr w:type="spellStart"/>
      <w:r>
        <w:rPr>
          <w:rFonts w:cstheme="minorHAnsi"/>
          <w:sz w:val="24"/>
          <w:szCs w:val="24"/>
          <w:lang w:val="en-US"/>
        </w:rPr>
        <w:t>unconcentrated</w:t>
      </w:r>
      <w:proofErr w:type="spellEnd"/>
      <w:r>
        <w:rPr>
          <w:rFonts w:cstheme="minorHAnsi"/>
          <w:sz w:val="24"/>
          <w:szCs w:val="24"/>
          <w:lang w:val="en-US"/>
        </w:rPr>
        <w:t xml:space="preserve"> EV isolates from plasma pools </w:t>
      </w:r>
      <w:r w:rsidRPr="00F01EDC">
        <w:rPr>
          <w:rFonts w:cstheme="minorHAnsi"/>
          <w:sz w:val="24"/>
          <w:szCs w:val="24"/>
          <w:lang w:val="en-US"/>
        </w:rPr>
        <w:t>was per</w:t>
      </w:r>
      <w:r>
        <w:rPr>
          <w:rFonts w:cstheme="minorHAnsi"/>
          <w:sz w:val="24"/>
          <w:szCs w:val="24"/>
          <w:lang w:val="en-US"/>
        </w:rPr>
        <w:t>formed using the Human ApoA1</w:t>
      </w:r>
      <w:r w:rsidRPr="00F01EDC">
        <w:rPr>
          <w:rFonts w:cstheme="minorHAnsi"/>
          <w:sz w:val="24"/>
          <w:szCs w:val="24"/>
          <w:lang w:val="en-US"/>
        </w:rPr>
        <w:t xml:space="preserve"> and </w:t>
      </w:r>
      <w:proofErr w:type="spellStart"/>
      <w:r w:rsidRPr="00F01EDC">
        <w:rPr>
          <w:rFonts w:cstheme="minorHAnsi"/>
          <w:sz w:val="24"/>
          <w:szCs w:val="24"/>
          <w:lang w:val="en-US"/>
        </w:rPr>
        <w:t>ApoB</w:t>
      </w:r>
      <w:proofErr w:type="spellEnd"/>
      <w:r w:rsidRPr="00F01EDC">
        <w:rPr>
          <w:rFonts w:cstheme="minorHAnsi"/>
          <w:sz w:val="24"/>
          <w:szCs w:val="24"/>
          <w:lang w:val="en-US"/>
        </w:rPr>
        <w:t xml:space="preserve"> Duplex ELISA Kit</w:t>
      </w:r>
      <w:r>
        <w:rPr>
          <w:rFonts w:cstheme="minorHAnsi"/>
          <w:sz w:val="24"/>
          <w:szCs w:val="24"/>
          <w:lang w:val="en-US"/>
        </w:rPr>
        <w:t xml:space="preserve">, Cat no. STA-361 (Cell </w:t>
      </w:r>
      <w:proofErr w:type="spellStart"/>
      <w:r>
        <w:rPr>
          <w:rFonts w:cstheme="minorHAnsi"/>
          <w:sz w:val="24"/>
          <w:szCs w:val="24"/>
          <w:lang w:val="en-US"/>
        </w:rPr>
        <w:t>Biolabs</w:t>
      </w:r>
      <w:proofErr w:type="spellEnd"/>
      <w:r>
        <w:rPr>
          <w:rFonts w:cstheme="minorHAnsi"/>
          <w:sz w:val="24"/>
          <w:szCs w:val="24"/>
          <w:lang w:val="en-US"/>
        </w:rPr>
        <w:t xml:space="preserve"> Inc., San Diego, CA, USA) following the manufacturer’s protocol, using sample dilution 1:5.</w:t>
      </w:r>
    </w:p>
    <w:p w:rsidR="00AC1C7C" w:rsidRPr="00047027" w:rsidRDefault="00AC1C7C" w:rsidP="00AC1C7C">
      <w:pPr>
        <w:spacing w:line="360" w:lineRule="auto"/>
        <w:rPr>
          <w:rFonts w:cstheme="minorHAnsi"/>
          <w:b/>
          <w:sz w:val="24"/>
          <w:szCs w:val="24"/>
          <w:lang w:val="en-US"/>
        </w:rPr>
      </w:pPr>
      <w:r w:rsidRPr="00047027">
        <w:rPr>
          <w:rFonts w:cstheme="minorHAnsi"/>
          <w:b/>
          <w:i/>
          <w:sz w:val="24"/>
          <w:szCs w:val="24"/>
          <w:lang w:val="en-US"/>
        </w:rPr>
        <w:t>In vitro</w:t>
      </w:r>
      <w:r w:rsidRPr="00047027">
        <w:rPr>
          <w:rFonts w:cstheme="minorHAnsi"/>
          <w:b/>
          <w:sz w:val="24"/>
          <w:szCs w:val="24"/>
          <w:lang w:val="en-US"/>
        </w:rPr>
        <w:t xml:space="preserve"> experiments</w:t>
      </w:r>
    </w:p>
    <w:p w:rsidR="00AC1C7C" w:rsidRPr="00047027" w:rsidRDefault="00AC1C7C" w:rsidP="00AC1C7C">
      <w:pPr>
        <w:spacing w:line="360" w:lineRule="auto"/>
        <w:rPr>
          <w:rFonts w:cstheme="minorHAnsi"/>
          <w:sz w:val="24"/>
          <w:szCs w:val="24"/>
          <w:lang w:val="en-US"/>
        </w:rPr>
      </w:pPr>
      <w:proofErr w:type="gramStart"/>
      <w:r>
        <w:rPr>
          <w:rFonts w:cstheme="minorHAnsi"/>
          <w:sz w:val="24"/>
          <w:szCs w:val="24"/>
          <w:lang w:val="en-US"/>
        </w:rPr>
        <w:t xml:space="preserve">Primary human monocytes </w:t>
      </w:r>
      <w:r>
        <w:rPr>
          <w:rFonts w:cstheme="minorHAnsi"/>
          <w:sz w:val="24"/>
          <w:szCs w:val="24"/>
          <w:lang w:val="en-US"/>
        </w:rPr>
        <w:fldChar w:fldCharType="begin"/>
      </w:r>
      <w:r>
        <w:rPr>
          <w:rFonts w:cstheme="minorHAnsi"/>
          <w:sz w:val="24"/>
          <w:szCs w:val="24"/>
          <w:lang w:val="en-US"/>
        </w:rPr>
        <w:instrText xml:space="preserve"> ADDIN EN.CITE &lt;EndNote&gt;&lt;Cite&gt;&lt;Author&gt;Lund&lt;/Author&gt;&lt;Year&gt;2000&lt;/Year&gt;&lt;RecNum&gt;127&lt;/RecNum&gt;&lt;DisplayText&gt;(1)&lt;/DisplayText&gt;&lt;record&gt;&lt;rec-number&gt;127&lt;/rec-number&gt;&lt;foreign-keys&gt;&lt;key app="EN" db-id="z5252w5sgx59z8eet05vtx9x9ppzdper0dwf" timestamp="1494845727"&gt;127&lt;/key&gt;&lt;/foreign-keys&gt;&lt;ref-type name="Journal Article"&gt;17&lt;/ref-type&gt;&lt;contributors&gt;&lt;authors&gt;&lt;author&gt;Lund,P.K.&lt;/author&gt;&lt;author&gt;Joo,G.B.&lt;/author&gt;&lt;author&gt;Westvik,A.B.&lt;/author&gt;&lt;author&gt;Ovstebo,R.&lt;/author&gt;&lt;author&gt;Kierulf,P.&lt;/author&gt;&lt;/authors&gt;&lt;/contributors&gt;&lt;auth-address&gt;Department of Clinical Chemistry, The Research and Development Group, Ullevaal University Hospital, Oslo, Norway. perlund@online.no&lt;/auth-address&gt;&lt;titles&gt;&lt;title&gt;Isolation of monocytes from whole blood by density gradient centrifugation and counter-current elutriation followed by cryopreservation: six years&amp;apos; experience&lt;/title&gt;&lt;secondary-title&gt;Scand.J.Clin.Lab Invest&lt;/secondary-title&gt;&lt;/titles&gt;&lt;periodical&gt;&lt;full-title&gt;Scand.J.Clin.Lab Invest&lt;/full-title&gt;&lt;/periodical&gt;&lt;pages&gt;357-365&lt;/pages&gt;&lt;volume&gt;60&lt;/volume&gt;&lt;number&gt;5&lt;/number&gt;&lt;reprint-edition&gt;Not in File&lt;/reprint-edition&gt;&lt;keywords&gt;&lt;keyword&gt;analysis&lt;/keyword&gt;&lt;keyword&gt;Annexin A5&lt;/keyword&gt;&lt;keyword&gt;Antigens,CD14&lt;/keyword&gt;&lt;keyword&gt;blood&lt;/keyword&gt;&lt;keyword&gt;Blood Cell Count&lt;/keyword&gt;&lt;keyword&gt;Cell Separation&lt;/keyword&gt;&lt;keyword&gt;Cells&lt;/keyword&gt;&lt;keyword&gt;Centrifugation&lt;/keyword&gt;&lt;keyword&gt;Centrifugation,Density Gradient&lt;/keyword&gt;&lt;keyword&gt;chemistry&lt;/keyword&gt;&lt;keyword&gt;Cryopreservation&lt;/keyword&gt;&lt;keyword&gt;cytology&lt;/keyword&gt;&lt;keyword&gt;Flow Cytometry&lt;/keyword&gt;&lt;keyword&gt;Humans&lt;/keyword&gt;&lt;keyword&gt;methods&lt;/keyword&gt;&lt;keyword&gt;Monocytes&lt;/keyword&gt;&lt;keyword&gt;Research&lt;/keyword&gt;&lt;keyword&gt;Time Factors&lt;/keyword&gt;&lt;/keywords&gt;&lt;dates&gt;&lt;year&gt;2000&lt;/year&gt;&lt;pub-dates&gt;&lt;date&gt;8/2000&lt;/date&gt;&lt;/pub-dates&gt;&lt;/dates&gt;&lt;label&gt;244&lt;/label&gt;&lt;urls&gt;&lt;related-urls&gt;&lt;url&gt;http://www.ncbi.nlm.nih.gov/pubmed/11003255&lt;/url&gt;&lt;url&gt;http://informahealthcare.com/doi/pdfplus/10.1080/003655100750019260&lt;/url&gt;&lt;/related-urls&gt;&lt;/urls&gt;&lt;/record&gt;&lt;/Cite&gt;&lt;/EndNote&gt;</w:instrText>
      </w:r>
      <w:r>
        <w:rPr>
          <w:rFonts w:cstheme="minorHAnsi"/>
          <w:sz w:val="24"/>
          <w:szCs w:val="24"/>
          <w:lang w:val="en-US"/>
        </w:rPr>
        <w:fldChar w:fldCharType="separate"/>
      </w:r>
      <w:r>
        <w:rPr>
          <w:rFonts w:cstheme="minorHAnsi"/>
          <w:noProof/>
          <w:sz w:val="24"/>
          <w:szCs w:val="24"/>
          <w:lang w:val="en-US"/>
        </w:rPr>
        <w:t>(1)</w:t>
      </w:r>
      <w:r>
        <w:rPr>
          <w:rFonts w:cstheme="minorHAnsi"/>
          <w:sz w:val="24"/>
          <w:szCs w:val="24"/>
          <w:lang w:val="en-US"/>
        </w:rPr>
        <w:fldChar w:fldCharType="end"/>
      </w:r>
      <w:r>
        <w:rPr>
          <w:rFonts w:cstheme="minorHAnsi"/>
          <w:sz w:val="24"/>
          <w:szCs w:val="24"/>
          <w:lang w:val="en-US"/>
        </w:rPr>
        <w:t xml:space="preserve"> (0.15 million) were dissolved in 100 µL RPMI containing 10% exosome-depleted FBS (</w:t>
      </w:r>
      <w:proofErr w:type="spellStart"/>
      <w:r>
        <w:rPr>
          <w:rFonts w:cstheme="minorHAnsi"/>
          <w:sz w:val="24"/>
          <w:szCs w:val="24"/>
          <w:lang w:val="en-US"/>
        </w:rPr>
        <w:t>Gibco</w:t>
      </w:r>
      <w:proofErr w:type="spellEnd"/>
      <w:r>
        <w:rPr>
          <w:rFonts w:cstheme="minorHAnsi"/>
          <w:sz w:val="24"/>
          <w:szCs w:val="24"/>
          <w:lang w:val="en-US"/>
        </w:rPr>
        <w:t xml:space="preserve">, </w:t>
      </w:r>
      <w:proofErr w:type="spellStart"/>
      <w:r>
        <w:rPr>
          <w:rFonts w:cstheme="minorHAnsi"/>
          <w:sz w:val="24"/>
          <w:szCs w:val="24"/>
          <w:lang w:val="en-US"/>
        </w:rPr>
        <w:t>Thermo</w:t>
      </w:r>
      <w:proofErr w:type="spellEnd"/>
      <w:r>
        <w:rPr>
          <w:rFonts w:cstheme="minorHAnsi"/>
          <w:sz w:val="24"/>
          <w:szCs w:val="24"/>
          <w:lang w:val="en-US"/>
        </w:rPr>
        <w:t xml:space="preserve"> Fisher Scientific) and incubated in a 96-well plate with 50 µL EVs from plasma pools of patients with HIV and/or type 2 diabetes or controls (</w:t>
      </w:r>
      <w:r w:rsidRPr="00047027">
        <w:rPr>
          <w:rFonts w:cstheme="minorHAnsi"/>
          <w:sz w:val="24"/>
          <w:szCs w:val="24"/>
          <w:lang w:val="en-US"/>
        </w:rPr>
        <w:t>10^8-10^9 particles per well</w:t>
      </w:r>
      <w:r>
        <w:rPr>
          <w:rFonts w:cstheme="minorHAnsi"/>
          <w:sz w:val="24"/>
          <w:szCs w:val="24"/>
          <w:lang w:val="en-US"/>
        </w:rPr>
        <w:t xml:space="preserve">), or with 50 µL OMVs from </w:t>
      </w:r>
      <w:r w:rsidRPr="00047027">
        <w:rPr>
          <w:rFonts w:cstheme="minorHAnsi"/>
          <w:i/>
          <w:sz w:val="24"/>
          <w:szCs w:val="24"/>
          <w:lang w:val="en-US"/>
        </w:rPr>
        <w:t xml:space="preserve">Neisseria </w:t>
      </w:r>
      <w:proofErr w:type="spellStart"/>
      <w:r w:rsidRPr="00047027">
        <w:rPr>
          <w:rFonts w:cstheme="minorHAnsi"/>
          <w:i/>
          <w:sz w:val="24"/>
          <w:szCs w:val="24"/>
          <w:lang w:val="en-US"/>
        </w:rPr>
        <w:t>Meningitidis</w:t>
      </w:r>
      <w:proofErr w:type="spellEnd"/>
      <w:r>
        <w:rPr>
          <w:rFonts w:cstheme="minorHAnsi"/>
          <w:sz w:val="24"/>
          <w:szCs w:val="24"/>
          <w:lang w:val="en-US"/>
        </w:rPr>
        <w:t xml:space="preserve"> (10^4-10^6 particles per well) for 3 hours at 37 °C, 5% CO</w:t>
      </w:r>
      <w:r w:rsidRPr="00047027">
        <w:rPr>
          <w:rFonts w:cstheme="minorHAnsi"/>
          <w:sz w:val="24"/>
          <w:szCs w:val="24"/>
          <w:vertAlign w:val="subscript"/>
          <w:lang w:val="en-US"/>
        </w:rPr>
        <w:t>2</w:t>
      </w:r>
      <w:r>
        <w:rPr>
          <w:rFonts w:cstheme="minorHAnsi"/>
          <w:sz w:val="24"/>
          <w:szCs w:val="24"/>
          <w:lang w:val="en-US"/>
        </w:rPr>
        <w:t>.</w:t>
      </w:r>
      <w:proofErr w:type="gramEnd"/>
      <w:r>
        <w:rPr>
          <w:rFonts w:cstheme="minorHAnsi"/>
          <w:sz w:val="24"/>
          <w:szCs w:val="24"/>
          <w:lang w:val="en-US"/>
        </w:rPr>
        <w:t xml:space="preserve"> </w:t>
      </w:r>
      <w:r w:rsidRPr="006B0B5B">
        <w:rPr>
          <w:rFonts w:cstheme="minorHAnsi"/>
          <w:sz w:val="24"/>
          <w:szCs w:val="24"/>
          <w:lang w:val="en-US"/>
        </w:rPr>
        <w:t xml:space="preserve">Cytokine analysis of cell culture supernatants </w:t>
      </w:r>
      <w:proofErr w:type="gramStart"/>
      <w:r w:rsidRPr="006B0B5B">
        <w:rPr>
          <w:rFonts w:cstheme="minorHAnsi"/>
          <w:sz w:val="24"/>
          <w:szCs w:val="24"/>
          <w:lang w:val="en-US"/>
        </w:rPr>
        <w:t>were performed</w:t>
      </w:r>
      <w:proofErr w:type="gramEnd"/>
      <w:r w:rsidRPr="006B0B5B">
        <w:rPr>
          <w:rFonts w:cstheme="minorHAnsi"/>
          <w:sz w:val="24"/>
          <w:szCs w:val="24"/>
          <w:lang w:val="en-US"/>
        </w:rPr>
        <w:t xml:space="preserve"> with a multiplex kit (</w:t>
      </w:r>
      <w:proofErr w:type="spellStart"/>
      <w:r w:rsidRPr="006B0B5B">
        <w:rPr>
          <w:rFonts w:cstheme="minorHAnsi"/>
          <w:sz w:val="24"/>
          <w:szCs w:val="24"/>
          <w:lang w:val="en-US"/>
        </w:rPr>
        <w:t>Bio-rad</w:t>
      </w:r>
      <w:proofErr w:type="spellEnd"/>
      <w:r w:rsidRPr="006B0B5B">
        <w:rPr>
          <w:rFonts w:cstheme="minorHAnsi"/>
          <w:sz w:val="24"/>
          <w:szCs w:val="24"/>
          <w:lang w:val="en-US"/>
        </w:rPr>
        <w:t>, Hercules, CA</w:t>
      </w:r>
      <w:r>
        <w:rPr>
          <w:rFonts w:cstheme="minorHAnsi"/>
          <w:sz w:val="24"/>
          <w:szCs w:val="24"/>
          <w:lang w:val="en-US"/>
        </w:rPr>
        <w:t>, USA) containing antibody conjugated beads against IL-1β</w:t>
      </w:r>
      <w:r w:rsidRPr="006B0B5B">
        <w:rPr>
          <w:rFonts w:cstheme="minorHAnsi"/>
          <w:sz w:val="24"/>
          <w:szCs w:val="24"/>
          <w:lang w:val="en-US"/>
        </w:rPr>
        <w:t xml:space="preserve"> and IL-6. Samples </w:t>
      </w:r>
      <w:proofErr w:type="gramStart"/>
      <w:r w:rsidRPr="006B0B5B">
        <w:rPr>
          <w:rFonts w:cstheme="minorHAnsi"/>
          <w:sz w:val="24"/>
          <w:szCs w:val="24"/>
          <w:lang w:val="en-US"/>
        </w:rPr>
        <w:t>were thawed</w:t>
      </w:r>
      <w:proofErr w:type="gramEnd"/>
      <w:r w:rsidRPr="006B0B5B">
        <w:rPr>
          <w:rFonts w:cstheme="minorHAnsi"/>
          <w:sz w:val="24"/>
          <w:szCs w:val="24"/>
          <w:lang w:val="en-US"/>
        </w:rPr>
        <w:t xml:space="preserve"> on ice, spun down at 10 000 </w:t>
      </w:r>
      <w:proofErr w:type="spellStart"/>
      <w:r w:rsidRPr="006B0B5B">
        <w:rPr>
          <w:rFonts w:cstheme="minorHAnsi"/>
          <w:sz w:val="24"/>
          <w:szCs w:val="24"/>
          <w:lang w:val="en-US"/>
        </w:rPr>
        <w:t>xg</w:t>
      </w:r>
      <w:proofErr w:type="spellEnd"/>
      <w:r w:rsidRPr="006B0B5B">
        <w:rPr>
          <w:rFonts w:cstheme="minorHAnsi"/>
          <w:sz w:val="24"/>
          <w:szCs w:val="24"/>
          <w:lang w:val="en-US"/>
        </w:rPr>
        <w:t xml:space="preserve"> and diluted (factor 1.56) prior plate loading in duplicate wells. Samples </w:t>
      </w:r>
      <w:proofErr w:type="gramStart"/>
      <w:r w:rsidRPr="006B0B5B">
        <w:rPr>
          <w:rFonts w:cstheme="minorHAnsi"/>
          <w:sz w:val="24"/>
          <w:szCs w:val="24"/>
          <w:lang w:val="en-US"/>
        </w:rPr>
        <w:t>were processed</w:t>
      </w:r>
      <w:proofErr w:type="gramEnd"/>
      <w:r w:rsidRPr="006B0B5B">
        <w:rPr>
          <w:rFonts w:cstheme="minorHAnsi"/>
          <w:sz w:val="24"/>
          <w:szCs w:val="24"/>
          <w:lang w:val="en-US"/>
        </w:rPr>
        <w:t xml:space="preserve"> on a </w:t>
      </w:r>
      <w:proofErr w:type="spellStart"/>
      <w:r w:rsidRPr="006B0B5B">
        <w:rPr>
          <w:rFonts w:cstheme="minorHAnsi"/>
          <w:sz w:val="24"/>
          <w:szCs w:val="24"/>
          <w:lang w:val="en-US"/>
        </w:rPr>
        <w:t>Luminex</w:t>
      </w:r>
      <w:proofErr w:type="spellEnd"/>
      <w:r w:rsidRPr="006B0B5B">
        <w:rPr>
          <w:rFonts w:cstheme="minorHAnsi"/>
          <w:sz w:val="24"/>
          <w:szCs w:val="24"/>
          <w:lang w:val="en-US"/>
        </w:rPr>
        <w:t xml:space="preserve"> IS 200 instrument (</w:t>
      </w:r>
      <w:proofErr w:type="spellStart"/>
      <w:r w:rsidRPr="006B0B5B">
        <w:rPr>
          <w:rFonts w:cstheme="minorHAnsi"/>
          <w:sz w:val="24"/>
          <w:szCs w:val="24"/>
          <w:lang w:val="en-US"/>
        </w:rPr>
        <w:t>Bio-rad</w:t>
      </w:r>
      <w:proofErr w:type="spellEnd"/>
      <w:r w:rsidRPr="006B0B5B">
        <w:rPr>
          <w:rFonts w:cstheme="minorHAnsi"/>
          <w:sz w:val="24"/>
          <w:szCs w:val="24"/>
          <w:lang w:val="en-US"/>
        </w:rPr>
        <w:t>, Hercules, CA, USA).</w:t>
      </w:r>
    </w:p>
    <w:p w:rsidR="00AC1C7C" w:rsidRDefault="00AC1C7C" w:rsidP="00AC1C7C">
      <w:pPr>
        <w:rPr>
          <w:rFonts w:cstheme="minorHAnsi"/>
          <w:sz w:val="24"/>
          <w:lang w:val="en-US"/>
        </w:rPr>
      </w:pPr>
    </w:p>
    <w:p w:rsidR="00AC1C7C" w:rsidRDefault="00AC1C7C">
      <w:pPr>
        <w:rPr>
          <w:lang w:val="en-US"/>
        </w:rPr>
      </w:pPr>
    </w:p>
    <w:p w:rsidR="00AC1C7C" w:rsidRPr="00AC1C7C" w:rsidRDefault="00AC1C7C">
      <w:pPr>
        <w:rPr>
          <w:b/>
          <w:sz w:val="28"/>
          <w:lang w:val="en-US"/>
        </w:rPr>
      </w:pPr>
      <w:r w:rsidRPr="00AC1C7C">
        <w:rPr>
          <w:b/>
          <w:sz w:val="28"/>
          <w:lang w:val="en-US"/>
        </w:rPr>
        <w:t>Supplementary References</w:t>
      </w:r>
    </w:p>
    <w:p w:rsidR="00AC1C7C" w:rsidRPr="00AC1C7C" w:rsidRDefault="00AC1C7C" w:rsidP="00AC1C7C">
      <w:pPr>
        <w:pStyle w:val="EndNoteBibliography"/>
      </w:pPr>
      <w:r>
        <w:rPr>
          <w:lang w:val="en-US"/>
        </w:rPr>
        <w:fldChar w:fldCharType="begin"/>
      </w:r>
      <w:r>
        <w:rPr>
          <w:lang w:val="en-US"/>
        </w:rPr>
        <w:instrText xml:space="preserve"> ADDIN EN.REFLIST </w:instrText>
      </w:r>
      <w:r>
        <w:rPr>
          <w:lang w:val="en-US"/>
        </w:rPr>
        <w:fldChar w:fldCharType="separate"/>
      </w:r>
      <w:r w:rsidRPr="00AC1C7C">
        <w:t>1.</w:t>
      </w:r>
      <w:r w:rsidRPr="00AC1C7C">
        <w:tab/>
        <w:t>Lund PK, Joo GB, Westvik AB, Ovstebo R, Kierulf P. Isolation of monocytes from whole blood by density gradient centrifugation and counter-current elutriation followed by cryopreservation: six years' experience. ScandJClinLab Invest. 2000;60(5):357-65.</w:t>
      </w:r>
    </w:p>
    <w:p w:rsidR="001335FF" w:rsidRPr="00AC1C7C" w:rsidRDefault="00AC1C7C">
      <w:pPr>
        <w:rPr>
          <w:lang w:val="en-US"/>
        </w:rPr>
      </w:pPr>
      <w:r>
        <w:rPr>
          <w:lang w:val="en-US"/>
        </w:rPr>
        <w:fldChar w:fldCharType="end"/>
      </w:r>
    </w:p>
    <w:sectPr w:rsidR="001335FF" w:rsidRPr="00AC1C7C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z5252w5sgx59z8eet05vtx9x9ppzdper0dwf&quot;&gt;My EndNote Library samlet Beate&lt;record-ids&gt;&lt;item&gt;127&lt;/item&gt;&lt;/record-ids&gt;&lt;/item&gt;&lt;/Libraries&gt;"/>
  </w:docVars>
  <w:rsids>
    <w:rsidRoot w:val="009511F8"/>
    <w:rsid w:val="0027559C"/>
    <w:rsid w:val="004D529C"/>
    <w:rsid w:val="006B66A9"/>
    <w:rsid w:val="009511F8"/>
    <w:rsid w:val="00AC1C7C"/>
    <w:rsid w:val="00C44B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DD58C2"/>
  <w15:chartTrackingRefBased/>
  <w15:docId w15:val="{7D303697-2921-4715-9AC7-5927DA9FBF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C1C7C"/>
    <w:pPr>
      <w:spacing w:after="200" w:line="276" w:lineRule="auto"/>
    </w:pPr>
    <w:rPr>
      <w:rFonts w:eastAsiaTheme="minorEastAsia"/>
      <w:lang w:val="nb-NO" w:eastAsia="zh-CN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ndNoteBibliographyTitle">
    <w:name w:val="EndNote Bibliography Title"/>
    <w:basedOn w:val="Normal"/>
    <w:link w:val="EndNoteBibliographyTitleChar"/>
    <w:rsid w:val="00AC1C7C"/>
    <w:pPr>
      <w:spacing w:after="0"/>
      <w:jc w:val="center"/>
    </w:pPr>
    <w:rPr>
      <w:rFonts w:ascii="Calibri" w:hAnsi="Calibri" w:cs="Calibri"/>
      <w:noProof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AC1C7C"/>
    <w:rPr>
      <w:rFonts w:ascii="Calibri" w:eastAsiaTheme="minorEastAsia" w:hAnsi="Calibri" w:cs="Calibri"/>
      <w:noProof/>
      <w:lang w:val="nb-NO" w:eastAsia="zh-CN"/>
    </w:rPr>
  </w:style>
  <w:style w:type="paragraph" w:customStyle="1" w:styleId="EndNoteBibliography">
    <w:name w:val="EndNote Bibliography"/>
    <w:basedOn w:val="Normal"/>
    <w:link w:val="EndNoteBibliographyChar"/>
    <w:rsid w:val="00AC1C7C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AC1C7C"/>
    <w:rPr>
      <w:rFonts w:ascii="Calibri" w:eastAsiaTheme="minorEastAsia" w:hAnsi="Calibri" w:cs="Calibri"/>
      <w:noProof/>
      <w:lang w:val="nb-NO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tiff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773</Words>
  <Characters>4407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Universitetet i Oslo</Company>
  <LinksUpToDate>false</LinksUpToDate>
  <CharactersWithSpaces>5170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Beate Vestad</dc:creator>
  <cp:keywords/>
  <dc:description/>
  <cp:lastModifiedBy>Beate Vestad</cp:lastModifiedBy>
  <cp:revision>2</cp:revision>
  <dcterms:created xsi:type="dcterms:W3CDTF">2021-05-31T15:02:00Z</dcterms:created>
  <dcterms:modified xsi:type="dcterms:W3CDTF">2021-05-31T15:02:00Z</dcterms:modified>
</cp:coreProperties>
</file>