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C6D4" w14:textId="2329E36B" w:rsidR="00D038AA" w:rsidRPr="000E035F" w:rsidRDefault="00CC3553">
      <w:pPr>
        <w:rPr>
          <w:b/>
          <w:bCs/>
          <w:sz w:val="28"/>
          <w:szCs w:val="28"/>
          <w:u w:val="single"/>
        </w:rPr>
      </w:pPr>
      <w:r w:rsidRPr="000E035F">
        <w:rPr>
          <w:b/>
          <w:bCs/>
          <w:sz w:val="28"/>
          <w:szCs w:val="28"/>
          <w:u w:val="single"/>
        </w:rPr>
        <w:t>Supplementary Methods</w:t>
      </w:r>
    </w:p>
    <w:p w14:paraId="5CCE06D8" w14:textId="77777777" w:rsidR="008E2B32" w:rsidRDefault="008E2B32" w:rsidP="004A5999">
      <w:pPr>
        <w:spacing w:line="480" w:lineRule="auto"/>
      </w:pPr>
    </w:p>
    <w:p w14:paraId="27CF3F48" w14:textId="0BDF5E0A" w:rsidR="008E2B32" w:rsidRDefault="008E2B32" w:rsidP="004A5999">
      <w:pPr>
        <w:spacing w:line="480" w:lineRule="auto"/>
      </w:pPr>
      <w:r>
        <w:t xml:space="preserve">TrialNet Genotyping: </w:t>
      </w:r>
    </w:p>
    <w:p w14:paraId="21D944D3" w14:textId="3F7B0BB7" w:rsidR="008E2B32" w:rsidRDefault="008E2B32" w:rsidP="004A5999">
      <w:pPr>
        <w:spacing w:line="480" w:lineRule="auto"/>
      </w:pPr>
      <w:r w:rsidRPr="008E2B32">
        <w:t>We imputed 32 non-HLA SNPs with a median R2 of 0.997 (min = 0.858 and max = 0.999) using the TOPMed Imputation Server with the multi-ethnic TOPMed reference panel which includes 97,256 reference samples and &gt; 308 million genetic variants. We also imputed 5 SNPs in the HLA region (rs72848653 (R2 = 0.999), rs9266268 (R2 = 0.999), rs16899379 (R2 = 0.998), rs2524277 (R2 = 0.995), and rs9268500 (R2 = 0.925)) using the Michigan Imputation Server with the high-resolution HLA reference panel spanning five global populations (n = 21,546) based on whole-genome sequencing data.</w:t>
      </w:r>
    </w:p>
    <w:p w14:paraId="5411EEFA" w14:textId="77777777" w:rsidR="004A5999" w:rsidRDefault="004A5999" w:rsidP="004A5999">
      <w:pPr>
        <w:spacing w:line="480" w:lineRule="auto"/>
      </w:pPr>
    </w:p>
    <w:p w14:paraId="07B96B56" w14:textId="13FFB9B7" w:rsidR="00CC3553" w:rsidRPr="004A5999" w:rsidRDefault="004A5999" w:rsidP="004A5999">
      <w:pPr>
        <w:spacing w:line="480" w:lineRule="auto"/>
        <w:rPr>
          <w:b/>
          <w:bCs/>
        </w:rPr>
      </w:pPr>
      <w:r w:rsidRPr="004A5999">
        <w:rPr>
          <w:b/>
          <w:bCs/>
        </w:rPr>
        <w:t>Statistical Analysis</w:t>
      </w:r>
    </w:p>
    <w:p w14:paraId="59C3DE27" w14:textId="6B2B7879" w:rsidR="00CC3553" w:rsidRDefault="00CC3553">
      <w:r>
        <w:t>Landmark Modelling:</w:t>
      </w:r>
    </w:p>
    <w:p w14:paraId="56224B5B" w14:textId="77777777" w:rsidR="00CC3553" w:rsidRDefault="00CC3553"/>
    <w:p w14:paraId="510B8D03" w14:textId="77777777" w:rsidR="00CC3553" w:rsidRDefault="00CC3553" w:rsidP="00CC3553">
      <w:pPr>
        <w:spacing w:line="480" w:lineRule="auto"/>
      </w:pPr>
      <w:r w:rsidRPr="00CC3553">
        <w:t>We used a landmark modelling approach that considers the information available at a specific age to predict future risk, allowing for scores to be updated when new information is available</w:t>
      </w:r>
      <w:r w:rsidRPr="00CC3553">
        <w:fldChar w:fldCharType="begin"/>
      </w:r>
      <w:r w:rsidRPr="00CC3553">
        <w:instrText xml:space="preserve"> ADDIN ZOTERO_ITEM CSL_CITATION {"citationID":"cHWNwmlg","properties":{"formattedCitation":"(9,19)","plainCitation":"(9,19)","noteIndex":0},"citationItems":[{"id":73,"uris":["http://zotero.org/users/local/oHSYLBhQ/items/VWP2KDW2"],"itemData":{"id":73,"type":"article-journal","container-title":"Nature Medicine","DOI":"10.1038/s41591-020-0930-4","ISSN":"1078-8956, 1546-170X","issue":"8","journalAbbreviation":"Nat Med","language":"en","page":"1247-1255","source":"DOI.org (Crossref)","title":"A combined risk score enhances prediction of type 1 diabetes among susceptible children","volume":"26","author":[{"family":"Ferrat","given":"Lauric A."},{"family":"Vehik","given":"Kendra"},{"family":"Sharp","given":"Seth A."},{"family":"Lernmark","given":"Åke"},{"family":"Rewers","given":"Marian J."},{"family":"She","given":"Jin-Xiong"},{"family":"Ziegler","given":"Anette-G."},{"family":"Toppari","given":"Jorma"},{"family":"Akolkar","given":"Beena"},{"family":"Krischer","given":"Jeffrey P."},{"family":"Weedon","given":"Michael N."},{"family":"Oram","given":"Richard A."},{"family":"Hagopian","given":"William A."},{"literal":"TEDDY Study Group"},{"literal":"Colorado Clinical Center"},{"family":"Barbour","given":"Aaron"},{"family":"Bautista","given":"Kimberly"},{"family":"Baxter","given":"Judith"},{"family":"Felipe-Morales","given":"Daniel"},{"family":"Driscoll","given":"Kimberly"},{"family":"Frohnert","given":"Brigitte I."},{"family":"Stahl","given":"Marisa"},{"family":"Gesualdo","given":"Patricia"},{"family":"Hoffman","given":"Michelle"},{"family":"Karban","given":"Rachel"},{"family":"Liu","given":"Edwin"},{"family":"Norris","given":"Jill"},{"family":"Peacock","given":"Stesha"},{"family":"Shorrosh","given":"Hanan"},{"family":"Steck","given":"Andrea"},{"family":"Stern","given":"Megan"},{"family":"Villegas","given":"Erica"},{"family":"Waugh","given":"Kathleen"},{"literal":"Finland Clinical Center"},{"family":"Simell","given":"Olli G."},{"family":"Adamsson","given":"Annika"},{"family":"Ahonen","given":"Suvi"},{"family":"Åkerlund","given":"Mari"},{"family":"Hakola","given":"Leena"},{"family":"Hekkala","given":"Anne"},{"family":"Holappa","given":"Henna"},{"family":"Hyöty","given":"Heikki"},{"family":"Ikonen","given":"Anni"},{"family":"Ilonen","given":"Jorma"},{"family":"Jäminki","given":"Sinikka"},{"family":"Jokipuu","given":"Sanna"},{"family":"Karlsson","given":"Leena"},{"family":"Kero","given":"Jukka"},{"family":"Kähönen","given":"Miia"},{"family":"Knip","given":"Mikael"},{"family":"Koivikko","given":"Minna-Liisa"},{"family":"Koskinen","given":"Merja"},{"family":"Koreasalo","given":"Mirva"},{"family":"Kurppa","given":"Kalle"},{"family":"Kytölä","given":"Jarita"},{"family":"Latva-aho","given":"Tiina"},{"family":"Lindfors","given":"Katri"},{"family":"Lönnrot","given":"Maria"},{"family":"Mäntymäki","given":"Elina"},{"family":"Mattila","given":"Markus"},{"family":"Miettinen","given":"Maija"},{"family":"Multasuo","given":"Katja"},{"family":"Mykkänen","given":"Teija"},{"family":"Niininen","given":"Tiina"},{"family":"Niinistö","given":"Sari"},{"family":"Nyblom","given":"Mia"},{"family":"Oikarinen","given":"Sami"},{"family":"Ollikainen","given":"Paula"},{"family":"Othmani","given":"Zhian"},{"family":"Pohjola","given":"Sirpa"},{"family":"Rajala","given":"Petra"},{"family":"Rautanen","given":"Jenna"},{"family":"Riikonen","given":"Anne"},{"family":"Riski","given":"Eija"},{"family":"Pekkola","given":"Miia"},{"family":"Romo","given":"Minna"},{"family":"Ruohonen","given":"Satu"},{"family":"Simell","given":"Satu"},{"family":"Sjöberg","given":"Maija"},{"family":"Stenius","given":"Aino"},{"family":"Tossavainen","given":"Päivi"},{"family":"Vähä-Mäkilä","given":"Mari"},{"family":"Vainionpää","given":"Sini"},{"family":"Varjonen","given":"Eeva"},{"family":"Veijola","given":"Riitta"},{"family":"Viinikangas","given":"Irene"},{"family":"Virtanen","given":"Suvi M."},{"literal":"Georgia/Florida Clinical Center"},{"family":"Schatz","given":"Desmond"},{"family":"Hopkins","given":"Diane"},{"family":"Steed","given":"Leigh"},{"family":"Bryant","given":"Jennifer"},{"family":"Silvis","given":"Katherine"},{"family":"Haller","given":"Michael"},{"family":"Gardiner","given":"Melissa"},{"family":"McIndoe","given":"Richard"},{"family":"Sharma","given":"Ashok"},{"family":"Anderson","given":"Stephen W."},{"family":"Jacobsen","given":"Laura"},{"family":"Marks","given":"John"},{"family":"Towe","given":"P. D."},{"literal":"Germany Clinical Center"},{"family":"Bonifacio","given":"Ezio"},{"family":"Gezginci","given":"Cigdem"},{"family":"Heublein","given":"Anja"},{"family":"Hohoff","given":"Eva"},{"family":"Hummel","given":"Sandra"},{"family":"Knopff","given":"Annette"},{"family":"Koch","given":"Charlotte"},{"family":"Koletzko","given":"Sibylle"},{"family":"Ramminger","given":"Claudia"},{"family":"Roth","given":"Roswith"},{"family":"Schmidt","given":"Jennifer"},{"family":"Scholz","given":"Marlon"},{"family":"Stock","given":"Joanna"},{"family":"Warncke","given":"Katharina"},{"family":"Wendel","given":"Lorena"},{"family":"Winkler","given":"Christiane"},{"literal":"Sweden Clinical Center"},{"family":"Agardh","given":"Daniel"},{"family":"Aronsson","given":"Carin Andrén"},{"family":"Ask","given":"Maria"},{"family":"Bennet","given":"Rasmus"},{"family":"Cilio","given":"Corrado"},{"family":"Dahlberg","given":"Susanne"},{"family":"Engqvist","given":"Helene"},{"family":"Ericson-Hallström","given":"Emelie"},{"family":"Fors","given":"Annika Björne"},{"family":"Fransson","given":"Lina"},{"family":"Gard","given":"Thomas"},{"family":"Hansen","given":"Monika"},{"family":"Jisser","given":"Hanna"},{"family":"Johansen","given":"Fredrik"},{"family":"Jonsdottir","given":"Berglind"},{"family":"Elding Larsson","given":"Helena"},{"family":"Lindström","given":"Marielle"},{"family":"Lundgren","given":"Markus"},{"family":"Maziarz","given":"Marlena"},{"family":"Månsson-Martinez","given":"Maria"},{"family":"Melin","given":"Jessica"},{"family":"Mestan","given":"Zeliha"},{"family":"Nilsson","given":"Caroline"},{"family":"Ottosson","given":"Karin"},{"family":"Rahmati","given":"Kobra"},{"family":"Ramelius","given":"Anita"},{"family":"Salami","given":"Falastin"},{"family":"Sjöberg","given":"Anette"},{"family":"Sjöberg","given":"Birgitta"},{"family":"Törn","given":"Carina"},{"family":"Wimar","given":"Åsa"},{"literal":"Washington Clinical Center"},{"family":"Killian","given":"Michael"},{"family":"Crouch","given":"Claire Cowen"},{"family":"Skidmore","given":"Jennifer"},{"family":"Chavoshi","given":"Masumeh"},{"family":"Meyer","given":"Arlene"},{"family":"Meyer","given":"Jocelyn"},{"family":"Mulenga","given":"Denise"},{"family":"Powell","given":"Nole"},{"family":"Radtke","given":"Jared"},{"family":"Romancik","given":"Matei"},{"family":"Roy","given":"Shreya"},{"family":"Schmitt","given":"Davey"},{"family":"Zink","given":"Sarah"},{"literal":"Pennsylvania Satellite Center"},{"family":"Becker","given":"Dorothy"},{"family":"Franciscus","given":"Margaret"},{"family":"Smith","given":"MaryEllen Dalmagro-Elias"},{"family":"Daftary","given":"Ashi"},{"family":"Klein","given":"Mary Beth"},{"family":"Yates","given":"Chrystal"},{"literal":"Data Coordinating Center"},{"family":"Austin-Gonzalez","given":"Sarah"},{"family":"Avendano","given":"Maryouri"},{"family":"Baethke","given":"Sandra"},{"family":"Burkhardt","given":"Brant"},{"family":"Butterworth","given":"Martha"},{"family":"Clasen","given":"Joanna"},{"family":"Cuthbertson","given":"David"},{"family":"Eberhard","given":"Christopher"},{"family":"Fiske","given":"Steven"},{"family":"Garmeson","given":"Jennifer"},{"family":"Gowda","given":"Veena"},{"family":"Heyman","given":"Kathleen"},{"family":"Hsiao","given":"Belinda"},{"family":"Karges","given":"Christina"},{"family":"Laras","given":"Francisco Perez"},{"family":"Li","given":"Qian"},{"family":"Liu","given":"Shu"},{"family":"Liu","given":"Xiang"},{"family":"Lynch","given":"Kristian"},{"family":"Maguire","given":"Colleen"},{"family":"Malloy","given":"Jamie"},{"family":"McCarthy","given":"Cristina"},{"family":"Parikh","given":"Hemang"},{"family":"Remedios","given":"Cassandra"},{"family":"Shaffer","given":"Chris"},{"family":"Smith","given":"Laura"},{"family":"Smith","given":"Susan"},{"family":"Sulman","given":"Noah"},{"family":"Tamura","given":"Roy"},{"family":"Tewey","given":"Dena"},{"family":"Toth","given":"Michael"},{"family":"Uusitalo","given":"Ulla"},{"family":"Vijayakandipan","given":"Ponni"},{"family":"Wood","given":"Keith"},{"family":"Yang","given":"Jimin"},{"literal":"Project scientist"},{"literal":"Autoantibody Reference Laboratories"},{"family":"Yu","given":"Liping"},{"family":"Miao","given":"Dongmei"},{"family":"Bingley","given":"Polly"},{"family":"Williams","given":"Alistair"},{"family":"Chandler","given":"Kyla"},{"family":"Kelland","given":"Ilana"},{"family":"Khoud","given":"Yassin Ben"},{"family":"Zahid","given":"Huma"},{"family":"Randell","given":"Matthew"},{"literal":"HLA Reference Laboratory"},{"family":"Chavoshi","given":"Masumeh"},{"family":"Radtke","given":"Jared"},{"family":"Zink","given":"Sarah"},{"literal":"Repository"},{"family":"Ke","given":"Sandra"},{"family":"Mulholland","given":"Niveen"},{"literal":"SNP Laboratory"},{"family":"Rich","given":"Stephen S."},{"family":"Chen","given":"Wei-Min"},{"family":"Onengut-Gumuscu","given":"Suna"},{"family":"Farber","given":"Emily"},{"family":"Pickin","given":"Rebecca Roche"},{"family":"Davis","given":"Jonathan"},{"family":"Davis","given":"Jordan"},{"family":"Gallo","given":"Dan"},{"family":"Bonnie","given":"Jessica"},{"family":"Campolieto","given":"Paul"},{"literal":"Metagenomics and Microbiome Laboratory"},{"family":"Petrosino","given":"Joseph F."},{"family":"Ajami","given":"Nadim J."},{"family":"Lloyd","given":"Richard E."},{"family":"Ross","given":"Matthew C."},{"family":"O’Brien","given":"Jacqueline L."},{"family":"Hutchinson","given":"Diane S."},{"family":"Smith","given":"Daniel P."},{"family":"Wong","given":"Matthew C."},{"family":"Tian","given":"Xiangjun"},{"family":"Ayvaz","given":"Tulin"},{"family":"Tamegnon","given":"Auriole"},{"family":"Truong","given":"Nguyen"},{"family":"Moreno","given":"Hannah"},{"family":"Riley","given":"Lauren"},{"family":"Moreno","given":"Eduardo"},{"family":"Bauch","given":"Tonya"},{"family":"Kusic","given":"Lenka"},{"family":"Metcalf","given":"Ginger"},{"family":"Muzny","given":"Donna"},{"family":"Doddapaneni","given":"Harshavardhan"},{"family":"Gibbs","given":"Richard"},{"literal":"Other contributors"},{"family":"Bourcier","given":"Kasia"},{"family":"Briese","given":"Thomas"},{"family":"Johnson","given":"Suzanne Bennett"},{"family":"Triplett","given":"Eric"},{"literal":"Committees"},{"literal":"Ancillary Studies"},{"family":"Ziegler","given":"Anette G."},{"family":"Tamura","given":"Roy"},{"literal":"Diet"},{"family":"Norris","given":"Jill"},{"family":"Virtanen","given":"Suvi M."},{"family":"Frohnert","given":"Brigitte I."},{"family":"Gesualdo","given":"Patricia"},{"family":"Koreasalo","given":"Mirva"},{"family":"Miettinen","given":"Maija"},{"family":"Niinistö","given":"Sari"},{"family":"Riikonen","given":"Anne"},{"family":"Silvis","given":"Katherine"},{"family":"Hohoff","given":"Eva"},{"family":"Hummel","given":"Sandra"},{"family":"Winkler","given":"Christiane"},{"family":"Aronsson","given":"Carin Andrén"},{"family":"Skidmore","given":"Jennifer"},{"family":"Smith","given":"MaryEllen Dalmagro-Elias"},{"family":"Butterworth","given":"Martha"},{"family":"Li","given":"Qian"},{"family":"Liu","given":"Xiang"},{"family":"Tamura","given":"Roy"},{"family":"Uusitalo","given":"Ulla"},{"family":"Yang","given":"Jimin"},{"literal":"Genetics"},{"family":"Rich","given":"Stephen S."},{"family":"Norris","given":"Jill"},{"family":"Steck","given":"Andrea"},{"family":"Ilonen","given":"Jorma"},{"family":"Ziegler","given":"Anette G."},{"family":"Törn","given":"Carina"},{"family":"Li","given":"Qian"},{"family":"Liu","given":"Xiang"},{"family":"Parikh","given":"Hemang"},{"family":"Erlich","given":"Henry"},{"family":"Chen","given":"Wei-Min"},{"family":"Onengut-Gumuscu","given":"Suna"},{"literal":"Human Subjects/Publicity/Publications"},{"family":"Schatz","given":"Desmond"},{"family":"Ziegler","given":"Anette G."},{"literal":"Immune Markers"},{"family":"Cilio","given":"Corrado"},{"family":"Bonifacio","given":"Ezio"},{"family":"Knip","given":"Mikael"},{"family":"Schatz","given":"Desmond"},{"family":"Burkhardt","given":"Brant"},{"family":"Lynch","given":"Kristian"},{"family":"Yu","given":"Liping"},{"family":"Bingley","given":"Polly"},{"family":"Bourcier","given":"Kasia"},{"literal":"Infectious Agents"},{"family":"Hyöty","given":"Heikki"},{"family":"Triplett","given":"Eric"},{"family":"Lloyd","given":"Richard"},{"family":"Gesualdo","given":"Patricia"},{"family":"Waugh","given":"Kathleen"},{"family":"Lönnrot","given":"Maria"},{"family":"Agardh","given":"Daniel"},{"family":"Cilio","given":"Corrado"},{"family":"Larsson","given":"Helena Elding"},{"family":"Killian","given":"Michael"},{"family":"Burkhardt","given":"Brant"},{"family":"Lynch","given":"Kristian"},{"family":"Briese","given":"Thomas"},{"literal":"Laboratory Implementation"},{"family":"Waugh","given":"Kathleen"},{"family":"Schatz","given":"Desmond"},{"family":"Killian","given":"Michael"},{"literal":"Psychosocial"},{"family":"Johnson","given":"Suzanne Bennett"},{"family":"Roth","given":"Roswith"},{"family":"Baxter","given":"Judith"},{"family":"Driscoll","given":"Kimberly"},{"family":"Schatz","given":"Desmond"},{"family":"Stock","given":"Joanna"},{"family":"Fiske","given":"Steven"},{"family":"Liu","given":"Xiang"},{"family":"Lynch","given":"Kristian"},{"family":"Smith","given":"Laura"},{"literal":"Quality Assurance"},{"family":"Baxter","given":"Judith"},{"literal":"Steering"},{"family":"Lernmark","given":"Åke"},{"literal":"Study Coordinators"},{"family":"Baxter","given":"Judith"},{"family":"Killian","given":"Michael"},{"family":"Bautista","given":"Kimberly"},{"family":"Gesualdo","given":"Patricia"},{"family":"Hoffman","given":"Michelle"},{"family":"Karban","given":"Rachel"},{"family":"Norris","given":"Jill"},{"family":"Waugh","given":"Kathleen"},{"family":"Adamsson","given":"Annika"},{"family":"Kähönen","given":"Miia"},{"family":"Niininen","given":"Tiina"},{"family":"Stenius","given":"Aino"},{"family":"Varjonen","given":"Eeva"},{"family":"Hopkins","given":"Diane"},{"family":"Steed","given":"Leigh"},{"family":"Bryant","given":"Jennifer"},{"family":"Gardiner","given":"Melissa"},{"family":"Marks","given":"John"},{"family":"Ramminger","given":"Claudia"},{"family":"Stock","given":"Joanna"},{"family":"Winkler","given":"Christiane"},{"family":"Aronsson","given":"Carin Andrén"},{"family":"Jonsdottir","given":"Berglind"},{"family":"Melin","given":"Jessica"},{"family":"Killian","given":"Michael"},{"family":"Crouch","given":"Claire Cowen"},{"family":"Mulenga","given":"Denise"},{"family":"McCarthy","given":"Cristina"},{"family":"Smith","given":"Laura"},{"family":"Smith","given":"Susan"},{"family":"Tamura","given":"Roy"},{"family":"Johnson","given":"Suzanne Bennett"},{"literal":"Celiac Disease"},{"family":"Agardh","given":"Daniel"},{"family":"Liu","given":"Edwin"},{"family":"Koletzko","given":"Sibylle"},{"family":"Kurppa","given":"Kalle"},{"family":"Stahl","given":"Marisa"},{"family":"Hoffman","given":"Michelle"},{"family":"Kurppa","given":"Kalle"},{"family":"Lindfors","given":"Katri"},{"family":"Simell","given":"Satu"},{"family":"Steed","given":"Leigh"},{"family":"Aronsson","given":"Carin Andrén"},{"family":"Killian","given":"Michael"},{"family":"Tamura","given":"Roy"},{"literal":"Clinical Implementation"},{"family":"Haller","given":"Michael"},{"family":"Larsson","given":"Helena Elding"},{"family":"Frohnert","given":"Brigitte I."},{"family":"Gesualdo","given":"Patricia"},{"family":"Hoffman","given":"Michelle"},{"family":"Steck","given":"Andrea"},{"family":"Kähönen","given":"Miia"},{"family":"Veijola","given":"Riitta"},{"family":"Steed","given":"Leigh"},{"family":"Jacobsen","given":"Laura"},{"family":"Marks","given":"John"},{"family":"Stock","given":"Joanna"},{"family":"Warncke","given":"Katharina"},{"family":"Lundgren","given":"Markus"},{"family":"Wimar","given":"Åsa"},{"family":"Crouch","given":"Claire Cowen"},{"family":"Liu","given":"Xiang"},{"family":"Tamura","given":"Roy"}],"issued":{"date-parts":[["2020",8,1]]}}},{"id":283,"uris":["http://zotero.org/users/local/oHSYLBhQ/items/ZFYKTZJS"],"itemData":{"id":283,"type":"article-journal","container-title":"BMC Medicine","DOI":"10.1186/s12916-019-1360-3","ISSN":"1741-7015","issue":"1","journalAbbreviation":"BMC Med","language":"en","page":"125","source":"DOI.org (Crossref)","title":"Landmark models to define the age-adjusted risk of developing stage 1 type 1 diabetes across childhood and adolescence","volume":"17","author":[{"family":"Hoffmann","given":"Verena Sophia"},{"family":"Weiß","given":"Andreas"},{"family":"Winkler","given":"Christiane"},{"family":"Knopff","given":"Annette"},{"family":"Jolink","given":"Manja"},{"family":"Bonifacio","given":"Ezio"},{"family":"Ziegler","given":"Anette-G."}],"issued":{"date-parts":[["2019",12]]}}}],"schema":"https://github.com/citation-style-language/schema/raw/master/csl-citation.json"} </w:instrText>
      </w:r>
      <w:r w:rsidRPr="00CC3553">
        <w:fldChar w:fldCharType="separate"/>
      </w:r>
      <w:r w:rsidRPr="00CC3553">
        <w:t>(9,19)</w:t>
      </w:r>
      <w:r w:rsidRPr="00CC3553">
        <w:fldChar w:fldCharType="end"/>
      </w:r>
      <w:r w:rsidRPr="00CC3553">
        <w:t xml:space="preserve">. The landmark approach is convenient because it can be applied in longitudinal and cross-sectional studies. Baseline variables for each landmark model were defined as the closest drawing to landmark age but no further than 3 months prior to or after this age. </w:t>
      </w:r>
    </w:p>
    <w:p w14:paraId="74332F1D" w14:textId="77777777" w:rsidR="00D46363" w:rsidRPr="00593DC4" w:rsidRDefault="00D46363" w:rsidP="00D46363">
      <w:pPr>
        <w:spacing w:line="480" w:lineRule="auto"/>
      </w:pPr>
    </w:p>
    <w:p w14:paraId="549C0BF4" w14:textId="16AA0939" w:rsidR="00D46363" w:rsidRPr="00593DC4" w:rsidRDefault="00D46363" w:rsidP="00CC3553">
      <w:pPr>
        <w:spacing w:line="480" w:lineRule="auto"/>
      </w:pPr>
      <w:r w:rsidRPr="00593DC4">
        <w:t>Due to differences in cohort selection protocol, landmark models for TrialNet participants aged 7 and younger used the TEDDY age 4 model, with all models performing similarly (supplementary figure 2), and the age 7 model applied for participants older than 7.</w:t>
      </w:r>
    </w:p>
    <w:p w14:paraId="173BAC99" w14:textId="77777777" w:rsidR="00CC3553" w:rsidRDefault="00CC3553" w:rsidP="00CC3553">
      <w:pPr>
        <w:spacing w:line="480" w:lineRule="auto"/>
      </w:pPr>
    </w:p>
    <w:p w14:paraId="61A84F84" w14:textId="03341E37" w:rsidR="00CC3553" w:rsidRDefault="00CC3553" w:rsidP="00CC3553">
      <w:pPr>
        <w:spacing w:line="480" w:lineRule="auto"/>
      </w:pPr>
      <w:r>
        <w:t>Stratified Model:</w:t>
      </w:r>
    </w:p>
    <w:p w14:paraId="5578AD79" w14:textId="77777777" w:rsidR="00CC3553" w:rsidRPr="00F1475E" w:rsidRDefault="00CC3553" w:rsidP="00CC3553">
      <w:pPr>
        <w:spacing w:line="480" w:lineRule="auto"/>
        <w:rPr>
          <w:rFonts w:ascii="Arial" w:hAnsi="Arial" w:cs="Arial"/>
          <w:noProof/>
          <w:lang w:val="en-US"/>
        </w:rPr>
      </w:pPr>
      <w:r w:rsidRPr="00F1475E">
        <w:rPr>
          <w:rFonts w:ascii="Arial" w:hAnsi="Arial" w:cs="Arial"/>
          <w:noProof/>
          <w:lang w:val="en-US"/>
        </w:rPr>
        <w:t xml:space="preserve">If the predictor violating the PH assumption is a categorical variable, the potential problem can be addressed by stratifying the model by the categorical predictor that violates the assumption. Then, data are stratified into subgroups and the Cox model is applied in each subgroup so that the hazard function of the individual </w:t>
      </w:r>
      <w:r w:rsidRPr="00F1475E">
        <w:rPr>
          <w:rFonts w:ascii="Arial" w:hAnsi="Arial" w:cs="Arial"/>
          <w:i/>
          <w:iCs/>
          <w:noProof/>
          <w:lang w:val="en-US"/>
        </w:rPr>
        <w:t>i</w:t>
      </w:r>
      <w:r w:rsidRPr="00F1475E">
        <w:rPr>
          <w:rFonts w:ascii="Arial" w:hAnsi="Arial" w:cs="Arial"/>
          <w:noProof/>
          <w:lang w:val="en-US"/>
        </w:rPr>
        <w:t xml:space="preserve"> in group </w:t>
      </w:r>
      <w:r w:rsidRPr="00F1475E">
        <w:rPr>
          <w:rFonts w:ascii="Arial" w:hAnsi="Arial" w:cs="Arial"/>
          <w:i/>
          <w:iCs/>
          <w:noProof/>
          <w:lang w:val="en-US"/>
        </w:rPr>
        <w:t>g</w:t>
      </w:r>
      <w:r w:rsidRPr="00F1475E">
        <w:rPr>
          <w:rFonts w:ascii="Arial" w:hAnsi="Arial" w:cs="Arial"/>
          <w:noProof/>
          <w:lang w:val="en-US"/>
        </w:rPr>
        <w:t xml:space="preserve"> at time </w:t>
      </w:r>
      <w:r w:rsidRPr="00F1475E">
        <w:rPr>
          <w:rFonts w:ascii="Arial" w:hAnsi="Arial" w:cs="Arial"/>
          <w:i/>
          <w:iCs/>
          <w:noProof/>
          <w:lang w:val="en-US"/>
        </w:rPr>
        <w:t>t</w:t>
      </w:r>
      <w:r w:rsidRPr="00F1475E">
        <w:rPr>
          <w:rFonts w:ascii="Arial" w:hAnsi="Arial" w:cs="Arial"/>
          <w:noProof/>
          <w:lang w:val="en-US"/>
        </w:rPr>
        <w:t xml:space="preserve"> is given by,</w:t>
      </w:r>
    </w:p>
    <w:p w14:paraId="11A3E090" w14:textId="77777777" w:rsidR="00CC3553" w:rsidRPr="00F1475E" w:rsidRDefault="00000000" w:rsidP="00CC3553">
      <w:pPr>
        <w:spacing w:line="480" w:lineRule="auto"/>
        <w:rPr>
          <w:rFonts w:ascii="Arial" w:eastAsiaTheme="minorEastAsia" w:hAnsi="Arial" w:cs="Arial"/>
          <w:noProof/>
          <w:lang w:val="en-US"/>
        </w:rPr>
      </w:pPr>
      <m:oMathPara>
        <m:oMath>
          <m:sSub>
            <m:sSubPr>
              <m:ctrlPr>
                <w:rPr>
                  <w:rFonts w:ascii="Cambria Math" w:hAnsi="Cambria Math" w:cs="Arial"/>
                  <w:i/>
                  <w:noProof/>
                  <w:lang w:val="en-US"/>
                </w:rPr>
              </m:ctrlPr>
            </m:sSubPr>
            <m:e>
              <m:r>
                <w:rPr>
                  <w:rFonts w:ascii="Cambria Math" w:hAnsi="Cambria Math" w:cs="Arial"/>
                  <w:noProof/>
                  <w:lang w:val="en-US"/>
                </w:rPr>
                <m:t>h</m:t>
              </m:r>
            </m:e>
            <m:sub>
              <m:r>
                <w:rPr>
                  <w:rFonts w:ascii="Cambria Math" w:hAnsi="Cambria Math" w:cs="Arial"/>
                  <w:noProof/>
                  <w:lang w:val="en-US"/>
                </w:rPr>
                <m:t>ig</m:t>
              </m:r>
            </m:sub>
          </m:sSub>
          <m:d>
            <m:dPr>
              <m:ctrlPr>
                <w:rPr>
                  <w:rFonts w:ascii="Cambria Math" w:hAnsi="Cambria Math" w:cs="Arial"/>
                  <w:i/>
                  <w:noProof/>
                  <w:lang w:val="en-US"/>
                </w:rPr>
              </m:ctrlPr>
            </m:dPr>
            <m:e>
              <m:r>
                <w:rPr>
                  <w:rFonts w:ascii="Cambria Math" w:hAnsi="Cambria Math" w:cs="Arial"/>
                  <w:noProof/>
                  <w:lang w:val="en-US"/>
                </w:rPr>
                <m:t>t</m:t>
              </m:r>
            </m:e>
          </m:d>
          <m:r>
            <w:rPr>
              <w:rFonts w:ascii="Cambria Math" w:hAnsi="Cambria Math" w:cs="Arial"/>
              <w:noProof/>
              <w:lang w:val="en-US"/>
            </w:rPr>
            <m:t xml:space="preserve">= </m:t>
          </m:r>
          <m:sSub>
            <m:sSubPr>
              <m:ctrlPr>
                <w:rPr>
                  <w:rFonts w:ascii="Cambria Math" w:hAnsi="Cambria Math" w:cs="Arial"/>
                  <w:i/>
                  <w:noProof/>
                  <w:lang w:val="en-US"/>
                </w:rPr>
              </m:ctrlPr>
            </m:sSubPr>
            <m:e>
              <m:r>
                <w:rPr>
                  <w:rFonts w:ascii="Cambria Math" w:hAnsi="Cambria Math" w:cs="Arial"/>
                  <w:noProof/>
                  <w:lang w:val="en-US"/>
                </w:rPr>
                <m:t>h</m:t>
              </m:r>
            </m:e>
            <m:sub>
              <m:r>
                <w:rPr>
                  <w:rFonts w:ascii="Cambria Math" w:hAnsi="Cambria Math" w:cs="Arial"/>
                  <w:noProof/>
                  <w:lang w:val="en-US"/>
                </w:rPr>
                <m:t>0g</m:t>
              </m:r>
            </m:sub>
          </m:sSub>
          <m:d>
            <m:dPr>
              <m:ctrlPr>
                <w:rPr>
                  <w:rFonts w:ascii="Cambria Math" w:hAnsi="Cambria Math" w:cs="Arial"/>
                  <w:i/>
                  <w:noProof/>
                  <w:lang w:val="en-US"/>
                </w:rPr>
              </m:ctrlPr>
            </m:dPr>
            <m:e>
              <m:r>
                <w:rPr>
                  <w:rFonts w:ascii="Cambria Math" w:hAnsi="Cambria Math" w:cs="Arial"/>
                  <w:noProof/>
                  <w:lang w:val="en-US"/>
                </w:rPr>
                <m:t>t</m:t>
              </m:r>
            </m:e>
          </m:d>
          <m:r>
            <m:rPr>
              <m:sty m:val="p"/>
            </m:rPr>
            <w:rPr>
              <w:rFonts w:ascii="Cambria Math" w:hAnsi="Cambria Math" w:cs="Arial"/>
              <w:noProof/>
              <w:lang w:val="en-US"/>
            </w:rPr>
            <m:t>exp⁡</m:t>
          </m:r>
          <m:r>
            <w:rPr>
              <w:rFonts w:ascii="Cambria Math" w:hAnsi="Cambria Math" w:cs="Arial"/>
              <w:noProof/>
              <w:lang w:val="en-US"/>
            </w:rPr>
            <m:t>(</m:t>
          </m:r>
          <m:sSub>
            <m:sSubPr>
              <m:ctrlPr>
                <w:rPr>
                  <w:rFonts w:ascii="Cambria Math" w:hAnsi="Cambria Math" w:cs="Arial"/>
                  <w:i/>
                  <w:noProof/>
                  <w:lang w:val="en-US"/>
                </w:rPr>
              </m:ctrlPr>
            </m:sSubPr>
            <m:e>
              <m:r>
                <w:rPr>
                  <w:rFonts w:ascii="Cambria Math" w:hAnsi="Cambria Math" w:cs="Arial"/>
                  <w:noProof/>
                  <w:lang w:val="en-US"/>
                </w:rPr>
                <m:t>β</m:t>
              </m:r>
            </m:e>
            <m:sub>
              <m:r>
                <w:rPr>
                  <w:rFonts w:ascii="Cambria Math" w:hAnsi="Cambria Math" w:cs="Arial"/>
                  <w:noProof/>
                  <w:lang w:val="en-US"/>
                </w:rPr>
                <m:t>g</m:t>
              </m:r>
            </m:sub>
          </m:sSub>
          <m:sSub>
            <m:sSubPr>
              <m:ctrlPr>
                <w:rPr>
                  <w:rFonts w:ascii="Cambria Math" w:hAnsi="Cambria Math" w:cs="Arial"/>
                  <w:i/>
                  <w:noProof/>
                  <w:lang w:val="en-US"/>
                </w:rPr>
              </m:ctrlPr>
            </m:sSubPr>
            <m:e>
              <m:r>
                <w:rPr>
                  <w:rFonts w:ascii="Cambria Math" w:hAnsi="Cambria Math" w:cs="Arial"/>
                  <w:noProof/>
                  <w:lang w:val="en-US"/>
                </w:rPr>
                <m:t>x</m:t>
              </m:r>
            </m:e>
            <m:sub>
              <m:r>
                <w:rPr>
                  <w:rFonts w:ascii="Cambria Math" w:hAnsi="Cambria Math" w:cs="Arial"/>
                  <w:noProof/>
                  <w:lang w:val="en-US"/>
                </w:rPr>
                <m:t>ig</m:t>
              </m:r>
            </m:sub>
          </m:sSub>
          <m:r>
            <w:rPr>
              <w:rFonts w:ascii="Cambria Math" w:hAnsi="Cambria Math" w:cs="Arial"/>
              <w:noProof/>
              <w:lang w:val="en-US"/>
            </w:rPr>
            <m:t>)</m:t>
          </m:r>
        </m:oMath>
      </m:oMathPara>
    </w:p>
    <w:p w14:paraId="12F11FB8" w14:textId="3C8B2400" w:rsidR="004A5999" w:rsidRPr="00E427E4" w:rsidRDefault="00CC3553" w:rsidP="00E427E4">
      <w:pPr>
        <w:spacing w:line="480" w:lineRule="auto"/>
        <w:rPr>
          <w:rFonts w:ascii="Arial" w:eastAsiaTheme="minorEastAsia" w:hAnsi="Arial" w:cs="Arial"/>
          <w:noProof/>
          <w:lang w:val="en-US"/>
        </w:rPr>
      </w:pPr>
      <w:r w:rsidRPr="00F1475E">
        <w:rPr>
          <w:rFonts w:ascii="Arial" w:eastAsiaTheme="minorEastAsia" w:hAnsi="Arial" w:cs="Arial"/>
          <w:noProof/>
          <w:lang w:val="en-US"/>
        </w:rPr>
        <w:t xml:space="preserve">Where </w:t>
      </w:r>
      <m:oMath>
        <m:sSub>
          <m:sSubPr>
            <m:ctrlPr>
              <w:rPr>
                <w:rFonts w:ascii="Cambria Math" w:hAnsi="Cambria Math" w:cs="Arial"/>
                <w:i/>
                <w:noProof/>
                <w:lang w:val="en-US"/>
              </w:rPr>
            </m:ctrlPr>
          </m:sSubPr>
          <m:e>
            <m:r>
              <w:rPr>
                <w:rFonts w:ascii="Cambria Math" w:hAnsi="Cambria Math" w:cs="Arial"/>
                <w:noProof/>
                <w:lang w:val="en-US"/>
              </w:rPr>
              <m:t>h</m:t>
            </m:r>
          </m:e>
          <m:sub>
            <m:r>
              <w:rPr>
                <w:rFonts w:ascii="Cambria Math" w:hAnsi="Cambria Math" w:cs="Arial"/>
                <w:noProof/>
                <w:lang w:val="en-US"/>
              </w:rPr>
              <m:t>0g</m:t>
            </m:r>
          </m:sub>
        </m:sSub>
      </m:oMath>
      <w:r w:rsidRPr="00F1475E">
        <w:rPr>
          <w:rFonts w:ascii="Arial" w:eastAsiaTheme="minorEastAsia" w:hAnsi="Arial" w:cs="Arial"/>
          <w:noProof/>
          <w:lang w:val="en-US"/>
        </w:rPr>
        <w:t xml:space="preserve"> is the hazard function of all individuals in group </w:t>
      </w:r>
      <w:r w:rsidRPr="00F1475E">
        <w:rPr>
          <w:rFonts w:ascii="Arial" w:eastAsiaTheme="minorEastAsia" w:hAnsi="Arial" w:cs="Arial"/>
          <w:i/>
          <w:iCs/>
          <w:noProof/>
          <w:lang w:val="en-US"/>
        </w:rPr>
        <w:t>g</w:t>
      </w:r>
      <w:r w:rsidRPr="00F1475E">
        <w:rPr>
          <w:rFonts w:ascii="Arial" w:eastAsiaTheme="minorEastAsia" w:hAnsi="Arial" w:cs="Arial"/>
          <w:noProof/>
          <w:lang w:val="en-US"/>
        </w:rPr>
        <w:t>,</w:t>
      </w:r>
      <w:r w:rsidRPr="00F1475E">
        <w:rPr>
          <w:rFonts w:ascii="Arial" w:hAnsi="Arial" w:cs="Arial"/>
          <w:i/>
          <w:noProof/>
          <w:lang w:val="en-US"/>
        </w:rPr>
        <w:t xml:space="preserve"> </w:t>
      </w:r>
      <m:oMath>
        <m:sSub>
          <m:sSubPr>
            <m:ctrlPr>
              <w:rPr>
                <w:rFonts w:ascii="Cambria Math" w:hAnsi="Cambria Math" w:cs="Arial"/>
                <w:i/>
                <w:noProof/>
                <w:lang w:val="en-US"/>
              </w:rPr>
            </m:ctrlPr>
          </m:sSubPr>
          <m:e>
            <m:r>
              <w:rPr>
                <w:rFonts w:ascii="Cambria Math" w:hAnsi="Cambria Math" w:cs="Arial"/>
                <w:noProof/>
                <w:lang w:val="en-US"/>
              </w:rPr>
              <m:t>β</m:t>
            </m:r>
          </m:e>
          <m:sub>
            <m:r>
              <w:rPr>
                <w:rFonts w:ascii="Cambria Math" w:hAnsi="Cambria Math" w:cs="Arial"/>
                <w:noProof/>
                <w:lang w:val="en-US"/>
              </w:rPr>
              <m:t>g</m:t>
            </m:r>
          </m:sub>
        </m:sSub>
      </m:oMath>
      <w:r w:rsidRPr="00F1475E">
        <w:rPr>
          <w:rFonts w:ascii="Arial" w:eastAsiaTheme="minorEastAsia" w:hAnsi="Arial" w:cs="Arial"/>
          <w:noProof/>
          <w:lang w:val="en-US"/>
        </w:rPr>
        <w:t xml:space="preserve"> the coefficient in group </w:t>
      </w:r>
      <w:r w:rsidRPr="00F1475E">
        <w:rPr>
          <w:rFonts w:ascii="Arial" w:eastAsiaTheme="minorEastAsia" w:hAnsi="Arial" w:cs="Arial"/>
          <w:i/>
          <w:iCs/>
          <w:noProof/>
          <w:lang w:val="en-US"/>
        </w:rPr>
        <w:t>g</w:t>
      </w:r>
      <m:oMath>
        <m:r>
          <w:rPr>
            <w:rFonts w:ascii="Cambria Math" w:hAnsi="Cambria Math" w:cs="Arial"/>
            <w:noProof/>
            <w:lang w:val="en-US"/>
          </w:rPr>
          <m:t xml:space="preserve"> </m:t>
        </m:r>
        <m:r>
          <m:rPr>
            <m:sty m:val="p"/>
          </m:rPr>
          <w:rPr>
            <w:rFonts w:ascii="Cambria Math" w:hAnsi="Cambria Math" w:cs="Arial"/>
            <w:noProof/>
            <w:lang w:val="en-US"/>
          </w:rPr>
          <m:t>and</m:t>
        </m:r>
        <m:r>
          <w:rPr>
            <w:rFonts w:ascii="Cambria Math" w:hAnsi="Cambria Math" w:cs="Arial"/>
            <w:noProof/>
            <w:lang w:val="en-US"/>
          </w:rPr>
          <m:t xml:space="preserve"> </m:t>
        </m:r>
        <m:sSub>
          <m:sSubPr>
            <m:ctrlPr>
              <w:rPr>
                <w:rFonts w:ascii="Cambria Math" w:hAnsi="Cambria Math" w:cs="Arial"/>
                <w:i/>
                <w:noProof/>
                <w:lang w:val="en-US"/>
              </w:rPr>
            </m:ctrlPr>
          </m:sSubPr>
          <m:e>
            <m:r>
              <w:rPr>
                <w:rFonts w:ascii="Cambria Math" w:hAnsi="Cambria Math" w:cs="Arial"/>
                <w:noProof/>
                <w:lang w:val="en-US"/>
              </w:rPr>
              <m:t>x</m:t>
            </m:r>
          </m:e>
          <m:sub>
            <m:r>
              <w:rPr>
                <w:rFonts w:ascii="Cambria Math" w:hAnsi="Cambria Math" w:cs="Arial"/>
                <w:noProof/>
                <w:lang w:val="en-US"/>
              </w:rPr>
              <m:t>ig</m:t>
            </m:r>
          </m:sub>
        </m:sSub>
      </m:oMath>
      <w:r w:rsidRPr="00F1475E">
        <w:rPr>
          <w:rFonts w:ascii="Arial" w:eastAsiaTheme="minorEastAsia" w:hAnsi="Arial" w:cs="Arial"/>
          <w:noProof/>
          <w:lang w:val="en-US"/>
        </w:rPr>
        <w:t xml:space="preserve"> the variables of individual </w:t>
      </w:r>
      <w:r w:rsidRPr="00F1475E">
        <w:rPr>
          <w:rFonts w:ascii="Arial" w:eastAsiaTheme="minorEastAsia" w:hAnsi="Arial" w:cs="Arial"/>
          <w:i/>
          <w:iCs/>
          <w:noProof/>
          <w:lang w:val="en-US"/>
        </w:rPr>
        <w:t>i</w:t>
      </w:r>
      <w:r w:rsidR="00E427E4">
        <w:rPr>
          <w:rFonts w:ascii="Arial" w:eastAsiaTheme="minorEastAsia" w:hAnsi="Arial" w:cs="Arial"/>
          <w:noProof/>
          <w:lang w:val="en-US"/>
        </w:rPr>
        <w:t>.</w:t>
      </w:r>
    </w:p>
    <w:p w14:paraId="7E8457D8" w14:textId="77777777" w:rsidR="004A5999" w:rsidRDefault="004A5999"/>
    <w:sectPr w:rsidR="004A5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53"/>
    <w:rsid w:val="00023807"/>
    <w:rsid w:val="000E035F"/>
    <w:rsid w:val="002043AB"/>
    <w:rsid w:val="004A5999"/>
    <w:rsid w:val="004C3C72"/>
    <w:rsid w:val="00593DC4"/>
    <w:rsid w:val="005B2542"/>
    <w:rsid w:val="006377AC"/>
    <w:rsid w:val="006A5D45"/>
    <w:rsid w:val="006C63D6"/>
    <w:rsid w:val="006C792F"/>
    <w:rsid w:val="007C1E2C"/>
    <w:rsid w:val="008E2B32"/>
    <w:rsid w:val="008F6A75"/>
    <w:rsid w:val="009452C0"/>
    <w:rsid w:val="00A64CD7"/>
    <w:rsid w:val="00A73CD7"/>
    <w:rsid w:val="00B07D56"/>
    <w:rsid w:val="00CC3553"/>
    <w:rsid w:val="00D038AA"/>
    <w:rsid w:val="00D46363"/>
    <w:rsid w:val="00E3211D"/>
    <w:rsid w:val="00E427E4"/>
    <w:rsid w:val="00FB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9F68"/>
  <w15:chartTrackingRefBased/>
  <w15:docId w15:val="{411AB12E-3CF4-A04E-8C1F-C71B9B27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53"/>
    <w:rPr>
      <w:rFonts w:eastAsiaTheme="majorEastAsia" w:cstheme="majorBidi"/>
      <w:color w:val="272727" w:themeColor="text1" w:themeTint="D8"/>
    </w:rPr>
  </w:style>
  <w:style w:type="paragraph" w:styleId="Title">
    <w:name w:val="Title"/>
    <w:basedOn w:val="Normal"/>
    <w:next w:val="Normal"/>
    <w:link w:val="TitleChar"/>
    <w:uiPriority w:val="10"/>
    <w:qFormat/>
    <w:rsid w:val="00CC3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553"/>
    <w:rPr>
      <w:i/>
      <w:iCs/>
      <w:color w:val="404040" w:themeColor="text1" w:themeTint="BF"/>
    </w:rPr>
  </w:style>
  <w:style w:type="paragraph" w:styleId="ListParagraph">
    <w:name w:val="List Paragraph"/>
    <w:basedOn w:val="Normal"/>
    <w:uiPriority w:val="34"/>
    <w:qFormat/>
    <w:rsid w:val="00CC3553"/>
    <w:pPr>
      <w:ind w:left="720"/>
      <w:contextualSpacing/>
    </w:pPr>
  </w:style>
  <w:style w:type="character" w:styleId="IntenseEmphasis">
    <w:name w:val="Intense Emphasis"/>
    <w:basedOn w:val="DefaultParagraphFont"/>
    <w:uiPriority w:val="21"/>
    <w:qFormat/>
    <w:rsid w:val="00CC3553"/>
    <w:rPr>
      <w:i/>
      <w:iCs/>
      <w:color w:val="0F4761" w:themeColor="accent1" w:themeShade="BF"/>
    </w:rPr>
  </w:style>
  <w:style w:type="paragraph" w:styleId="IntenseQuote">
    <w:name w:val="Intense Quote"/>
    <w:basedOn w:val="Normal"/>
    <w:next w:val="Normal"/>
    <w:link w:val="IntenseQuoteChar"/>
    <w:uiPriority w:val="30"/>
    <w:qFormat/>
    <w:rsid w:val="00CC3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553"/>
    <w:rPr>
      <w:i/>
      <w:iCs/>
      <w:color w:val="0F4761" w:themeColor="accent1" w:themeShade="BF"/>
    </w:rPr>
  </w:style>
  <w:style w:type="character" w:styleId="IntenseReference">
    <w:name w:val="Intense Reference"/>
    <w:basedOn w:val="DefaultParagraphFont"/>
    <w:uiPriority w:val="32"/>
    <w:qFormat/>
    <w:rsid w:val="00CC3553"/>
    <w:rPr>
      <w:b/>
      <w:bCs/>
      <w:smallCaps/>
      <w:color w:val="0F4761" w:themeColor="accent1" w:themeShade="BF"/>
      <w:spacing w:val="5"/>
    </w:rPr>
  </w:style>
  <w:style w:type="character" w:styleId="CommentReference">
    <w:name w:val="annotation reference"/>
    <w:basedOn w:val="DefaultParagraphFont"/>
    <w:uiPriority w:val="99"/>
    <w:semiHidden/>
    <w:unhideWhenUsed/>
    <w:rsid w:val="004A5999"/>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E427E4"/>
  </w:style>
  <w:style w:type="paragraph" w:styleId="CommentSubject">
    <w:name w:val="annotation subject"/>
    <w:basedOn w:val="CommentText"/>
    <w:next w:val="CommentText"/>
    <w:link w:val="CommentSubjectChar"/>
    <w:uiPriority w:val="99"/>
    <w:semiHidden/>
    <w:unhideWhenUsed/>
    <w:rsid w:val="006377AC"/>
    <w:rPr>
      <w:b/>
      <w:bCs/>
    </w:rPr>
  </w:style>
  <w:style w:type="character" w:customStyle="1" w:styleId="CommentSubjectChar">
    <w:name w:val="Comment Subject Char"/>
    <w:basedOn w:val="CommentTextChar"/>
    <w:link w:val="CommentSubject"/>
    <w:uiPriority w:val="99"/>
    <w:semiHidden/>
    <w:rsid w:val="006377AC"/>
    <w:rPr>
      <w:b/>
      <w:bCs/>
      <w:sz w:val="20"/>
      <w:szCs w:val="20"/>
    </w:rPr>
  </w:style>
  <w:style w:type="paragraph" w:styleId="BalloonText">
    <w:name w:val="Balloon Text"/>
    <w:basedOn w:val="Normal"/>
    <w:link w:val="BalloonTextChar"/>
    <w:uiPriority w:val="99"/>
    <w:semiHidden/>
    <w:unhideWhenUsed/>
    <w:rsid w:val="0063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Templeman, Erin</dc:creator>
  <cp:keywords/>
  <dc:description/>
  <cp:lastModifiedBy>Templeman, Erin</cp:lastModifiedBy>
  <cp:revision>4</cp:revision>
  <dcterms:created xsi:type="dcterms:W3CDTF">2024-10-31T15:25:00Z</dcterms:created>
  <dcterms:modified xsi:type="dcterms:W3CDTF">2024-12-06T16:29:00Z</dcterms:modified>
</cp:coreProperties>
</file>