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Table 2. PP analysis: procedure results for the two groups</w:t>
      </w:r>
    </w:p>
    <w:p>
      <w:pPr>
        <w:spacing w:line="360" w:lineRule="auto"/>
        <w:ind w:firstLine="562" w:firstLineChars="200"/>
        <w:jc w:val="center"/>
        <w:rPr>
          <w:b/>
          <w:bCs/>
          <w:sz w:val="28"/>
          <w:szCs w:val="28"/>
          <w14:ligatures w14:val="none"/>
        </w:rPr>
      </w:pPr>
      <w:bookmarkStart w:id="9" w:name="_GoBack"/>
      <w:bookmarkEnd w:id="9"/>
    </w:p>
    <w:tbl>
      <w:tblPr>
        <w:tblStyle w:val="4"/>
        <w:tblW w:w="8522" w:type="dxa"/>
        <w:tblInd w:w="-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2694"/>
        <w:gridCol w:w="1842"/>
        <w:gridCol w:w="2127"/>
        <w:gridCol w:w="17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ORB-MR group (n = 27)</w:t>
            </w: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C-ESD group</w:t>
            </w:r>
          </w:p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(n = 23)</w:t>
            </w:r>
          </w:p>
        </w:tc>
        <w:tc>
          <w:tcPr>
            <w:tcW w:w="17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:i/>
                <w14:ligatures w14:val="none"/>
              </w:rPr>
              <w:t xml:space="preserve">P  </w:t>
            </w:r>
            <w:r>
              <w:rPr>
                <w:rFonts w:ascii="Times New Roman" w:hAnsi="Times New Roman"/>
                <w:iCs/>
                <w14:ligatures w14:val="none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  <w:t>Resection speed, mm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/min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bookmarkStart w:id="0" w:name="_Hlk157580916"/>
            <w:r>
              <w:rPr>
                <w:rFonts w:ascii="Times New Roman" w:hAnsi="Times New Roman"/>
                <w14:ligatures w14:val="none"/>
              </w:rPr>
              <w:t>11.61±3.79</w:t>
            </w:r>
            <w:bookmarkEnd w:id="0"/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bookmarkStart w:id="1" w:name="_Hlk157581000"/>
            <w:r>
              <w:rPr>
                <w:rFonts w:ascii="Times New Roman" w:hAnsi="Times New Roman"/>
                <w14:ligatures w14:val="none"/>
              </w:rPr>
              <w:t>6.66±2.29</w:t>
            </w:r>
            <w:bookmarkEnd w:id="1"/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&lt; 0.001</w:t>
            </w:r>
            <w:r>
              <w:rPr>
                <w:rFonts w:ascii="Times New Roman" w:hAnsi="Times New Roman"/>
                <w:vertAlign w:val="superscript"/>
                <w14:ligatures w14:val="none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  <w:t>Operative time, min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bookmarkStart w:id="2" w:name="_Hlk157581056"/>
            <w:r>
              <w:rPr>
                <w:rFonts w:ascii="Times New Roman" w:hAnsi="Times New Roman"/>
                <w14:ligatures w14:val="none"/>
              </w:rPr>
              <w:t>33.37±6.38</w:t>
            </w:r>
            <w:bookmarkEnd w:id="2"/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bookmarkStart w:id="3" w:name="_Hlk157581079"/>
            <w:r>
              <w:rPr>
                <w:rFonts w:ascii="Times New Roman" w:hAnsi="Times New Roman"/>
                <w14:ligatures w14:val="none"/>
              </w:rPr>
              <w:t>51.08±9.20</w:t>
            </w:r>
            <w:bookmarkEnd w:id="3"/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&lt; 0.001</w:t>
            </w:r>
            <w:r>
              <w:rPr>
                <w:rFonts w:ascii="Times New Roman" w:hAnsi="Times New Roman"/>
                <w:vertAlign w:val="superscript"/>
                <w14:ligatures w14:val="none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Lesion size, mm 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24.07±4.36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23.00±5.06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0.419</w:t>
            </w:r>
            <w:r>
              <w:rPr>
                <w:rFonts w:ascii="Times New Roman" w:hAnsi="Times New Roman"/>
                <w:vertAlign w:val="superscript"/>
                <w14:ligatures w14:val="none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  <w:t>Submucosal injection volume, mL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bookmarkStart w:id="4" w:name="_Hlk157581111"/>
            <w:r>
              <w:rPr>
                <w:rFonts w:ascii="Times New Roman" w:hAnsi="Times New Roman"/>
                <w14:ligatures w14:val="none"/>
              </w:rPr>
              <w:t>20.93±5.53</w:t>
            </w:r>
            <w:bookmarkEnd w:id="4"/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bookmarkStart w:id="5" w:name="_Hlk157581125"/>
            <w:r>
              <w:rPr>
                <w:rFonts w:ascii="Times New Roman" w:hAnsi="Times New Roman"/>
                <w14:ligatures w14:val="none"/>
              </w:rPr>
              <w:t>39.50±11.44</w:t>
            </w:r>
            <w:bookmarkEnd w:id="5"/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&lt; 0.001</w:t>
            </w:r>
            <w:r>
              <w:rPr>
                <w:rFonts w:ascii="Times New Roman" w:hAnsi="Times New Roman"/>
                <w:vertAlign w:val="superscript"/>
                <w14:ligatures w14:val="none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Visual field satisfaction, (IQR)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5 (5,5)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4 (3,4)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&lt; 0.001</w:t>
            </w:r>
            <w:r>
              <w:rPr>
                <w:rFonts w:ascii="Times New Roman" w:hAnsi="Times New Roman"/>
                <w:vertAlign w:val="superscript"/>
                <w14:ligatures w14:val="none"/>
              </w:rPr>
              <w:t>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Muscle injury, n (%)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0.</w:t>
            </w:r>
            <w:bookmarkStart w:id="6" w:name="_Hlk157581380"/>
            <w:r>
              <w:rPr>
                <w:rFonts w:ascii="Times New Roman" w:hAnsi="Times New Roman"/>
                <w14:ligatures w14:val="none"/>
              </w:rPr>
              <w:t>011</w:t>
            </w:r>
            <w:bookmarkEnd w:id="6"/>
            <w:r>
              <w:rPr>
                <w:rFonts w:ascii="Times New Roman" w:hAnsi="Times New Roman"/>
                <w:vertAlign w:val="superscript"/>
                <w14:ligatures w14:val="none"/>
              </w:rPr>
              <w:t>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  Yes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6 (</w:t>
            </w:r>
            <w:bookmarkStart w:id="7" w:name="_Hlk157581358"/>
            <w:r>
              <w:rPr>
                <w:rFonts w:ascii="Times New Roman" w:hAnsi="Times New Roman"/>
                <w14:ligatures w14:val="none"/>
              </w:rPr>
              <w:t>22.2</w:t>
            </w:r>
            <w:bookmarkEnd w:id="7"/>
            <w:r>
              <w:rPr>
                <w:rFonts w:ascii="Times New Roman" w:hAnsi="Times New Roman"/>
                <w14:ligatures w14:val="none"/>
              </w:rPr>
              <w:t>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14 (</w:t>
            </w:r>
            <w:bookmarkStart w:id="8" w:name="_Hlk157581368"/>
            <w:r>
              <w:rPr>
                <w:rFonts w:ascii="Times New Roman" w:hAnsi="Times New Roman"/>
                <w14:ligatures w14:val="none"/>
              </w:rPr>
              <w:t>58.3</w:t>
            </w:r>
            <w:bookmarkEnd w:id="8"/>
            <w:r>
              <w:rPr>
                <w:rFonts w:ascii="Times New Roman" w:hAnsi="Times New Roman"/>
                <w14:ligatures w14:val="none"/>
              </w:rPr>
              <w:t>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  No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21 (77.8)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10 (41.7)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En-bloc resection, n (%)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26</w:t>
            </w:r>
            <w:r>
              <w:rPr>
                <w:rFonts w:hint="eastAsia" w:ascii="Times New Roman" w:hAnsi="Times New Roman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14:ligatures w14:val="none"/>
              </w:rPr>
              <w:t>(96.3</w:t>
            </w:r>
            <w:r>
              <w:rPr>
                <w:rFonts w:hint="eastAsia" w:ascii="Times New Roman" w:hAnsi="Times New Roman"/>
                <w14:ligatures w14:val="none"/>
              </w:rPr>
              <w:t>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20</w:t>
            </w:r>
            <w:r>
              <w:rPr>
                <w:rFonts w:hint="eastAsia" w:ascii="Times New Roman" w:hAnsi="Times New Roman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14:ligatures w14:val="none"/>
              </w:rPr>
              <w:t>(83.3</w:t>
            </w:r>
            <w:r>
              <w:rPr>
                <w:rFonts w:hint="eastAsia" w:ascii="Times New Roman" w:hAnsi="Times New Roman"/>
                <w14:ligatures w14:val="none"/>
              </w:rPr>
              <w:t>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0.175</w:t>
            </w:r>
            <w:r>
              <w:rPr>
                <w:rFonts w:ascii="Times New Roman" w:hAnsi="Times New Roman"/>
                <w:vertAlign w:val="superscript"/>
                <w14:ligatures w14:val="none"/>
              </w:rPr>
              <w:t>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ESD completion rate, n (%)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1</w:t>
            </w:r>
            <w:r>
              <w:rPr>
                <w:rFonts w:hint="eastAsia" w:ascii="Times New Roman" w:hAnsi="Times New Roman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14:ligatures w14:val="none"/>
              </w:rPr>
              <w:t>(3.7</w:t>
            </w:r>
            <w:r>
              <w:rPr>
                <w:rFonts w:hint="eastAsia" w:ascii="Times New Roman" w:hAnsi="Times New Roman"/>
                <w14:ligatures w14:val="none"/>
              </w:rPr>
              <w:t>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2</w:t>
            </w:r>
            <w:r>
              <w:rPr>
                <w:rFonts w:hint="eastAsia" w:ascii="Times New Roman" w:hAnsi="Times New Roman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14:ligatures w14:val="none"/>
              </w:rPr>
              <w:t>(8.3</w:t>
            </w:r>
            <w:r>
              <w:rPr>
                <w:rFonts w:hint="eastAsia" w:ascii="Times New Roman" w:hAnsi="Times New Roman"/>
                <w14:ligatures w14:val="none"/>
              </w:rPr>
              <w:t>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0.595</w:t>
            </w:r>
            <w:r>
              <w:rPr>
                <w:rFonts w:ascii="Times New Roman" w:hAnsi="Times New Roman"/>
                <w:vertAlign w:val="superscript"/>
                <w14:ligatures w14:val="none"/>
              </w:rPr>
              <w:t>F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MmU5ODhmYmQ2NjdlMDU5OWUwODRhNGE3Njk3ZmMifQ=="/>
  </w:docVars>
  <w:rsids>
    <w:rsidRoot w:val="00000000"/>
    <w:rsid w:val="42D6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1"/>
    <w:basedOn w:val="2"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2024-03-02T14:27:15Z</dcterms:created>
  <dc:creator>Lenovo</dc:creator>
  <cp:lastModifiedBy>陈龙平</cp:lastModifiedBy>
  <dcterms:modified xsi:type="dcterms:W3CDTF">2024-03-02T14:27:25Z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107692824E0A419CAB6C8DC99304B413_12</vt:lpwstr>
  </property>
</Properties>
</file>