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15" w:type="dxa"/>
        <w:tblLook w:val="04A0" w:firstRow="1" w:lastRow="0" w:firstColumn="1" w:lastColumn="0" w:noHBand="0" w:noVBand="1"/>
      </w:tblPr>
      <w:tblGrid>
        <w:gridCol w:w="5040"/>
        <w:gridCol w:w="2045"/>
        <w:gridCol w:w="2730"/>
      </w:tblGrid>
      <w:tr w:rsidR="00EF5D7D" w:rsidRPr="005D196A" w14:paraId="119555A8" w14:textId="77777777" w:rsidTr="003E6213">
        <w:trPr>
          <w:trHeight w:val="229"/>
        </w:trPr>
        <w:tc>
          <w:tcPr>
            <w:tcW w:w="9815" w:type="dxa"/>
            <w:gridSpan w:val="3"/>
          </w:tcPr>
          <w:p w14:paraId="16212BAD" w14:textId="1AC21A6C" w:rsidR="00EF5D7D" w:rsidRPr="005D196A" w:rsidRDefault="008078C8" w:rsidP="00B60D38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Supplementary Table </w:t>
            </w:r>
            <w:r w:rsidR="007B37F9">
              <w:rPr>
                <w:rFonts w:ascii="Times New Roman" w:hAnsi="Times New Roman" w:cs="Times New Roman"/>
                <w:b/>
                <w:bCs/>
              </w:rPr>
              <w:t>3</w:t>
            </w:r>
            <w:r w:rsidR="00EF5D7D" w:rsidRPr="005D196A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EF5D7D" w:rsidRPr="005D196A">
              <w:rPr>
                <w:rFonts w:ascii="Times New Roman" w:hAnsi="Times New Roman" w:cs="Times New Roman"/>
              </w:rPr>
              <w:t>Comparison of secondary outcomes among this study’s population to rates reported in previously published studies.</w:t>
            </w:r>
          </w:p>
        </w:tc>
      </w:tr>
      <w:tr w:rsidR="00EF5D7D" w:rsidRPr="005D196A" w14:paraId="1AC21A6C" w14:textId="77777777" w:rsidTr="003E6213">
        <w:trPr>
          <w:trHeight w:val="216"/>
        </w:trPr>
        <w:tc>
          <w:tcPr>
            <w:tcW w:w="5040" w:type="dxa"/>
          </w:tcPr>
          <w:p w14:paraId="2903BE49" w14:textId="77777777" w:rsidR="00EF5D7D" w:rsidRPr="005D196A" w:rsidRDefault="00EF5D7D" w:rsidP="00B60D38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45" w:type="dxa"/>
          </w:tcPr>
          <w:p w14:paraId="0FA7CF76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96A">
              <w:rPr>
                <w:rFonts w:ascii="Times New Roman" w:hAnsi="Times New Roman" w:cs="Times New Roman"/>
                <w:b/>
                <w:bCs/>
              </w:rPr>
              <w:t>All</w:t>
            </w:r>
          </w:p>
        </w:tc>
        <w:tc>
          <w:tcPr>
            <w:tcW w:w="2730" w:type="dxa"/>
          </w:tcPr>
          <w:p w14:paraId="33CEACA6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196A">
              <w:rPr>
                <w:rFonts w:ascii="Times New Roman" w:hAnsi="Times New Roman" w:cs="Times New Roman"/>
                <w:b/>
                <w:bCs/>
              </w:rPr>
              <w:t>Prior studies</w:t>
            </w:r>
          </w:p>
        </w:tc>
      </w:tr>
      <w:tr w:rsidR="00EF5D7D" w:rsidRPr="005D196A" w14:paraId="57541F86" w14:textId="77777777" w:rsidTr="003E6213">
        <w:trPr>
          <w:trHeight w:val="229"/>
        </w:trPr>
        <w:tc>
          <w:tcPr>
            <w:tcW w:w="5040" w:type="dxa"/>
          </w:tcPr>
          <w:p w14:paraId="237C6AF7" w14:textId="77777777" w:rsidR="00EF5D7D" w:rsidRPr="005D196A" w:rsidRDefault="00EF5D7D" w:rsidP="00B60D38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5D196A">
              <w:rPr>
                <w:rFonts w:ascii="Times New Roman" w:hAnsi="Times New Roman" w:cs="Times New Roman"/>
                <w:b/>
                <w:bCs/>
              </w:rPr>
              <w:t>Neonatal outcome composite</w:t>
            </w:r>
          </w:p>
        </w:tc>
        <w:tc>
          <w:tcPr>
            <w:tcW w:w="2045" w:type="dxa"/>
          </w:tcPr>
          <w:p w14:paraId="77205560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>83 (39.9%)</w:t>
            </w:r>
          </w:p>
        </w:tc>
        <w:tc>
          <w:tcPr>
            <w:tcW w:w="2730" w:type="dxa"/>
          </w:tcPr>
          <w:p w14:paraId="2E78474D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 xml:space="preserve">20-50% </w:t>
            </w:r>
            <w:r w:rsidRPr="005D196A">
              <w:rPr>
                <w:rFonts w:ascii="Times New Roman" w:hAnsi="Times New Roman" w:cs="Times New Roman"/>
                <w:vertAlign w:val="superscript"/>
              </w:rPr>
              <w:t>21, 26</w:t>
            </w:r>
          </w:p>
        </w:tc>
      </w:tr>
      <w:tr w:rsidR="00EF5D7D" w:rsidRPr="005D196A" w14:paraId="44B8973C" w14:textId="77777777" w:rsidTr="003E6213">
        <w:trPr>
          <w:trHeight w:val="216"/>
        </w:trPr>
        <w:tc>
          <w:tcPr>
            <w:tcW w:w="5040" w:type="dxa"/>
          </w:tcPr>
          <w:p w14:paraId="514A4D9E" w14:textId="77777777" w:rsidR="00EF5D7D" w:rsidRPr="005D196A" w:rsidRDefault="00EF5D7D" w:rsidP="00B60D38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IVH</w:t>
            </w:r>
          </w:p>
        </w:tc>
        <w:tc>
          <w:tcPr>
            <w:tcW w:w="2045" w:type="dxa"/>
          </w:tcPr>
          <w:p w14:paraId="2A907C7E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>6 (2.9%)</w:t>
            </w:r>
          </w:p>
        </w:tc>
        <w:tc>
          <w:tcPr>
            <w:tcW w:w="2730" w:type="dxa"/>
          </w:tcPr>
          <w:p w14:paraId="0404BC4D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 xml:space="preserve">1-5% </w:t>
            </w:r>
            <w:r w:rsidRPr="005D196A">
              <w:rPr>
                <w:rFonts w:ascii="Times New Roman" w:hAnsi="Times New Roman" w:cs="Times New Roman"/>
                <w:vertAlign w:val="superscript"/>
              </w:rPr>
              <w:t>20, 21, 26, 27</w:t>
            </w:r>
          </w:p>
        </w:tc>
      </w:tr>
      <w:tr w:rsidR="00EF5D7D" w:rsidRPr="005D196A" w14:paraId="6DC77659" w14:textId="77777777" w:rsidTr="003E6213">
        <w:trPr>
          <w:trHeight w:val="229"/>
        </w:trPr>
        <w:tc>
          <w:tcPr>
            <w:tcW w:w="5040" w:type="dxa"/>
          </w:tcPr>
          <w:p w14:paraId="788EBAA6" w14:textId="77777777" w:rsidR="00EF5D7D" w:rsidRPr="005D196A" w:rsidRDefault="00EF5D7D" w:rsidP="00B60D38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NEC</w:t>
            </w:r>
          </w:p>
        </w:tc>
        <w:tc>
          <w:tcPr>
            <w:tcW w:w="2045" w:type="dxa"/>
          </w:tcPr>
          <w:p w14:paraId="169B7B0D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</w:tcPr>
          <w:p w14:paraId="65CC683A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 xml:space="preserve">0-5.6% </w:t>
            </w:r>
            <w:r w:rsidRPr="005D196A">
              <w:rPr>
                <w:rFonts w:ascii="Times New Roman" w:hAnsi="Times New Roman" w:cs="Times New Roman"/>
                <w:vertAlign w:val="superscript"/>
              </w:rPr>
              <w:t>20, 21, 26, 27</w:t>
            </w:r>
            <w:r w:rsidRPr="005D19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5D7D" w:rsidRPr="005D196A" w14:paraId="497F1559" w14:textId="77777777" w:rsidTr="003E6213">
        <w:trPr>
          <w:trHeight w:val="191"/>
        </w:trPr>
        <w:tc>
          <w:tcPr>
            <w:tcW w:w="5040" w:type="dxa"/>
          </w:tcPr>
          <w:p w14:paraId="18142926" w14:textId="77777777" w:rsidR="00EF5D7D" w:rsidRPr="005D196A" w:rsidRDefault="00EF5D7D" w:rsidP="00B60D38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RDS</w:t>
            </w:r>
          </w:p>
        </w:tc>
        <w:tc>
          <w:tcPr>
            <w:tcW w:w="2045" w:type="dxa"/>
          </w:tcPr>
          <w:p w14:paraId="587B512C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>44 (21.2%)</w:t>
            </w:r>
          </w:p>
        </w:tc>
        <w:tc>
          <w:tcPr>
            <w:tcW w:w="2730" w:type="dxa"/>
          </w:tcPr>
          <w:p w14:paraId="0DE5F1EF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 xml:space="preserve">19-34% </w:t>
            </w:r>
            <w:r w:rsidRPr="005D196A">
              <w:rPr>
                <w:rFonts w:ascii="Times New Roman" w:hAnsi="Times New Roman" w:cs="Times New Roman"/>
                <w:vertAlign w:val="superscript"/>
              </w:rPr>
              <w:t>20, 21, 26, 27</w:t>
            </w:r>
          </w:p>
        </w:tc>
      </w:tr>
      <w:tr w:rsidR="00EF5D7D" w:rsidRPr="005D196A" w14:paraId="2F14D77D" w14:textId="77777777" w:rsidTr="003E6213">
        <w:trPr>
          <w:trHeight w:val="216"/>
        </w:trPr>
        <w:tc>
          <w:tcPr>
            <w:tcW w:w="5040" w:type="dxa"/>
          </w:tcPr>
          <w:p w14:paraId="2B62C1AA" w14:textId="77777777" w:rsidR="00EF5D7D" w:rsidRPr="005D196A" w:rsidRDefault="00EF5D7D" w:rsidP="00B60D3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>Sepsis</w:t>
            </w:r>
          </w:p>
        </w:tc>
        <w:tc>
          <w:tcPr>
            <w:tcW w:w="2045" w:type="dxa"/>
          </w:tcPr>
          <w:p w14:paraId="06AC516E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>10 (4.8%)</w:t>
            </w:r>
          </w:p>
        </w:tc>
        <w:tc>
          <w:tcPr>
            <w:tcW w:w="2730" w:type="dxa"/>
          </w:tcPr>
          <w:p w14:paraId="1BBCA50E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 xml:space="preserve">7.5-36% </w:t>
            </w:r>
            <w:r w:rsidRPr="005D196A">
              <w:rPr>
                <w:rFonts w:ascii="Times New Roman" w:hAnsi="Times New Roman" w:cs="Times New Roman"/>
                <w:vertAlign w:val="superscript"/>
              </w:rPr>
              <w:t>20, 21, 26, 27</w:t>
            </w:r>
          </w:p>
        </w:tc>
      </w:tr>
      <w:tr w:rsidR="00EF5D7D" w:rsidRPr="005D196A" w14:paraId="57EB16EF" w14:textId="77777777" w:rsidTr="003E6213">
        <w:trPr>
          <w:trHeight w:val="229"/>
        </w:trPr>
        <w:tc>
          <w:tcPr>
            <w:tcW w:w="5040" w:type="dxa"/>
          </w:tcPr>
          <w:p w14:paraId="4D9BA23D" w14:textId="77777777" w:rsidR="00EF5D7D" w:rsidRPr="005D196A" w:rsidRDefault="00EF5D7D" w:rsidP="00B60D38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5D196A">
              <w:rPr>
                <w:rFonts w:ascii="Times New Roman" w:hAnsi="Times New Roman" w:cs="Times New Roman"/>
                <w:b/>
                <w:bCs/>
              </w:rPr>
              <w:t>Obstetric outcome composite</w:t>
            </w:r>
          </w:p>
        </w:tc>
        <w:tc>
          <w:tcPr>
            <w:tcW w:w="2045" w:type="dxa"/>
          </w:tcPr>
          <w:p w14:paraId="66ABD11B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</w:tcPr>
          <w:p w14:paraId="6881D591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D7D" w:rsidRPr="005D196A" w14:paraId="4EA8F1E8" w14:textId="77777777" w:rsidTr="003E6213">
        <w:trPr>
          <w:trHeight w:val="278"/>
        </w:trPr>
        <w:tc>
          <w:tcPr>
            <w:tcW w:w="5040" w:type="dxa"/>
          </w:tcPr>
          <w:p w14:paraId="70DBA0F1" w14:textId="77777777" w:rsidR="00EF5D7D" w:rsidRPr="005D196A" w:rsidRDefault="00EF5D7D" w:rsidP="00B60D38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HDP</w:t>
            </w:r>
          </w:p>
        </w:tc>
        <w:tc>
          <w:tcPr>
            <w:tcW w:w="2045" w:type="dxa"/>
          </w:tcPr>
          <w:p w14:paraId="34BA40C0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>73 (32.6%)</w:t>
            </w:r>
          </w:p>
        </w:tc>
        <w:tc>
          <w:tcPr>
            <w:tcW w:w="2730" w:type="dxa"/>
          </w:tcPr>
          <w:p w14:paraId="6852E1AF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 xml:space="preserve">11-54% </w:t>
            </w:r>
            <w:r w:rsidRPr="005D196A">
              <w:rPr>
                <w:rFonts w:ascii="Times New Roman" w:hAnsi="Times New Roman" w:cs="Times New Roman"/>
                <w:vertAlign w:val="superscript"/>
              </w:rPr>
              <w:t>20, 21, 26, 28, 30</w:t>
            </w:r>
            <w:r w:rsidRPr="005D196A">
              <w:rPr>
                <w:rFonts w:ascii="Times New Roman" w:hAnsi="Times New Roman" w:cs="Times New Roman"/>
              </w:rPr>
              <w:t xml:space="preserve"> †</w:t>
            </w:r>
          </w:p>
        </w:tc>
      </w:tr>
      <w:tr w:rsidR="00EF5D7D" w:rsidRPr="005D196A" w14:paraId="0919292E" w14:textId="77777777" w:rsidTr="003E6213">
        <w:trPr>
          <w:trHeight w:val="216"/>
        </w:trPr>
        <w:tc>
          <w:tcPr>
            <w:tcW w:w="5040" w:type="dxa"/>
          </w:tcPr>
          <w:p w14:paraId="42552A5F" w14:textId="77777777" w:rsidR="00EF5D7D" w:rsidRPr="005D196A" w:rsidRDefault="00EF5D7D" w:rsidP="00B60D3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>Placental abruption</w:t>
            </w:r>
          </w:p>
        </w:tc>
        <w:tc>
          <w:tcPr>
            <w:tcW w:w="2045" w:type="dxa"/>
          </w:tcPr>
          <w:p w14:paraId="5847573A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>6 (2.7%)</w:t>
            </w:r>
          </w:p>
        </w:tc>
        <w:tc>
          <w:tcPr>
            <w:tcW w:w="2730" w:type="dxa"/>
          </w:tcPr>
          <w:p w14:paraId="43EA284F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 xml:space="preserve">2% </w:t>
            </w:r>
            <w:r w:rsidRPr="005D196A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</w:tr>
      <w:tr w:rsidR="00EF5D7D" w:rsidRPr="005D196A" w14:paraId="2B1E86B8" w14:textId="77777777" w:rsidTr="003E6213">
        <w:trPr>
          <w:trHeight w:val="229"/>
        </w:trPr>
        <w:tc>
          <w:tcPr>
            <w:tcW w:w="5040" w:type="dxa"/>
          </w:tcPr>
          <w:p w14:paraId="254D9252" w14:textId="77777777" w:rsidR="00EF5D7D" w:rsidRPr="005D196A" w:rsidRDefault="00EF5D7D" w:rsidP="00B60D38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PTD</w:t>
            </w:r>
          </w:p>
        </w:tc>
        <w:tc>
          <w:tcPr>
            <w:tcW w:w="2045" w:type="dxa"/>
          </w:tcPr>
          <w:p w14:paraId="2BF307A4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>78 (34.8%)</w:t>
            </w:r>
          </w:p>
        </w:tc>
        <w:tc>
          <w:tcPr>
            <w:tcW w:w="2730" w:type="dxa"/>
          </w:tcPr>
          <w:p w14:paraId="2578ECBB" w14:textId="77777777" w:rsidR="00EF5D7D" w:rsidRPr="005D196A" w:rsidRDefault="00EF5D7D" w:rsidP="00B60D38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 xml:space="preserve">22.5-74% </w:t>
            </w:r>
            <w:r w:rsidRPr="005D196A">
              <w:rPr>
                <w:rFonts w:ascii="Times New Roman" w:hAnsi="Times New Roman" w:cs="Times New Roman"/>
                <w:vertAlign w:val="superscript"/>
              </w:rPr>
              <w:t>20, 21, 23</w:t>
            </w:r>
            <w:r w:rsidRPr="005D196A">
              <w:rPr>
                <w:rFonts w:ascii="Times New Roman" w:hAnsi="Times New Roman" w:cs="Times New Roman"/>
              </w:rPr>
              <w:t>‡</w:t>
            </w:r>
          </w:p>
        </w:tc>
      </w:tr>
      <w:tr w:rsidR="00EF5D7D" w:rsidRPr="005D196A" w14:paraId="4A31BEA8" w14:textId="77777777" w:rsidTr="003E6213">
        <w:trPr>
          <w:trHeight w:val="216"/>
        </w:trPr>
        <w:tc>
          <w:tcPr>
            <w:tcW w:w="9815" w:type="dxa"/>
            <w:gridSpan w:val="3"/>
          </w:tcPr>
          <w:p w14:paraId="4D2310F1" w14:textId="77777777" w:rsidR="00EF5D7D" w:rsidRPr="0037706E" w:rsidRDefault="00EF5D7D" w:rsidP="00B60D38">
            <w:pPr>
              <w:spacing w:line="48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Abbreviations: IVH (intraventricular hemorrhage); NEC (necrotizing enterocolitis); RDS (respiratory distress syndrome); HDP (hypertensive disorder of pregnancy); PTD (preterm delivery)</w:t>
            </w:r>
          </w:p>
          <w:p w14:paraId="554DCE0F" w14:textId="77777777" w:rsidR="00EF5D7D" w:rsidRPr="005D196A" w:rsidRDefault="00EF5D7D" w:rsidP="00B60D3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>†Mendoza et al (2021) report on the rate of pregnancies electively delivered for the indication of preeclampsia.</w:t>
            </w:r>
          </w:p>
          <w:p w14:paraId="24E6ED7E" w14:textId="77777777" w:rsidR="00EF5D7D" w:rsidRPr="005D196A" w:rsidRDefault="00EF5D7D" w:rsidP="00B60D3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D196A">
              <w:rPr>
                <w:rFonts w:ascii="Times New Roman" w:hAnsi="Times New Roman" w:cs="Times New Roman"/>
              </w:rPr>
              <w:t xml:space="preserve">‡ Li et al (2014) report on the rate of pregnancies delivered prior to 34 weeks. </w:t>
            </w:r>
            <w:proofErr w:type="spellStart"/>
            <w:r w:rsidRPr="005D196A">
              <w:rPr>
                <w:rFonts w:ascii="Times New Roman" w:hAnsi="Times New Roman" w:cs="Times New Roman"/>
              </w:rPr>
              <w:t>Meler</w:t>
            </w:r>
            <w:proofErr w:type="spellEnd"/>
            <w:r w:rsidRPr="005D196A">
              <w:rPr>
                <w:rFonts w:ascii="Times New Roman" w:hAnsi="Times New Roman" w:cs="Times New Roman"/>
              </w:rPr>
              <w:t xml:space="preserve"> et al (2023) report on the rate of pregnancies delivered prior to 32 weeks.</w:t>
            </w:r>
          </w:p>
        </w:tc>
      </w:tr>
    </w:tbl>
    <w:p w14:paraId="716C2299" w14:textId="77777777" w:rsidR="008078C8" w:rsidRDefault="008078C8"/>
    <w:sectPr w:rsidR="00807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7D"/>
    <w:rsid w:val="00293B70"/>
    <w:rsid w:val="00547CD8"/>
    <w:rsid w:val="006A697C"/>
    <w:rsid w:val="007B37F9"/>
    <w:rsid w:val="008078C8"/>
    <w:rsid w:val="00856971"/>
    <w:rsid w:val="009F6ED5"/>
    <w:rsid w:val="00B60D38"/>
    <w:rsid w:val="00EF5D7D"/>
    <w:rsid w:val="00F0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3F42"/>
  <w15:chartTrackingRefBased/>
  <w15:docId w15:val="{4D207D1E-95A5-4B9B-AD7E-805AEC73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MetroHealth Systems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Lemoine</dc:creator>
  <cp:keywords/>
  <dc:description/>
  <cp:lastModifiedBy>Felicia LeMoine</cp:lastModifiedBy>
  <cp:revision>3</cp:revision>
  <dcterms:created xsi:type="dcterms:W3CDTF">2025-01-05T23:19:00Z</dcterms:created>
  <dcterms:modified xsi:type="dcterms:W3CDTF">2025-01-06T00:30:00Z</dcterms:modified>
</cp:coreProperties>
</file>