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59"/>
        <w:tblW w:w="0" w:type="auto"/>
        <w:tblLook w:val="04A0" w:firstRow="1" w:lastRow="0" w:firstColumn="1" w:lastColumn="0" w:noHBand="0" w:noVBand="1"/>
      </w:tblPr>
      <w:tblGrid>
        <w:gridCol w:w="2785"/>
        <w:gridCol w:w="1890"/>
        <w:gridCol w:w="1890"/>
        <w:gridCol w:w="1890"/>
        <w:gridCol w:w="895"/>
      </w:tblGrid>
      <w:tr w:rsidR="00CE5544" w:rsidRPr="00CE5544" w14:paraId="450D41BD" w14:textId="77777777" w:rsidTr="002704D5">
        <w:tc>
          <w:tcPr>
            <w:tcW w:w="9350" w:type="dxa"/>
            <w:gridSpan w:val="5"/>
          </w:tcPr>
          <w:p w14:paraId="6DC8A275" w14:textId="3C2FA35A" w:rsidR="00CE5544" w:rsidRPr="00CE5544" w:rsidRDefault="00CC5DE0" w:rsidP="00CE5544">
            <w:pPr>
              <w:rPr>
                <w:rFonts w:ascii="Times New Roman" w:hAnsi="Times New Roman"/>
                <w:bCs/>
              </w:rPr>
            </w:pPr>
            <w:r>
              <w:rPr>
                <w:rFonts w:ascii="Times New Roman" w:hAnsi="Times New Roman"/>
                <w:b/>
                <w:bCs/>
              </w:rPr>
              <w:t>Supplementary Table 1</w:t>
            </w:r>
            <w:r w:rsidR="00CE5544" w:rsidRPr="00CE5544">
              <w:rPr>
                <w:rFonts w:ascii="Times New Roman" w:hAnsi="Times New Roman"/>
                <w:b/>
                <w:bCs/>
              </w:rPr>
              <w:t xml:space="preserve">. </w:t>
            </w:r>
            <w:r w:rsidR="00CE5544" w:rsidRPr="00CE5544">
              <w:rPr>
                <w:rFonts w:ascii="Times New Roman" w:hAnsi="Times New Roman"/>
                <w:bCs/>
              </w:rPr>
              <w:t xml:space="preserve">Neonatal characteristics among all pregnancies that resulted in livebirth. </w:t>
            </w:r>
          </w:p>
        </w:tc>
      </w:tr>
      <w:tr w:rsidR="00CE5544" w:rsidRPr="00CE5544" w14:paraId="615F73AC" w14:textId="77777777" w:rsidTr="002704D5">
        <w:tc>
          <w:tcPr>
            <w:tcW w:w="2785" w:type="dxa"/>
          </w:tcPr>
          <w:p w14:paraId="289FC468" w14:textId="77777777" w:rsidR="00CE5544" w:rsidRPr="00CE5544" w:rsidRDefault="00CE5544" w:rsidP="00CE5544">
            <w:pPr>
              <w:rPr>
                <w:rFonts w:ascii="Times New Roman" w:hAnsi="Times New Roman"/>
                <w:b/>
                <w:bCs/>
              </w:rPr>
            </w:pPr>
          </w:p>
        </w:tc>
        <w:tc>
          <w:tcPr>
            <w:tcW w:w="1890" w:type="dxa"/>
          </w:tcPr>
          <w:p w14:paraId="143E8DF8" w14:textId="77777777" w:rsidR="00CE5544" w:rsidRPr="00CE5544" w:rsidRDefault="00CE5544" w:rsidP="00CE5544">
            <w:pPr>
              <w:jc w:val="center"/>
              <w:rPr>
                <w:rFonts w:ascii="Times New Roman" w:hAnsi="Times New Roman"/>
                <w:b/>
                <w:bCs/>
              </w:rPr>
            </w:pPr>
            <w:r w:rsidRPr="00CE5544">
              <w:rPr>
                <w:rFonts w:ascii="Times New Roman" w:hAnsi="Times New Roman"/>
                <w:b/>
                <w:bCs/>
              </w:rPr>
              <w:t>All</w:t>
            </w:r>
          </w:p>
          <w:p w14:paraId="3ED921CF" w14:textId="77777777" w:rsidR="00CE5544" w:rsidRPr="00CE5544" w:rsidRDefault="00CE5544" w:rsidP="00CE5544">
            <w:pPr>
              <w:jc w:val="center"/>
              <w:rPr>
                <w:rFonts w:ascii="Times New Roman" w:hAnsi="Times New Roman"/>
                <w:b/>
                <w:bCs/>
              </w:rPr>
            </w:pPr>
            <w:r w:rsidRPr="00CE5544">
              <w:rPr>
                <w:rFonts w:ascii="Times New Roman" w:hAnsi="Times New Roman"/>
                <w:b/>
                <w:bCs/>
              </w:rPr>
              <w:t>(n=208)</w:t>
            </w:r>
          </w:p>
        </w:tc>
        <w:tc>
          <w:tcPr>
            <w:tcW w:w="1890" w:type="dxa"/>
          </w:tcPr>
          <w:p w14:paraId="2AF2DD50" w14:textId="77777777" w:rsidR="00CE5544" w:rsidRPr="00CE5544" w:rsidRDefault="00CE5544" w:rsidP="00CE5544">
            <w:pPr>
              <w:jc w:val="center"/>
              <w:rPr>
                <w:rFonts w:ascii="Times New Roman" w:hAnsi="Times New Roman"/>
                <w:b/>
                <w:bCs/>
              </w:rPr>
            </w:pPr>
            <w:r w:rsidRPr="00CE5544">
              <w:rPr>
                <w:rFonts w:ascii="Times New Roman" w:hAnsi="Times New Roman"/>
                <w:b/>
                <w:bCs/>
              </w:rPr>
              <w:t>Surveillance</w:t>
            </w:r>
          </w:p>
          <w:p w14:paraId="42211B1B" w14:textId="77777777" w:rsidR="00CE5544" w:rsidRPr="00CE5544" w:rsidRDefault="00CE5544" w:rsidP="00CE5544">
            <w:pPr>
              <w:jc w:val="center"/>
              <w:rPr>
                <w:rFonts w:ascii="Times New Roman" w:hAnsi="Times New Roman"/>
                <w:b/>
                <w:bCs/>
              </w:rPr>
            </w:pPr>
            <w:r w:rsidRPr="00CE5544">
              <w:rPr>
                <w:rFonts w:ascii="Times New Roman" w:hAnsi="Times New Roman"/>
                <w:b/>
                <w:bCs/>
              </w:rPr>
              <w:t>(n=74, 35.6%)</w:t>
            </w:r>
          </w:p>
        </w:tc>
        <w:tc>
          <w:tcPr>
            <w:tcW w:w="1890" w:type="dxa"/>
          </w:tcPr>
          <w:p w14:paraId="0B19BADF" w14:textId="77777777" w:rsidR="00CE5544" w:rsidRPr="00CE5544" w:rsidRDefault="00CE5544" w:rsidP="00CE5544">
            <w:pPr>
              <w:jc w:val="center"/>
              <w:rPr>
                <w:rFonts w:ascii="Times New Roman" w:hAnsi="Times New Roman"/>
                <w:b/>
                <w:bCs/>
              </w:rPr>
            </w:pPr>
            <w:r w:rsidRPr="00CE5544">
              <w:rPr>
                <w:rFonts w:ascii="Times New Roman" w:hAnsi="Times New Roman"/>
                <w:b/>
                <w:bCs/>
              </w:rPr>
              <w:t>Serial growth</w:t>
            </w:r>
          </w:p>
          <w:p w14:paraId="7522AB3D" w14:textId="77777777" w:rsidR="00CE5544" w:rsidRPr="00CE5544" w:rsidRDefault="00CE5544" w:rsidP="00CE5544">
            <w:pPr>
              <w:jc w:val="center"/>
              <w:rPr>
                <w:rFonts w:ascii="Times New Roman" w:hAnsi="Times New Roman"/>
                <w:b/>
                <w:bCs/>
              </w:rPr>
            </w:pPr>
            <w:r w:rsidRPr="00CE5544">
              <w:rPr>
                <w:rFonts w:ascii="Times New Roman" w:hAnsi="Times New Roman"/>
                <w:b/>
                <w:bCs/>
              </w:rPr>
              <w:t>(n=134, 64.4%)</w:t>
            </w:r>
          </w:p>
        </w:tc>
        <w:tc>
          <w:tcPr>
            <w:tcW w:w="895" w:type="dxa"/>
          </w:tcPr>
          <w:p w14:paraId="4E104622" w14:textId="77777777" w:rsidR="00CE5544" w:rsidRPr="00CE5544" w:rsidRDefault="00CE5544" w:rsidP="00CE5544">
            <w:pPr>
              <w:jc w:val="center"/>
              <w:rPr>
                <w:rFonts w:ascii="Times New Roman" w:hAnsi="Times New Roman"/>
                <w:b/>
                <w:bCs/>
              </w:rPr>
            </w:pPr>
            <w:r w:rsidRPr="00CE5544">
              <w:rPr>
                <w:rFonts w:ascii="Times New Roman" w:hAnsi="Times New Roman"/>
                <w:b/>
                <w:bCs/>
                <w:i/>
              </w:rPr>
              <w:t xml:space="preserve">p </w:t>
            </w:r>
            <w:r w:rsidRPr="00CE5544">
              <w:rPr>
                <w:rFonts w:ascii="Times New Roman" w:hAnsi="Times New Roman"/>
                <w:b/>
                <w:bCs/>
              </w:rPr>
              <w:t>value</w:t>
            </w:r>
          </w:p>
        </w:tc>
      </w:tr>
      <w:tr w:rsidR="00CE5544" w:rsidRPr="00CE5544" w14:paraId="32D36557" w14:textId="77777777" w:rsidTr="002704D5">
        <w:tc>
          <w:tcPr>
            <w:tcW w:w="2785" w:type="dxa"/>
          </w:tcPr>
          <w:p w14:paraId="25E567DA" w14:textId="77777777" w:rsidR="00CE5544" w:rsidRPr="00CE5544" w:rsidRDefault="00CE5544" w:rsidP="00CE5544">
            <w:pPr>
              <w:rPr>
                <w:rFonts w:ascii="Times New Roman" w:hAnsi="Times New Roman"/>
                <w:b/>
                <w:bCs/>
              </w:rPr>
            </w:pPr>
            <w:r w:rsidRPr="00CE5544">
              <w:rPr>
                <w:rFonts w:ascii="Times New Roman" w:hAnsi="Times New Roman"/>
                <w:b/>
                <w:bCs/>
              </w:rPr>
              <w:t>Female sex</w:t>
            </w:r>
          </w:p>
        </w:tc>
        <w:tc>
          <w:tcPr>
            <w:tcW w:w="1890" w:type="dxa"/>
          </w:tcPr>
          <w:p w14:paraId="6CCDCBEB" w14:textId="77777777" w:rsidR="00CE5544" w:rsidRPr="00CE5544" w:rsidRDefault="00CE5544" w:rsidP="00CE5544">
            <w:pPr>
              <w:jc w:val="center"/>
              <w:rPr>
                <w:rFonts w:ascii="Times New Roman" w:hAnsi="Times New Roman"/>
                <w:b/>
                <w:bCs/>
              </w:rPr>
            </w:pPr>
            <w:r w:rsidRPr="00CE5544">
              <w:rPr>
                <w:rFonts w:ascii="Times New Roman" w:hAnsi="Times New Roman"/>
              </w:rPr>
              <w:t>137 (65.8%)</w:t>
            </w:r>
          </w:p>
        </w:tc>
        <w:tc>
          <w:tcPr>
            <w:tcW w:w="1890" w:type="dxa"/>
          </w:tcPr>
          <w:p w14:paraId="2E14D947" w14:textId="77777777" w:rsidR="00CE5544" w:rsidRPr="00CE5544" w:rsidRDefault="00CE5544" w:rsidP="00CE5544">
            <w:pPr>
              <w:jc w:val="center"/>
              <w:rPr>
                <w:rFonts w:ascii="Times New Roman" w:hAnsi="Times New Roman"/>
                <w:b/>
                <w:bCs/>
              </w:rPr>
            </w:pPr>
            <w:r w:rsidRPr="00CE5544">
              <w:rPr>
                <w:rFonts w:ascii="Times New Roman" w:hAnsi="Times New Roman"/>
              </w:rPr>
              <w:t>48 (64.9%)</w:t>
            </w:r>
          </w:p>
        </w:tc>
        <w:tc>
          <w:tcPr>
            <w:tcW w:w="1890" w:type="dxa"/>
          </w:tcPr>
          <w:p w14:paraId="70E049A3" w14:textId="77777777" w:rsidR="00CE5544" w:rsidRPr="00CE5544" w:rsidRDefault="00CE5544" w:rsidP="00CE5544">
            <w:pPr>
              <w:jc w:val="center"/>
              <w:rPr>
                <w:rFonts w:ascii="Times New Roman" w:hAnsi="Times New Roman"/>
                <w:b/>
                <w:bCs/>
              </w:rPr>
            </w:pPr>
            <w:r w:rsidRPr="00CE5544">
              <w:rPr>
                <w:rFonts w:ascii="Times New Roman" w:hAnsi="Times New Roman"/>
              </w:rPr>
              <w:t>89 (66.4%)</w:t>
            </w:r>
          </w:p>
        </w:tc>
        <w:tc>
          <w:tcPr>
            <w:tcW w:w="895" w:type="dxa"/>
          </w:tcPr>
          <w:p w14:paraId="6775F20A" w14:textId="77777777" w:rsidR="00CE5544" w:rsidRPr="00CE5544" w:rsidRDefault="00CE5544" w:rsidP="00CE5544">
            <w:pPr>
              <w:jc w:val="center"/>
              <w:rPr>
                <w:rFonts w:ascii="Times New Roman" w:hAnsi="Times New Roman"/>
                <w:bCs/>
              </w:rPr>
            </w:pPr>
            <w:r w:rsidRPr="00CE5544">
              <w:rPr>
                <w:rFonts w:ascii="Times New Roman" w:hAnsi="Times New Roman"/>
                <w:bCs/>
              </w:rPr>
              <w:t>0.82</w:t>
            </w:r>
          </w:p>
        </w:tc>
      </w:tr>
      <w:tr w:rsidR="00CE5544" w:rsidRPr="00CE5544" w14:paraId="62E535F1" w14:textId="77777777" w:rsidTr="002704D5">
        <w:tc>
          <w:tcPr>
            <w:tcW w:w="2785" w:type="dxa"/>
          </w:tcPr>
          <w:p w14:paraId="72E3902C" w14:textId="77777777" w:rsidR="00CE5544" w:rsidRPr="00CE5544" w:rsidRDefault="00CE5544" w:rsidP="00CE5544">
            <w:pPr>
              <w:rPr>
                <w:rFonts w:ascii="Times New Roman" w:hAnsi="Times New Roman"/>
                <w:b/>
                <w:bCs/>
              </w:rPr>
            </w:pPr>
            <w:r w:rsidRPr="00CE5544">
              <w:rPr>
                <w:rFonts w:ascii="Times New Roman" w:hAnsi="Times New Roman"/>
                <w:b/>
                <w:bCs/>
              </w:rPr>
              <w:t>Birthweight (grams)</w:t>
            </w:r>
          </w:p>
        </w:tc>
        <w:tc>
          <w:tcPr>
            <w:tcW w:w="1890" w:type="dxa"/>
          </w:tcPr>
          <w:p w14:paraId="1F1ED276" w14:textId="77777777" w:rsidR="00CE5544" w:rsidRPr="00CE5544" w:rsidRDefault="00CE5544" w:rsidP="00CE5544">
            <w:pPr>
              <w:jc w:val="center"/>
              <w:rPr>
                <w:rFonts w:ascii="Times New Roman" w:hAnsi="Times New Roman"/>
              </w:rPr>
            </w:pPr>
            <w:r w:rsidRPr="00CE5544">
              <w:rPr>
                <w:rFonts w:ascii="Times New Roman" w:hAnsi="Times New Roman"/>
              </w:rPr>
              <w:t>2390 (1825, 2837.5)</w:t>
            </w:r>
          </w:p>
        </w:tc>
        <w:tc>
          <w:tcPr>
            <w:tcW w:w="1890" w:type="dxa"/>
          </w:tcPr>
          <w:p w14:paraId="7C7CB0AF" w14:textId="77777777" w:rsidR="00CE5544" w:rsidRPr="00CE5544" w:rsidRDefault="00CE5544" w:rsidP="00CE5544">
            <w:pPr>
              <w:jc w:val="center"/>
              <w:rPr>
                <w:rFonts w:ascii="Times New Roman" w:hAnsi="Times New Roman"/>
              </w:rPr>
            </w:pPr>
            <w:r w:rsidRPr="00CE5544">
              <w:rPr>
                <w:rFonts w:ascii="Times New Roman" w:hAnsi="Times New Roman"/>
              </w:rPr>
              <w:t>1935 (665, 2582.5)</w:t>
            </w:r>
          </w:p>
        </w:tc>
        <w:tc>
          <w:tcPr>
            <w:tcW w:w="1890" w:type="dxa"/>
          </w:tcPr>
          <w:p w14:paraId="56933623" w14:textId="77777777" w:rsidR="00CE5544" w:rsidRPr="00CE5544" w:rsidRDefault="00CE5544" w:rsidP="00CE5544">
            <w:pPr>
              <w:jc w:val="center"/>
              <w:rPr>
                <w:rFonts w:ascii="Times New Roman" w:hAnsi="Times New Roman"/>
              </w:rPr>
            </w:pPr>
            <w:r w:rsidRPr="00CE5544">
              <w:rPr>
                <w:rFonts w:ascii="Times New Roman" w:hAnsi="Times New Roman"/>
              </w:rPr>
              <w:t xml:space="preserve">2560 (2130, </w:t>
            </w:r>
          </w:p>
          <w:p w14:paraId="6890D3A0" w14:textId="77777777" w:rsidR="00CE5544" w:rsidRPr="00CE5544" w:rsidRDefault="00CE5544" w:rsidP="00CE5544">
            <w:pPr>
              <w:jc w:val="center"/>
              <w:rPr>
                <w:rFonts w:ascii="Times New Roman" w:hAnsi="Times New Roman"/>
              </w:rPr>
            </w:pPr>
            <w:r w:rsidRPr="00CE5544">
              <w:rPr>
                <w:rFonts w:ascii="Times New Roman" w:hAnsi="Times New Roman"/>
              </w:rPr>
              <w:t>2915)</w:t>
            </w:r>
          </w:p>
        </w:tc>
        <w:tc>
          <w:tcPr>
            <w:tcW w:w="895" w:type="dxa"/>
          </w:tcPr>
          <w:p w14:paraId="17138515" w14:textId="77777777" w:rsidR="00CE5544" w:rsidRPr="00CE5544" w:rsidRDefault="00CE5544" w:rsidP="00CE5544">
            <w:pPr>
              <w:jc w:val="center"/>
              <w:rPr>
                <w:rFonts w:ascii="Times New Roman" w:hAnsi="Times New Roman"/>
                <w:b/>
                <w:bCs/>
              </w:rPr>
            </w:pPr>
            <w:r w:rsidRPr="00CE5544">
              <w:rPr>
                <w:rFonts w:ascii="Times New Roman" w:hAnsi="Times New Roman"/>
                <w:b/>
                <w:bCs/>
              </w:rPr>
              <w:t>&lt; 0.05</w:t>
            </w:r>
          </w:p>
        </w:tc>
      </w:tr>
      <w:tr w:rsidR="00CE5544" w:rsidRPr="00CE5544" w14:paraId="613FAD49" w14:textId="77777777" w:rsidTr="002704D5">
        <w:tc>
          <w:tcPr>
            <w:tcW w:w="2785" w:type="dxa"/>
          </w:tcPr>
          <w:p w14:paraId="0E534B0D" w14:textId="77777777" w:rsidR="00CE5544" w:rsidRPr="00CE5544" w:rsidRDefault="00CE5544" w:rsidP="00CE5544">
            <w:pPr>
              <w:rPr>
                <w:rFonts w:ascii="Times New Roman" w:hAnsi="Times New Roman"/>
                <w:b/>
                <w:bCs/>
              </w:rPr>
            </w:pPr>
            <w:r w:rsidRPr="00CE5544">
              <w:rPr>
                <w:rFonts w:ascii="Times New Roman" w:hAnsi="Times New Roman"/>
                <w:b/>
                <w:bCs/>
              </w:rPr>
              <w:t>NICU admission</w:t>
            </w:r>
          </w:p>
        </w:tc>
        <w:tc>
          <w:tcPr>
            <w:tcW w:w="1890" w:type="dxa"/>
          </w:tcPr>
          <w:p w14:paraId="2C72E5CD" w14:textId="77777777" w:rsidR="00CE5544" w:rsidRPr="00CE5544" w:rsidRDefault="00CE5544" w:rsidP="00CE5544">
            <w:pPr>
              <w:jc w:val="center"/>
              <w:rPr>
                <w:rFonts w:ascii="Times New Roman" w:hAnsi="Times New Roman"/>
              </w:rPr>
            </w:pPr>
            <w:r w:rsidRPr="00CE5544">
              <w:rPr>
                <w:rFonts w:ascii="Times New Roman" w:hAnsi="Times New Roman"/>
              </w:rPr>
              <w:t>72 (34.6%)</w:t>
            </w:r>
          </w:p>
        </w:tc>
        <w:tc>
          <w:tcPr>
            <w:tcW w:w="1890" w:type="dxa"/>
          </w:tcPr>
          <w:p w14:paraId="4EE6A62A" w14:textId="77777777" w:rsidR="00CE5544" w:rsidRPr="00CE5544" w:rsidRDefault="00CE5544" w:rsidP="00CE5544">
            <w:pPr>
              <w:jc w:val="center"/>
              <w:rPr>
                <w:rFonts w:ascii="Times New Roman" w:hAnsi="Times New Roman"/>
              </w:rPr>
            </w:pPr>
            <w:r w:rsidRPr="00CE5544">
              <w:rPr>
                <w:rFonts w:ascii="Times New Roman" w:hAnsi="Times New Roman"/>
              </w:rPr>
              <w:t>43 (58.1%)</w:t>
            </w:r>
          </w:p>
        </w:tc>
        <w:tc>
          <w:tcPr>
            <w:tcW w:w="1890" w:type="dxa"/>
          </w:tcPr>
          <w:p w14:paraId="0181780C" w14:textId="77777777" w:rsidR="00CE5544" w:rsidRPr="00CE5544" w:rsidRDefault="00CE5544" w:rsidP="00CE5544">
            <w:pPr>
              <w:jc w:val="center"/>
              <w:rPr>
                <w:rFonts w:ascii="Times New Roman" w:hAnsi="Times New Roman"/>
              </w:rPr>
            </w:pPr>
            <w:r w:rsidRPr="00CE5544">
              <w:rPr>
                <w:rFonts w:ascii="Times New Roman" w:hAnsi="Times New Roman"/>
              </w:rPr>
              <w:t>29 (21.6%)</w:t>
            </w:r>
          </w:p>
        </w:tc>
        <w:tc>
          <w:tcPr>
            <w:tcW w:w="895" w:type="dxa"/>
          </w:tcPr>
          <w:p w14:paraId="5EE70F38" w14:textId="77777777" w:rsidR="00CE5544" w:rsidRPr="00CE5544" w:rsidRDefault="00CE5544" w:rsidP="00CE5544">
            <w:pPr>
              <w:jc w:val="center"/>
              <w:rPr>
                <w:rFonts w:ascii="Times New Roman" w:hAnsi="Times New Roman"/>
                <w:b/>
                <w:bCs/>
              </w:rPr>
            </w:pPr>
            <w:r w:rsidRPr="00CE5544">
              <w:rPr>
                <w:rFonts w:ascii="Times New Roman" w:hAnsi="Times New Roman"/>
                <w:b/>
                <w:bCs/>
              </w:rPr>
              <w:t>&lt; 0.05</w:t>
            </w:r>
          </w:p>
        </w:tc>
      </w:tr>
      <w:tr w:rsidR="00CE5544" w:rsidRPr="00CE5544" w14:paraId="1F9CC454" w14:textId="77777777" w:rsidTr="002704D5">
        <w:tc>
          <w:tcPr>
            <w:tcW w:w="2785" w:type="dxa"/>
          </w:tcPr>
          <w:p w14:paraId="62E7BBEF" w14:textId="77777777" w:rsidR="00CE5544" w:rsidRPr="00CE5544" w:rsidRDefault="00CE5544" w:rsidP="00CE5544">
            <w:pPr>
              <w:rPr>
                <w:rFonts w:ascii="Times New Roman" w:hAnsi="Times New Roman"/>
                <w:b/>
                <w:bCs/>
              </w:rPr>
            </w:pPr>
            <w:r w:rsidRPr="00CE5544">
              <w:rPr>
                <w:rFonts w:ascii="Times New Roman" w:hAnsi="Times New Roman"/>
                <w:b/>
                <w:bCs/>
              </w:rPr>
              <w:t>NICU length of stay (days)</w:t>
            </w:r>
          </w:p>
        </w:tc>
        <w:tc>
          <w:tcPr>
            <w:tcW w:w="1890" w:type="dxa"/>
          </w:tcPr>
          <w:p w14:paraId="6F21A7AC" w14:textId="77777777" w:rsidR="00CE5544" w:rsidRPr="00CE5544" w:rsidRDefault="00CE5544" w:rsidP="00CE5544">
            <w:pPr>
              <w:jc w:val="center"/>
              <w:rPr>
                <w:rFonts w:ascii="Times New Roman" w:hAnsi="Times New Roman"/>
              </w:rPr>
            </w:pPr>
            <w:r w:rsidRPr="00CE5544">
              <w:rPr>
                <w:rFonts w:ascii="Times New Roman" w:hAnsi="Times New Roman"/>
              </w:rPr>
              <w:t>25.5 (11, 99)</w:t>
            </w:r>
          </w:p>
        </w:tc>
        <w:tc>
          <w:tcPr>
            <w:tcW w:w="1890" w:type="dxa"/>
          </w:tcPr>
          <w:p w14:paraId="792A683E" w14:textId="77777777" w:rsidR="00CE5544" w:rsidRPr="00CE5544" w:rsidRDefault="00CE5544" w:rsidP="00CE5544">
            <w:pPr>
              <w:jc w:val="center"/>
              <w:rPr>
                <w:rFonts w:ascii="Times New Roman" w:hAnsi="Times New Roman"/>
              </w:rPr>
            </w:pPr>
            <w:r w:rsidRPr="00CE5544">
              <w:rPr>
                <w:rFonts w:ascii="Times New Roman" w:hAnsi="Times New Roman"/>
              </w:rPr>
              <w:t>55 (18, 114)</w:t>
            </w:r>
          </w:p>
        </w:tc>
        <w:tc>
          <w:tcPr>
            <w:tcW w:w="1890" w:type="dxa"/>
          </w:tcPr>
          <w:p w14:paraId="6AEE0EFA" w14:textId="77777777" w:rsidR="00CE5544" w:rsidRPr="00CE5544" w:rsidRDefault="00CE5544" w:rsidP="00CE5544">
            <w:pPr>
              <w:jc w:val="center"/>
              <w:rPr>
                <w:rFonts w:ascii="Times New Roman" w:hAnsi="Times New Roman"/>
              </w:rPr>
            </w:pPr>
            <w:r w:rsidRPr="00CE5544">
              <w:rPr>
                <w:rFonts w:ascii="Times New Roman" w:hAnsi="Times New Roman"/>
              </w:rPr>
              <w:t>14 (4, 81.5)</w:t>
            </w:r>
          </w:p>
        </w:tc>
        <w:tc>
          <w:tcPr>
            <w:tcW w:w="895" w:type="dxa"/>
          </w:tcPr>
          <w:p w14:paraId="49C181C8" w14:textId="77777777" w:rsidR="00CE5544" w:rsidRPr="00CE5544" w:rsidRDefault="00CE5544" w:rsidP="00CE5544">
            <w:pPr>
              <w:jc w:val="center"/>
              <w:rPr>
                <w:rFonts w:ascii="Times New Roman" w:hAnsi="Times New Roman"/>
                <w:bCs/>
              </w:rPr>
            </w:pPr>
            <w:r w:rsidRPr="00CE5544">
              <w:rPr>
                <w:rFonts w:ascii="Times New Roman" w:hAnsi="Times New Roman"/>
                <w:bCs/>
              </w:rPr>
              <w:t>0.10</w:t>
            </w:r>
          </w:p>
        </w:tc>
      </w:tr>
      <w:tr w:rsidR="00CE5544" w:rsidRPr="00CE5544" w14:paraId="1BF442B3" w14:textId="77777777" w:rsidTr="002704D5">
        <w:tc>
          <w:tcPr>
            <w:tcW w:w="2785" w:type="dxa"/>
          </w:tcPr>
          <w:p w14:paraId="5C2488DB" w14:textId="77777777" w:rsidR="00CE5544" w:rsidRPr="00CE5544" w:rsidRDefault="00CE5544" w:rsidP="00CE5544">
            <w:pPr>
              <w:rPr>
                <w:rFonts w:ascii="Times New Roman" w:hAnsi="Times New Roman"/>
                <w:b/>
                <w:bCs/>
              </w:rPr>
            </w:pPr>
            <w:r w:rsidRPr="00CE5544">
              <w:rPr>
                <w:rFonts w:ascii="Times New Roman" w:hAnsi="Times New Roman"/>
                <w:b/>
                <w:bCs/>
              </w:rPr>
              <w:t>Neonatal survival to discharge without morbidity†</w:t>
            </w:r>
          </w:p>
        </w:tc>
        <w:tc>
          <w:tcPr>
            <w:tcW w:w="1890" w:type="dxa"/>
          </w:tcPr>
          <w:p w14:paraId="00A31832" w14:textId="77777777" w:rsidR="00CE5544" w:rsidRPr="00CE5544" w:rsidRDefault="00CE5544" w:rsidP="00CE5544">
            <w:pPr>
              <w:jc w:val="center"/>
              <w:rPr>
                <w:rFonts w:ascii="Times New Roman" w:hAnsi="Times New Roman"/>
              </w:rPr>
            </w:pPr>
            <w:r w:rsidRPr="00CE5544">
              <w:rPr>
                <w:rFonts w:ascii="Times New Roman" w:hAnsi="Times New Roman"/>
              </w:rPr>
              <w:t>86 (41.3%)</w:t>
            </w:r>
          </w:p>
        </w:tc>
        <w:tc>
          <w:tcPr>
            <w:tcW w:w="1890" w:type="dxa"/>
          </w:tcPr>
          <w:p w14:paraId="0BE3F974" w14:textId="77777777" w:rsidR="00CE5544" w:rsidRPr="00CE5544" w:rsidRDefault="00CE5544" w:rsidP="00CE5544">
            <w:pPr>
              <w:jc w:val="center"/>
              <w:rPr>
                <w:rFonts w:ascii="Times New Roman" w:hAnsi="Times New Roman"/>
              </w:rPr>
            </w:pPr>
            <w:r w:rsidRPr="00CE5544">
              <w:rPr>
                <w:rFonts w:ascii="Times New Roman" w:hAnsi="Times New Roman"/>
              </w:rPr>
              <w:t>17 (23.9%)</w:t>
            </w:r>
          </w:p>
        </w:tc>
        <w:tc>
          <w:tcPr>
            <w:tcW w:w="1890" w:type="dxa"/>
          </w:tcPr>
          <w:p w14:paraId="43E58EF7" w14:textId="77777777" w:rsidR="00CE5544" w:rsidRPr="00CE5544" w:rsidRDefault="00CE5544" w:rsidP="00CE5544">
            <w:pPr>
              <w:jc w:val="center"/>
              <w:rPr>
                <w:rFonts w:ascii="Times New Roman" w:hAnsi="Times New Roman"/>
              </w:rPr>
            </w:pPr>
            <w:r w:rsidRPr="00CE5544">
              <w:rPr>
                <w:rFonts w:ascii="Times New Roman" w:hAnsi="Times New Roman"/>
              </w:rPr>
              <w:t>69 (53.9%)</w:t>
            </w:r>
          </w:p>
        </w:tc>
        <w:tc>
          <w:tcPr>
            <w:tcW w:w="895" w:type="dxa"/>
          </w:tcPr>
          <w:p w14:paraId="58AA6512" w14:textId="77777777" w:rsidR="00CE5544" w:rsidRPr="00CE5544" w:rsidRDefault="00CE5544" w:rsidP="00CE5544">
            <w:pPr>
              <w:jc w:val="center"/>
              <w:rPr>
                <w:rFonts w:ascii="Times New Roman" w:hAnsi="Times New Roman"/>
                <w:b/>
                <w:bCs/>
              </w:rPr>
            </w:pPr>
            <w:r w:rsidRPr="00CE5544">
              <w:rPr>
                <w:rFonts w:ascii="Times New Roman" w:hAnsi="Times New Roman"/>
                <w:b/>
                <w:bCs/>
              </w:rPr>
              <w:t>&lt; 0.05</w:t>
            </w:r>
          </w:p>
        </w:tc>
      </w:tr>
      <w:tr w:rsidR="00CE5544" w:rsidRPr="00CE5544" w14:paraId="02A82D18" w14:textId="77777777" w:rsidTr="002704D5">
        <w:tc>
          <w:tcPr>
            <w:tcW w:w="9350" w:type="dxa"/>
            <w:gridSpan w:val="5"/>
          </w:tcPr>
          <w:p w14:paraId="04AF9ABB" w14:textId="77777777" w:rsidR="00CE5544" w:rsidRPr="00CE5544" w:rsidRDefault="00CE5544" w:rsidP="00CE5544">
            <w:pPr>
              <w:rPr>
                <w:rFonts w:ascii="Times New Roman" w:hAnsi="Times New Roman"/>
                <w:bCs/>
              </w:rPr>
            </w:pPr>
            <w:r w:rsidRPr="00CE5544">
              <w:rPr>
                <w:rFonts w:ascii="Times New Roman" w:hAnsi="Times New Roman"/>
                <w:bCs/>
              </w:rPr>
              <w:t>ANOVA or Kruskal Wallis tests were used to compare parametric and non-parametric continuous variables, respectively. Chi-square test was performed to compare quantitative variables.</w:t>
            </w:r>
          </w:p>
          <w:p w14:paraId="5FCFB945" w14:textId="77777777" w:rsidR="00CE5544" w:rsidRPr="00CE5544" w:rsidRDefault="00CE5544" w:rsidP="00CE5544">
            <w:pPr>
              <w:rPr>
                <w:rFonts w:ascii="Times New Roman" w:hAnsi="Times New Roman"/>
                <w:bCs/>
                <w:i/>
                <w:iCs/>
              </w:rPr>
            </w:pPr>
            <w:r w:rsidRPr="00CE5544">
              <w:rPr>
                <w:rFonts w:ascii="Times New Roman" w:hAnsi="Times New Roman"/>
                <w:bCs/>
                <w:i/>
                <w:iCs/>
              </w:rPr>
              <w:t>NICU (neonatal intensive care unit)</w:t>
            </w:r>
          </w:p>
          <w:p w14:paraId="3F0374E4" w14:textId="77777777" w:rsidR="00CE5544" w:rsidRPr="00CE5544" w:rsidRDefault="00CE5544" w:rsidP="00CE5544">
            <w:pPr>
              <w:rPr>
                <w:rFonts w:ascii="Times New Roman" w:hAnsi="Times New Roman"/>
                <w:bCs/>
              </w:rPr>
            </w:pPr>
            <w:r w:rsidRPr="00CE5544">
              <w:rPr>
                <w:rFonts w:ascii="Times New Roman" w:hAnsi="Times New Roman"/>
                <w:bCs/>
              </w:rPr>
              <w:t>† Neonatal survival to hospital discharge includes neonates that were alive at the time of hospital discharge and were not assigned any of the diagnoses contained within the adverse neonatal outcome composite: hypoglycemia, hypothermia, intraventricular hemorrhage, necrotizing enterocolitis, respiratory distress syndrome, hyperbilirubinemia, hypocalcemia, seizures, and sepsis.</w:t>
            </w:r>
          </w:p>
        </w:tc>
      </w:tr>
    </w:tbl>
    <w:p w14:paraId="531FE81B" w14:textId="77777777" w:rsidR="00664052" w:rsidRDefault="00664052"/>
    <w:sectPr w:rsidR="00664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44"/>
    <w:rsid w:val="00664052"/>
    <w:rsid w:val="00B56A1F"/>
    <w:rsid w:val="00CC5DE0"/>
    <w:rsid w:val="00CE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8E2D"/>
  <w15:chartTrackingRefBased/>
  <w15:docId w15:val="{213E9D3D-672A-44B1-BF68-F543D990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44"/>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LeMoine</dc:creator>
  <cp:keywords/>
  <dc:description/>
  <cp:lastModifiedBy>Felicia LeMoine</cp:lastModifiedBy>
  <cp:revision>2</cp:revision>
  <dcterms:created xsi:type="dcterms:W3CDTF">2025-01-05T23:44:00Z</dcterms:created>
  <dcterms:modified xsi:type="dcterms:W3CDTF">2025-01-05T23:45:00Z</dcterms:modified>
</cp:coreProperties>
</file>