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25495" w14:textId="398F1E87" w:rsidR="005F544F" w:rsidRDefault="005F544F" w:rsidP="005F544F">
      <w:pPr>
        <w:pStyle w:val="caption1"/>
        <w:spacing w:line="276" w:lineRule="auto"/>
        <w:jc w:val="both"/>
      </w:pPr>
      <w:r w:rsidRPr="005F544F">
        <w:t>Table</w:t>
      </w:r>
      <w:r>
        <w:t xml:space="preserve"> </w:t>
      </w:r>
      <w:r w:rsidR="007F6CA1">
        <w:t>5</w:t>
      </w:r>
      <w:r>
        <w:t>.</w:t>
      </w:r>
      <w:r w:rsidRPr="00723760">
        <w:t xml:space="preserve"> Impact of Specific Framework Mutations on Binding Affinity. Each mutation is presented with its corresponding effect on affinity </w:t>
      </w:r>
      <w:r w:rsidRPr="00723760">
        <w:rPr>
          <w:color w:val="000000" w:themeColor="text1"/>
        </w:rPr>
        <w:t>(</w:t>
      </w:r>
      <w:r w:rsidRPr="00723760">
        <w:rPr>
          <w:color w:val="000000"/>
        </w:rPr>
        <w:t>ΔAffinity</w:t>
      </w:r>
      <w:r w:rsidRPr="00723760">
        <w:rPr>
          <w:color w:val="000000" w:themeColor="text1"/>
        </w:rPr>
        <w:t>)</w:t>
      </w:r>
      <w:r w:rsidRPr="00723760">
        <w:rPr>
          <w:color w:val="FF0000"/>
        </w:rPr>
        <w:t xml:space="preserve"> </w:t>
      </w:r>
      <w:r w:rsidRPr="00723760">
        <w:t>measured as the change in binding energy upon substitution. Positive values indicate improved binding, while negative values suggest a slight reduction. Notably, the mutation H:89 (ASH → GLU) exhibits the highest positive effect (+0.6617), significantly enhancing antigen interaction, whereas mutations such as H:115 (GLN → LEU) show minimal negative impact (-0.0222), indicating overall preserved binding performance.</w:t>
      </w:r>
    </w:p>
    <w:p w14:paraId="697AF35F" w14:textId="77777777" w:rsidR="0047302D" w:rsidRDefault="0047302D" w:rsidP="005F544F">
      <w:pPr>
        <w:pStyle w:val="caption1"/>
        <w:spacing w:line="276" w:lineRule="auto"/>
        <w:jc w:val="both"/>
      </w:pPr>
    </w:p>
    <w:tbl>
      <w:tblPr>
        <w:tblStyle w:val="TableGrid"/>
        <w:tblW w:w="9525" w:type="dxa"/>
        <w:tblLayout w:type="fixed"/>
        <w:tblLook w:val="04A0" w:firstRow="1" w:lastRow="0" w:firstColumn="1" w:lastColumn="0" w:noHBand="0" w:noVBand="1"/>
      </w:tblPr>
      <w:tblGrid>
        <w:gridCol w:w="5402"/>
        <w:gridCol w:w="4123"/>
      </w:tblGrid>
      <w:tr w:rsidR="005F544F" w:rsidRPr="00723760" w14:paraId="21A8CBFD" w14:textId="77777777" w:rsidTr="0077478E">
        <w:trPr>
          <w:trHeight w:val="528"/>
        </w:trPr>
        <w:tc>
          <w:tcPr>
            <w:tcW w:w="5402" w:type="dxa"/>
          </w:tcPr>
          <w:p w14:paraId="28FD990B" w14:textId="77777777" w:rsidR="005F544F" w:rsidRPr="00723760" w:rsidRDefault="005F544F" w:rsidP="0077478E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Mutation</w:t>
            </w:r>
          </w:p>
        </w:tc>
        <w:tc>
          <w:tcPr>
            <w:tcW w:w="4123" w:type="dxa"/>
          </w:tcPr>
          <w:p w14:paraId="23E4F572" w14:textId="0793335D" w:rsidR="005F544F" w:rsidRPr="00723760" w:rsidRDefault="005F544F" w:rsidP="0077478E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Δ Affinity</w:t>
            </w:r>
            <w:r w:rsidR="0047302D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 (kJ/mol)</w:t>
            </w:r>
          </w:p>
        </w:tc>
      </w:tr>
      <w:tr w:rsidR="0047302D" w:rsidRPr="00723760" w14:paraId="7715AF1B" w14:textId="77777777" w:rsidTr="0077478E">
        <w:trPr>
          <w:trHeight w:val="528"/>
        </w:trPr>
        <w:tc>
          <w:tcPr>
            <w:tcW w:w="5402" w:type="dxa"/>
          </w:tcPr>
          <w:p w14:paraId="30FE98D6" w14:textId="7D0DA959" w:rsidR="0047302D" w:rsidRPr="00723760" w:rsidRDefault="0047302D" w:rsidP="0047302D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H:</w:t>
            </w:r>
            <w:r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44</w:t>
            </w: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 (</w:t>
            </w:r>
            <w:r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TRP</w:t>
            </w: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  <w:r w:rsidRPr="00723760">
              <w:rPr>
                <w:rFonts w:eastAsia="Wingdings" w:cs="Wingdings"/>
                <w:color w:val="000000"/>
                <w:kern w:val="0"/>
                <w:lang w:eastAsia="en-US" w:bidi="ar-SA"/>
              </w:rPr>
              <w:sym w:font="Wingdings" w:char="F0E0"/>
            </w: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GLY</w:t>
            </w: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)</w:t>
            </w:r>
          </w:p>
        </w:tc>
        <w:tc>
          <w:tcPr>
            <w:tcW w:w="4123" w:type="dxa"/>
          </w:tcPr>
          <w:p w14:paraId="323A066F" w14:textId="7ADE835C" w:rsidR="0047302D" w:rsidRPr="00723760" w:rsidRDefault="0047302D" w:rsidP="0047302D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color w:val="000000"/>
                <w:kern w:val="0"/>
                <w:lang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-0.1441</w:t>
            </w:r>
          </w:p>
        </w:tc>
      </w:tr>
      <w:tr w:rsidR="0047302D" w:rsidRPr="00723760" w14:paraId="4F7812BB" w14:textId="77777777" w:rsidTr="0077478E">
        <w:trPr>
          <w:trHeight w:val="528"/>
        </w:trPr>
        <w:tc>
          <w:tcPr>
            <w:tcW w:w="5402" w:type="dxa"/>
          </w:tcPr>
          <w:p w14:paraId="63A67DE1" w14:textId="77777777" w:rsidR="0047302D" w:rsidRPr="00723760" w:rsidRDefault="0047302D" w:rsidP="0047302D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H:76 (GLU </w:t>
            </w:r>
            <w:r w:rsidRPr="00723760">
              <w:rPr>
                <w:rFonts w:eastAsia="Wingdings" w:cs="Wingdings"/>
                <w:color w:val="000000"/>
                <w:kern w:val="0"/>
                <w:lang w:eastAsia="en-US" w:bidi="ar-SA"/>
              </w:rPr>
              <w:sym w:font="Wingdings" w:char="F0E0"/>
            </w: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 ARG)</w:t>
            </w:r>
          </w:p>
        </w:tc>
        <w:tc>
          <w:tcPr>
            <w:tcW w:w="4123" w:type="dxa"/>
          </w:tcPr>
          <w:p w14:paraId="0537F9D5" w14:textId="77777777" w:rsidR="0047302D" w:rsidRPr="00723760" w:rsidRDefault="0047302D" w:rsidP="0047302D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0.4925</w:t>
            </w:r>
          </w:p>
        </w:tc>
      </w:tr>
      <w:tr w:rsidR="0047302D" w:rsidRPr="00723760" w14:paraId="231103D7" w14:textId="77777777" w:rsidTr="0077478E">
        <w:trPr>
          <w:trHeight w:val="528"/>
        </w:trPr>
        <w:tc>
          <w:tcPr>
            <w:tcW w:w="5402" w:type="dxa"/>
          </w:tcPr>
          <w:p w14:paraId="4C736C2B" w14:textId="77777777" w:rsidR="0047302D" w:rsidRPr="00723760" w:rsidRDefault="0047302D" w:rsidP="0047302D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H:87 (LYS </w:t>
            </w:r>
            <w:r w:rsidRPr="00723760">
              <w:rPr>
                <w:rFonts w:eastAsia="Wingdings" w:cs="Wingdings"/>
                <w:color w:val="000000"/>
                <w:kern w:val="0"/>
                <w:lang w:eastAsia="en-US" w:bidi="ar-SA"/>
              </w:rPr>
              <w:sym w:font="Wingdings" w:char="F0E0"/>
            </w: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 ARG)</w:t>
            </w:r>
          </w:p>
        </w:tc>
        <w:tc>
          <w:tcPr>
            <w:tcW w:w="4123" w:type="dxa"/>
          </w:tcPr>
          <w:p w14:paraId="03099E78" w14:textId="77777777" w:rsidR="0047302D" w:rsidRPr="00723760" w:rsidRDefault="0047302D" w:rsidP="0047302D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-0.0156</w:t>
            </w:r>
          </w:p>
        </w:tc>
      </w:tr>
      <w:tr w:rsidR="0047302D" w:rsidRPr="00723760" w14:paraId="20B11E9D" w14:textId="77777777" w:rsidTr="0077478E">
        <w:trPr>
          <w:trHeight w:val="528"/>
        </w:trPr>
        <w:tc>
          <w:tcPr>
            <w:tcW w:w="5402" w:type="dxa"/>
          </w:tcPr>
          <w:p w14:paraId="5ECD02F5" w14:textId="77777777" w:rsidR="0047302D" w:rsidRPr="00723760" w:rsidRDefault="0047302D" w:rsidP="0047302D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H:88 (PRO </w:t>
            </w:r>
            <w:r w:rsidRPr="00723760">
              <w:rPr>
                <w:rFonts w:eastAsia="Wingdings" w:cs="Wingdings"/>
                <w:color w:val="000000"/>
                <w:kern w:val="0"/>
                <w:lang w:eastAsia="en-US" w:bidi="ar-SA"/>
              </w:rPr>
              <w:sym w:font="Wingdings" w:char="F0E0"/>
            </w: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 ALA)</w:t>
            </w:r>
          </w:p>
        </w:tc>
        <w:tc>
          <w:tcPr>
            <w:tcW w:w="4123" w:type="dxa"/>
          </w:tcPr>
          <w:p w14:paraId="79F75627" w14:textId="77777777" w:rsidR="0047302D" w:rsidRPr="00723760" w:rsidRDefault="0047302D" w:rsidP="0047302D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0.0073</w:t>
            </w:r>
          </w:p>
        </w:tc>
      </w:tr>
      <w:tr w:rsidR="0047302D" w:rsidRPr="00723760" w14:paraId="107AC3A7" w14:textId="77777777" w:rsidTr="0077478E">
        <w:trPr>
          <w:trHeight w:val="482"/>
        </w:trPr>
        <w:tc>
          <w:tcPr>
            <w:tcW w:w="5402" w:type="dxa"/>
          </w:tcPr>
          <w:p w14:paraId="45F03E08" w14:textId="77777777" w:rsidR="0047302D" w:rsidRPr="00723760" w:rsidRDefault="0047302D" w:rsidP="0047302D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H:89 (ASH </w:t>
            </w:r>
            <w:r w:rsidRPr="00723760">
              <w:rPr>
                <w:rFonts w:eastAsia="Wingdings" w:cs="Wingdings"/>
                <w:color w:val="000000"/>
                <w:kern w:val="0"/>
                <w:lang w:eastAsia="en-US" w:bidi="ar-SA"/>
              </w:rPr>
              <w:sym w:font="Wingdings" w:char="F0E0"/>
            </w: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 GLU)</w:t>
            </w:r>
          </w:p>
        </w:tc>
        <w:tc>
          <w:tcPr>
            <w:tcW w:w="4123" w:type="dxa"/>
          </w:tcPr>
          <w:p w14:paraId="2C88A04F" w14:textId="77777777" w:rsidR="0047302D" w:rsidRPr="00723760" w:rsidRDefault="0047302D" w:rsidP="0047302D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0.6617</w:t>
            </w:r>
          </w:p>
        </w:tc>
      </w:tr>
      <w:tr w:rsidR="0047302D" w:rsidRPr="00723760" w14:paraId="3DF73B6C" w14:textId="77777777" w:rsidTr="0077478E">
        <w:trPr>
          <w:trHeight w:val="447"/>
        </w:trPr>
        <w:tc>
          <w:tcPr>
            <w:tcW w:w="5402" w:type="dxa"/>
          </w:tcPr>
          <w:p w14:paraId="50B0A60C" w14:textId="77777777" w:rsidR="0047302D" w:rsidRPr="00723760" w:rsidRDefault="0047302D" w:rsidP="0047302D">
            <w:pPr>
              <w:suppressAutoHyphens w:val="0"/>
              <w:spacing w:line="276" w:lineRule="auto"/>
              <w:jc w:val="both"/>
              <w:rPr>
                <w:rFonts w:eastAsia="Times New Roman" w:cs="Times New Roman"/>
                <w:b/>
                <w:bCs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H:115 (GLN </w:t>
            </w:r>
            <w:r w:rsidRPr="00723760">
              <w:rPr>
                <w:rFonts w:eastAsia="Wingdings" w:cs="Wingdings"/>
                <w:color w:val="000000"/>
                <w:kern w:val="0"/>
                <w:lang w:eastAsia="en-US" w:bidi="ar-SA"/>
              </w:rPr>
              <w:sym w:font="Wingdings" w:char="F0E0"/>
            </w: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 xml:space="preserve"> LEU)</w:t>
            </w:r>
          </w:p>
        </w:tc>
        <w:tc>
          <w:tcPr>
            <w:tcW w:w="4123" w:type="dxa"/>
          </w:tcPr>
          <w:p w14:paraId="23DF0609" w14:textId="77777777" w:rsidR="0047302D" w:rsidRPr="00723760" w:rsidRDefault="0047302D" w:rsidP="0047302D">
            <w:pPr>
              <w:keepNext/>
              <w:suppressAutoHyphens w:val="0"/>
              <w:spacing w:line="276" w:lineRule="auto"/>
              <w:jc w:val="both"/>
              <w:rPr>
                <w:rFonts w:eastAsia="Times New Roman" w:cs="Times New Roman"/>
                <w:color w:val="000000"/>
                <w:kern w:val="0"/>
                <w:lang w:eastAsia="en-US" w:bidi="ar-SA"/>
              </w:rPr>
            </w:pPr>
            <w:r w:rsidRPr="00723760">
              <w:rPr>
                <w:rFonts w:eastAsia="Times New Roman" w:cs="Times New Roman"/>
                <w:color w:val="000000"/>
                <w:kern w:val="0"/>
                <w:lang w:eastAsia="en-US" w:bidi="ar-SA"/>
              </w:rPr>
              <w:t>-0.0222</w:t>
            </w:r>
          </w:p>
        </w:tc>
      </w:tr>
    </w:tbl>
    <w:p w14:paraId="332EDBF7" w14:textId="77777777" w:rsidR="00C079FB" w:rsidRDefault="00C079FB"/>
    <w:sectPr w:rsidR="00C07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4F"/>
    <w:rsid w:val="00217C60"/>
    <w:rsid w:val="0047302D"/>
    <w:rsid w:val="005F544F"/>
    <w:rsid w:val="007F6CA1"/>
    <w:rsid w:val="00903BC0"/>
    <w:rsid w:val="00C079FB"/>
    <w:rsid w:val="00CB7ADB"/>
    <w:rsid w:val="00D3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C4D0E4"/>
  <w15:chartTrackingRefBased/>
  <w15:docId w15:val="{9B89EDC5-42B4-4994-B747-44E32D7A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44F"/>
    <w:pPr>
      <w:suppressAutoHyphens/>
      <w:spacing w:after="0" w:line="240" w:lineRule="auto"/>
    </w:pPr>
    <w:rPr>
      <w:rFonts w:ascii="Liberation Serif" w:eastAsia="Noto Serif CJK SC" w:hAnsi="Liberation Serif" w:cs="Noto Sans Devanagari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44F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544F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544F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544F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544F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544F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544F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544F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544F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5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5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54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54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54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54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54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54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544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5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544F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5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544F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54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544F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54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5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54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54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F544F"/>
    <w:pPr>
      <w:suppressAutoHyphens/>
      <w:spacing w:after="0" w:line="240" w:lineRule="auto"/>
    </w:pPr>
    <w:rPr>
      <w:rFonts w:ascii="Liberation Serif" w:eastAsia="Noto Serif CJK SC" w:hAnsi="Liberation Serif" w:cs="Noto Sans Devanagari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F544F"/>
    <w:pPr>
      <w:spacing w:after="200"/>
    </w:pPr>
    <w:rPr>
      <w:rFonts w:cs="Mangal"/>
      <w:i/>
      <w:iCs/>
      <w:color w:val="0E2841" w:themeColor="text2"/>
      <w:sz w:val="18"/>
      <w:szCs w:val="16"/>
    </w:rPr>
  </w:style>
  <w:style w:type="paragraph" w:customStyle="1" w:styleId="caption1">
    <w:name w:val="caption1"/>
    <w:basedOn w:val="Normal"/>
    <w:qFormat/>
    <w:rsid w:val="005F544F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643</Characters>
  <Application>Microsoft Office Word</Application>
  <DocSecurity>0</DocSecurity>
  <Lines>22</Lines>
  <Paragraphs>17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Rahmati</dc:creator>
  <cp:keywords/>
  <dc:description/>
  <cp:lastModifiedBy>Ali Rahmati</cp:lastModifiedBy>
  <cp:revision>3</cp:revision>
  <dcterms:created xsi:type="dcterms:W3CDTF">2025-01-01T11:43:00Z</dcterms:created>
  <dcterms:modified xsi:type="dcterms:W3CDTF">2025-01-02T20:52:00Z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f53c0237-5362-4562-8c89-ac2c47486514</vt:lpwstr>
  </property>
</Properties>
</file>