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CD0" w:rsidRDefault="004E6CD0" w:rsidP="004E6CD0">
      <w:pPr>
        <w:widowControl/>
        <w:spacing w:after="0" w:line="240" w:lineRule="auto"/>
        <w:jc w:val="left"/>
        <w:rPr>
          <w:rFonts w:ascii="Times New Roman" w:eastAsia="Malgun Gothic" w:hAnsi="Times New Roman" w:cs="Times New Roman"/>
          <w:sz w:val="24"/>
        </w:rPr>
      </w:pPr>
      <w:r>
        <w:rPr>
          <w:rFonts w:ascii="Times New Roman" w:eastAsia="SimSun" w:hAnsi="Times New Roman" w:cs="Times New Roman"/>
          <w:b/>
          <w:sz w:val="24"/>
        </w:rPr>
        <w:t xml:space="preserve">Supplementary </w:t>
      </w:r>
      <w:r>
        <w:rPr>
          <w:rFonts w:ascii="Times New Roman" w:eastAsia="SimSun" w:hAnsi="Times New Roman" w:cs="Times New Roman" w:hint="eastAsia"/>
          <w:b/>
          <w:sz w:val="24"/>
        </w:rPr>
        <w:t>Table</w:t>
      </w:r>
      <w:r>
        <w:rPr>
          <w:rFonts w:ascii="Times New Roman" w:eastAsia="Malgun Gothic" w:hAnsi="Times New Roman" w:cs="Times New Roman"/>
          <w:b/>
          <w:sz w:val="24"/>
        </w:rPr>
        <w:t>1</w:t>
      </w:r>
      <w:r>
        <w:rPr>
          <w:rFonts w:ascii="Times New Roman" w:eastAsia="Malgun Gothic" w:hAnsi="Times New Roman" w:cs="Times New Roman"/>
          <w:sz w:val="24"/>
        </w:rPr>
        <w:t xml:space="preserve"> C</w:t>
      </w:r>
      <w:r>
        <w:rPr>
          <w:rFonts w:ascii="Times New Roman" w:eastAsia="Arial" w:hAnsi="Times New Roman" w:cs="Times New Roman"/>
          <w:sz w:val="24"/>
        </w:rPr>
        <w:t>haracteristics</w:t>
      </w:r>
      <w:r>
        <w:rPr>
          <w:rFonts w:ascii="Times New Roman" w:eastAsia="Malgun Gothic" w:hAnsi="Times New Roman" w:cs="Times New Roman"/>
          <w:sz w:val="24"/>
        </w:rPr>
        <w:t xml:space="preserve"> of baselines in the </w:t>
      </w:r>
      <w:r>
        <w:rPr>
          <w:rFonts w:ascii="Times New Roman" w:eastAsia="SimSun" w:hAnsi="Times New Roman" w:cs="Times New Roman"/>
          <w:sz w:val="24"/>
        </w:rPr>
        <w:t>t</w:t>
      </w:r>
      <w:r>
        <w:rPr>
          <w:rFonts w:ascii="Times New Roman" w:eastAsia="Malgun Gothic" w:hAnsi="Times New Roman" w:cs="Times New Roman"/>
          <w:sz w:val="24"/>
        </w:rPr>
        <w:t xml:space="preserve">raining and </w:t>
      </w:r>
      <w:r>
        <w:rPr>
          <w:rFonts w:ascii="Times New Roman" w:eastAsia="SimSun" w:hAnsi="Times New Roman" w:cs="Times New Roman"/>
          <w:sz w:val="24"/>
        </w:rPr>
        <w:t>v</w:t>
      </w:r>
      <w:r>
        <w:rPr>
          <w:rFonts w:ascii="Times New Roman" w:eastAsia="Malgun Gothic" w:hAnsi="Times New Roman" w:cs="Times New Roman"/>
          <w:sz w:val="24"/>
        </w:rPr>
        <w:t xml:space="preserve">alidation </w:t>
      </w:r>
      <w:r>
        <w:rPr>
          <w:rFonts w:ascii="Times New Roman" w:eastAsia="SimSun" w:hAnsi="Times New Roman" w:cs="Times New Roman"/>
          <w:sz w:val="24"/>
        </w:rPr>
        <w:t>c</w:t>
      </w:r>
      <w:r>
        <w:rPr>
          <w:rFonts w:ascii="Times New Roman" w:eastAsia="Malgun Gothic" w:hAnsi="Times New Roman" w:cs="Times New Roman"/>
          <w:sz w:val="24"/>
        </w:rPr>
        <w:t>ohorts.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417"/>
        <w:gridCol w:w="2885"/>
        <w:gridCol w:w="335"/>
        <w:gridCol w:w="3109"/>
      </w:tblGrid>
      <w:tr w:rsidR="004E6CD0" w:rsidTr="00A9622E">
        <w:trPr>
          <w:trHeight w:hRule="exact" w:val="340"/>
        </w:trPr>
        <w:tc>
          <w:tcPr>
            <w:tcW w:w="17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bCs/>
                <w:sz w:val="20"/>
                <w:szCs w:val="20"/>
              </w:rPr>
              <w:t>Variables</w:t>
            </w:r>
          </w:p>
        </w:tc>
        <w:tc>
          <w:tcPr>
            <w:tcW w:w="148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Training cohort, N = 62,294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(%) </w:t>
            </w:r>
          </w:p>
        </w:tc>
        <w:tc>
          <w:tcPr>
            <w:tcW w:w="172" w:type="pct"/>
            <w:tcBorders>
              <w:top w:val="single" w:sz="8" w:space="0" w:color="auto"/>
              <w:bottom w:val="single" w:sz="8" w:space="0" w:color="auto"/>
            </w:tcBorders>
          </w:tcPr>
          <w:p w:rsidR="004E6CD0" w:rsidRDefault="004E6CD0" w:rsidP="00A9622E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9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Validation cohort, N = 3,327 (%)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48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single" w:sz="8" w:space="0" w:color="auto"/>
            </w:tcBorders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33,192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53.3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1,452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(4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Male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29,102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46.7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1,875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56.4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Age, years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Mean (SD) 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68.1 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13.8)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59.9 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11.6)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Tumor size, cm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Median (SD)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4.5 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2.2)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5.5 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2.1)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Histological grade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ind w:firstLineChars="100" w:firstLine="200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Grade I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5,523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(8.9)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99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3.0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ind w:firstLineChars="100" w:firstLine="200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Grade II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44,452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(7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.4)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2,610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(7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8.4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ind w:firstLineChars="100" w:firstLine="200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Grade III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11,245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18.1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615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8.5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ind w:firstLineChars="100" w:firstLine="200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Grade IV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1,074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(1.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3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AJCC 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T stage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T1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5,879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9.4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T2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10,729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17.2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T3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38,359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61.6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1,789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53.8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T4a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4,352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7.0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1,015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30.5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T4b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2,975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(4.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433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13.0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AJCC 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N stage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N0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37,998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61.0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1,298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39.0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N1a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7,694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(12.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723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21.7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N1b/1c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7,705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2.4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709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21.3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N2a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4,988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(8.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345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10.4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N2b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3,909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6.3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252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(7.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Retrieved lymph nodes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&lt; 12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16,674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(2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6.8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1,052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31.6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≥ 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80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45,620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(7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3.2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2" w:type="pct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2,275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68.4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</w:tr>
      <w:tr w:rsidR="004E6CD0" w:rsidTr="00A9622E">
        <w:trPr>
          <w:trHeight w:hRule="exact" w:val="340"/>
        </w:trPr>
        <w:tc>
          <w:tcPr>
            <w:tcW w:w="1753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 Mean (SD)</w:t>
            </w:r>
          </w:p>
        </w:tc>
        <w:tc>
          <w:tcPr>
            <w:tcW w:w="148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17.2 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9.6)</w:t>
            </w:r>
          </w:p>
        </w:tc>
        <w:tc>
          <w:tcPr>
            <w:tcW w:w="172" w:type="pct"/>
            <w:tcBorders>
              <w:bottom w:val="single" w:sz="8" w:space="0" w:color="auto"/>
            </w:tcBorders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4E6CD0" w:rsidRDefault="004E6CD0" w:rsidP="00A9622E">
            <w:pP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16.7 </w:t>
            </w: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10.0)</w:t>
            </w:r>
          </w:p>
        </w:tc>
      </w:tr>
    </w:tbl>
    <w:p w:rsidR="004E6CD0" w:rsidRDefault="004E6CD0" w:rsidP="004E6CD0">
      <w:pPr>
        <w:spacing w:after="0" w:line="240" w:lineRule="exact"/>
        <w:ind w:left="-142"/>
        <w:jc w:val="left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 Abbreviations: </w:t>
      </w:r>
      <w:r>
        <w:rPr>
          <w:rFonts w:ascii="Times New Roman" w:eastAsia="Malgun Gothic" w:hAnsi="Times New Roman" w:cs="Times New Roman"/>
          <w:sz w:val="20"/>
          <w:szCs w:val="20"/>
        </w:rPr>
        <w:t>AJCC</w:t>
      </w:r>
      <w:r>
        <w:rPr>
          <w:rFonts w:ascii="Times New Roman" w:eastAsia="SimSun" w:hAnsi="Times New Roman" w:cs="Times New Roman"/>
          <w:sz w:val="20"/>
          <w:szCs w:val="20"/>
        </w:rPr>
        <w:t xml:space="preserve">, </w:t>
      </w:r>
      <w:r>
        <w:rPr>
          <w:rFonts w:ascii="Times New Roman" w:eastAsia="Malgun Gothic" w:hAnsi="Times New Roman" w:cs="Times New Roman"/>
          <w:sz w:val="20"/>
          <w:szCs w:val="20"/>
        </w:rPr>
        <w:t>American Joint Committee on Cancer</w:t>
      </w:r>
      <w:r>
        <w:rPr>
          <w:rFonts w:ascii="Times New Roman" w:eastAsia="SimSun" w:hAnsi="Times New Roman" w:cs="Times New Roman"/>
          <w:sz w:val="20"/>
          <w:szCs w:val="20"/>
        </w:rPr>
        <w:t>; SD, standard deviation.</w:t>
      </w:r>
    </w:p>
    <w:p w:rsidR="004E6CD0" w:rsidRDefault="004E6CD0" w:rsidP="004E6CD0">
      <w:pPr>
        <w:widowControl/>
        <w:jc w:val="left"/>
        <w:rPr>
          <w:rFonts w:ascii="Times New Roman" w:eastAsia="SimSun" w:hAnsi="Times New Roman" w:cs="Times New Roman"/>
          <w:kern w:val="0"/>
          <w:sz w:val="24"/>
        </w:rPr>
      </w:pPr>
      <w:r>
        <w:rPr>
          <w:rFonts w:ascii="Times New Roman" w:eastAsia="SimSun" w:hAnsi="Times New Roman" w:cs="Times New Roman"/>
          <w:kern w:val="0"/>
          <w:sz w:val="24"/>
        </w:rPr>
        <w:br w:type="page"/>
      </w:r>
    </w:p>
    <w:p w:rsidR="004E6CD0" w:rsidRDefault="004E6CD0" w:rsidP="004E6CD0">
      <w:pPr>
        <w:widowControl/>
        <w:spacing w:after="0" w:line="240" w:lineRule="auto"/>
        <w:ind w:right="-154"/>
        <w:contextualSpacing/>
        <w:jc w:val="left"/>
        <w:rPr>
          <w:rFonts w:ascii="Times New Roman" w:eastAsia="SimSun" w:hAnsi="Times New Roman" w:cs="Times New Roman"/>
          <w:kern w:val="0"/>
          <w:sz w:val="24"/>
        </w:rPr>
      </w:pPr>
    </w:p>
    <w:p w:rsidR="004E6CD0" w:rsidRDefault="004E6CD0" w:rsidP="004E6CD0">
      <w:pPr>
        <w:widowControl/>
        <w:spacing w:after="0" w:line="240" w:lineRule="auto"/>
        <w:ind w:right="-154"/>
        <w:contextualSpacing/>
        <w:jc w:val="left"/>
        <w:rPr>
          <w:rFonts w:ascii="Times New Roman" w:eastAsia="SimSun" w:hAnsi="Times New Roman" w:cs="Times New Roman"/>
          <w:kern w:val="0"/>
          <w:sz w:val="24"/>
        </w:rPr>
      </w:pPr>
      <w:r>
        <w:rPr>
          <w:rFonts w:ascii="Times New Roman" w:eastAsia="SimSun" w:hAnsi="Times New Roman" w:cs="Times New Roman"/>
          <w:b/>
          <w:kern w:val="0"/>
          <w:sz w:val="24"/>
        </w:rPr>
        <w:t xml:space="preserve">Supplementary </w:t>
      </w:r>
      <w:r>
        <w:rPr>
          <w:rFonts w:ascii="Times New Roman" w:eastAsia="SimSun" w:hAnsi="Times New Roman" w:cs="Times New Roman" w:hint="eastAsia"/>
          <w:b/>
          <w:kern w:val="0"/>
          <w:sz w:val="24"/>
        </w:rPr>
        <w:t>Table</w:t>
      </w:r>
      <w:r>
        <w:rPr>
          <w:rFonts w:ascii="Times New Roman" w:eastAsia="SimSun" w:hAnsi="Times New Roman" w:cs="Times New Roman"/>
          <w:b/>
          <w:kern w:val="0"/>
          <w:sz w:val="24"/>
        </w:rPr>
        <w:t xml:space="preserve"> 2</w:t>
      </w:r>
      <w:r>
        <w:rPr>
          <w:rFonts w:ascii="Times New Roman" w:eastAsia="SimSun" w:hAnsi="Times New Roman" w:cs="Times New Roman"/>
          <w:kern w:val="0"/>
          <w:sz w:val="24"/>
        </w:rPr>
        <w:t xml:space="preserve"> The proposed LNR stage in the training cohort.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3"/>
        <w:gridCol w:w="2690"/>
        <w:gridCol w:w="2177"/>
        <w:gridCol w:w="1290"/>
        <w:gridCol w:w="1226"/>
      </w:tblGrid>
      <w:tr w:rsidR="004E6CD0" w:rsidTr="00A9622E">
        <w:trPr>
          <w:trHeight w:hRule="exact" w:val="340"/>
        </w:trPr>
        <w:tc>
          <w:tcPr>
            <w:tcW w:w="1212" w:type="pct"/>
            <w:vMerge w:val="restart"/>
            <w:tcBorders>
              <w:top w:val="single" w:sz="8" w:space="0" w:color="auto"/>
            </w:tcBorders>
            <w:vAlign w:val="center"/>
          </w:tcPr>
          <w:p w:rsidR="004E6CD0" w:rsidRDefault="004E6CD0" w:rsidP="00A9622E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Values</w:t>
            </w:r>
          </w:p>
        </w:tc>
        <w:tc>
          <w:tcPr>
            <w:tcW w:w="1380" w:type="pct"/>
            <w:vMerge w:val="restart"/>
            <w:tcBorders>
              <w:top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5-Y OS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, % (95% CI)</w:t>
            </w:r>
          </w:p>
        </w:tc>
        <w:tc>
          <w:tcPr>
            <w:tcW w:w="1117" w:type="pct"/>
            <w:vMerge w:val="restart"/>
            <w:tcBorders>
              <w:top w:val="single" w:sz="8" w:space="0" w:color="auto"/>
            </w:tcBorders>
            <w:vAlign w:val="center"/>
          </w:tcPr>
          <w:p w:rsidR="004E6CD0" w:rsidRDefault="004E6CD0" w:rsidP="00A962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HRs (95% CI)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vertAlign w:val="superscript"/>
                <w:lang w:eastAsia="en-US"/>
              </w:rPr>
              <w:t>†</w:t>
            </w:r>
          </w:p>
        </w:tc>
        <w:tc>
          <w:tcPr>
            <w:tcW w:w="129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Log-rank (Mantel-Cox)</w:t>
            </w:r>
            <w:r>
              <w:rPr>
                <w:rFonts w:ascii="Times New Roman" w:hAnsi="Times New Roman" w:cs="Times New Roman"/>
                <w:color w:val="1C1D1E"/>
                <w:kern w:val="0"/>
                <w:shd w:val="clear" w:color="auto" w:fill="FFFFFF"/>
                <w:vertAlign w:val="superscript"/>
                <w:lang w:eastAsia="en-US"/>
              </w:rPr>
              <w:t>‡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Merge/>
            <w:tcBorders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380" w:type="pct"/>
            <w:vMerge/>
            <w:tcBorders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17" w:type="pct"/>
            <w:vMerge/>
            <w:tcBorders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66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sym w:font="Symbol" w:char="F063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value</w:t>
            </w:r>
          </w:p>
        </w:tc>
        <w:tc>
          <w:tcPr>
            <w:tcW w:w="62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i/>
                <w:kern w:val="0"/>
                <w:sz w:val="20"/>
                <w:szCs w:val="20"/>
                <w:lang w:eastAsia="en-US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value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tcBorders>
              <w:top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LNR1</w:t>
            </w:r>
          </w:p>
        </w:tc>
        <w:tc>
          <w:tcPr>
            <w:tcW w:w="1380" w:type="pct"/>
            <w:tcBorders>
              <w:top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74.5 (74.1-75.0)</w:t>
            </w:r>
          </w:p>
        </w:tc>
        <w:tc>
          <w:tcPr>
            <w:tcW w:w="1117" w:type="pct"/>
            <w:tcBorders>
              <w:top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62" w:type="pct"/>
            <w:tcBorders>
              <w:top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29" w:type="pct"/>
            <w:tcBorders>
              <w:top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 xml:space="preserve">  0.00 (n=37,998)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74.6 (74.2-75.0)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1.00 (reference)</w:t>
            </w:r>
          </w:p>
        </w:tc>
        <w:tc>
          <w:tcPr>
            <w:tcW w:w="662" w:type="pct"/>
            <w:shd w:val="clear" w:color="auto" w:fill="auto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 xml:space="preserve">  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0.00, 0.05]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 xml:space="preserve"> (n=2,578)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73.7 (71.9-75.3)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0.95 (0.89-1.02)</w:t>
            </w:r>
          </w:p>
        </w:tc>
        <w:tc>
          <w:tcPr>
            <w:tcW w:w="662" w:type="pct"/>
            <w:shd w:val="clear" w:color="auto" w:fill="auto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1.83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0.176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LNR2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62.4 (61.6-63.1)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(0.05, 0.10]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(n=5,507)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67.3 (66.0-68.5)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1.26 (1.20-1.31)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50.5</w:t>
            </w:r>
            <w:r>
              <w:rPr>
                <w:rFonts w:ascii="Times New Roman" w:hAnsi="Times New Roman" w:cs="Times New Roman"/>
                <w:color w:val="1C1D1E"/>
                <w:kern w:val="0"/>
                <w:shd w:val="clear" w:color="auto" w:fill="FFFFFF"/>
                <w:vertAlign w:val="superscript"/>
                <w:lang w:eastAsia="en-US"/>
              </w:rPr>
              <w:t>§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&lt;0.001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(0.10, 0.15]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(n=3,229)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62.7 (61.0-64.3)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1.40 (1.33-1.48)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11.2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0.001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(0.15, 0.20]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(n=2,877)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59.6 (57.7-61.3)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1.58 (1.50-1.67)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11.1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0.001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(0.20, 0.25]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(n=1,846)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57.5 (55.2-59.7)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1.66 (1.55-1.77)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1.39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0.238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(0.25, 0.30]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(n=1,266)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53.8 (51.0-56.5)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1.79 (1.66-1.94)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2.25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0.134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LNR3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48.6 (47.0-50.1)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(0.3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, 0.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35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(n=1,182)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49.8 (46.9-52.7)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2.02 (1.87-2.18)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4.52</w:t>
            </w:r>
            <w:r>
              <w:rPr>
                <w:rFonts w:ascii="Times New Roman" w:hAnsi="Times New Roman" w:cs="Times New Roman"/>
                <w:color w:val="1C1D1E"/>
                <w:kern w:val="0"/>
                <w:shd w:val="clear" w:color="auto" w:fill="FFFFFF"/>
                <w:vertAlign w:val="superscript"/>
                <w:lang w:eastAsia="en-US"/>
              </w:rPr>
              <w:t>§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0.033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(0.35, 0.40]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(n=1,133)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50.0 (47.1-52.9)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2.09 (1.93-2.26)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0.509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0.476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(0.40, 0.45]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(n=672)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47.0 (43.1-50.7)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2.21 (2.00-2.43)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0.821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0.365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(0.45, 0.50]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(n=952)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46.4 (43.2-49.5)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2.22 (2.04-2.40)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0.004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0.95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LNR4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40.6 (38.1-43.0)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(0.50, 0.55]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(n=277)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39.0 (33.2-44.7)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2.67 (2.31-3.09)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4.50</w:t>
            </w:r>
            <w:r>
              <w:rPr>
                <w:rFonts w:ascii="Times New Roman" w:hAnsi="Times New Roman" w:cs="Times New Roman"/>
                <w:color w:val="1C1D1E"/>
                <w:kern w:val="0"/>
                <w:shd w:val="clear" w:color="auto" w:fill="FFFFFF"/>
                <w:vertAlign w:val="superscript"/>
                <w:lang w:eastAsia="en-US"/>
              </w:rPr>
              <w:t>§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0.034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(0.55, 0.60]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(n=570)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41.8 (37.7-45.8)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2.52 (2.28-2.79)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0.226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0.634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(0.60, 0.65]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(n=278)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39.4 (33.7-45.1)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2.69 (2.33-3.10)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0.365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0.546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(0.65, 0.70]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(n=391)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40.7 (35.8-45.6)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2.60 (2.31-2.94)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0.04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0.841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LNR5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26.9 (24.7-29.2)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 w:bidi="ar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lang w:eastAsia="en-US"/>
              </w:rPr>
              <w:t>--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(0.70, 0.75]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(n=329)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32.1 (27.0-37.2)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3.45 (3.05-3.91)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8.62</w:t>
            </w:r>
            <w:r>
              <w:rPr>
                <w:rFonts w:ascii="Times New Roman" w:hAnsi="Times New Roman" w:cs="Times New Roman"/>
                <w:color w:val="1C1D1E"/>
                <w:kern w:val="0"/>
                <w:shd w:val="clear" w:color="auto" w:fill="FFFFFF"/>
                <w:vertAlign w:val="superscript"/>
                <w:lang w:eastAsia="en-US"/>
              </w:rPr>
              <w:t>§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0.003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(0.75, 0.80]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(n=255)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27.5 (22.1-33.1)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3.71 (3.22-4.26)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0.682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0.409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(0.80, 0.85]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(n=174)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26.6 (20.3-33.4)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4.09 (3.45-4.85)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0.84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0.359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(0.85, 0.90]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(n=207)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26.3 (20.5-32.5)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4.13 (3.54-4.81)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0.987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(0.90, 0.95]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(n=135)</w:t>
            </w:r>
          </w:p>
        </w:tc>
        <w:tc>
          <w:tcPr>
            <w:tcW w:w="1380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21.3 (14.8-28.6)</w:t>
            </w:r>
          </w:p>
        </w:tc>
        <w:tc>
          <w:tcPr>
            <w:tcW w:w="1117" w:type="pct"/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4.84 (4.02-5.83)</w:t>
            </w:r>
          </w:p>
        </w:tc>
        <w:tc>
          <w:tcPr>
            <w:tcW w:w="662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1.20</w:t>
            </w:r>
          </w:p>
        </w:tc>
        <w:tc>
          <w:tcPr>
            <w:tcW w:w="629" w:type="pct"/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0.273</w:t>
            </w:r>
          </w:p>
        </w:tc>
      </w:tr>
      <w:tr w:rsidR="004E6CD0" w:rsidTr="00A9622E">
        <w:trPr>
          <w:trHeight w:hRule="exact" w:val="340"/>
        </w:trPr>
        <w:tc>
          <w:tcPr>
            <w:tcW w:w="1212" w:type="pct"/>
            <w:tcBorders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 (0.95, 1.00]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  <w:t>(n=438)</w:t>
            </w:r>
          </w:p>
        </w:tc>
        <w:tc>
          <w:tcPr>
            <w:tcW w:w="1380" w:type="pct"/>
            <w:tcBorders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25.0 (21.0-29.1)</w:t>
            </w:r>
          </w:p>
        </w:tc>
        <w:tc>
          <w:tcPr>
            <w:tcW w:w="1117" w:type="pct"/>
            <w:tcBorders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4.17 (3.75-4.63)</w:t>
            </w:r>
          </w:p>
        </w:tc>
        <w:tc>
          <w:tcPr>
            <w:tcW w:w="662" w:type="pct"/>
            <w:tcBorders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1.05</w:t>
            </w:r>
          </w:p>
        </w:tc>
        <w:tc>
          <w:tcPr>
            <w:tcW w:w="629" w:type="pct"/>
            <w:tcBorders>
              <w:bottom w:val="single" w:sz="8" w:space="0" w:color="auto"/>
            </w:tcBorders>
            <w:vAlign w:val="center"/>
          </w:tcPr>
          <w:p w:rsidR="004E6CD0" w:rsidRDefault="004E6CD0" w:rsidP="00A9622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eastAsia="en-US" w:bidi="ar"/>
              </w:rPr>
              <w:t>0.305</w:t>
            </w:r>
          </w:p>
        </w:tc>
      </w:tr>
    </w:tbl>
    <w:p w:rsidR="004E6CD0" w:rsidRDefault="004E6CD0" w:rsidP="004E6CD0">
      <w:pPr>
        <w:widowControl/>
        <w:spacing w:after="0" w:line="240" w:lineRule="exact"/>
        <w:ind w:left="-91" w:right="-153"/>
        <w:contextualSpacing/>
        <w:jc w:val="left"/>
        <w:rPr>
          <w:rFonts w:ascii="Times New Roman" w:eastAsia="SimSun" w:hAnsi="Times New Roman" w:cs="Times New Roman"/>
          <w:kern w:val="0"/>
          <w:sz w:val="20"/>
          <w:szCs w:val="20"/>
        </w:rPr>
      </w:pP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Abbreviations: </w:t>
      </w:r>
      <w:r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  <w:t xml:space="preserve">5Y-OS, 5-year overall survival; 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CI, confidence interval; HR, hazard ratio; LNR, lymph node ratio; </w:t>
      </w:r>
    </w:p>
    <w:p w:rsidR="004E6CD0" w:rsidRDefault="004E6CD0" w:rsidP="004E6CD0">
      <w:pPr>
        <w:widowControl/>
        <w:spacing w:after="0" w:line="240" w:lineRule="exact"/>
        <w:ind w:left="-91" w:right="-153"/>
        <w:contextualSpacing/>
        <w:jc w:val="left"/>
        <w:rPr>
          <w:rFonts w:ascii="Times New Roman" w:eastAsia="SimSun" w:hAnsi="Times New Roman" w:cs="Times New Roman"/>
          <w:kern w:val="0"/>
          <w:sz w:val="20"/>
          <w:szCs w:val="20"/>
        </w:rPr>
      </w:pPr>
      <w:r>
        <w:rPr>
          <w:rFonts w:ascii="Times New Roman" w:eastAsia="SimSun" w:hAnsi="Times New Roman" w:cs="Times New Roman"/>
          <w:kern w:val="0"/>
          <w:sz w:val="20"/>
          <w:szCs w:val="20"/>
        </w:rPr>
        <w:t>No., number.</w:t>
      </w:r>
    </w:p>
    <w:p w:rsidR="004E6CD0" w:rsidRDefault="004E6CD0" w:rsidP="004E6CD0">
      <w:pPr>
        <w:widowControl/>
        <w:spacing w:after="0" w:line="240" w:lineRule="exact"/>
        <w:ind w:left="-91" w:right="-153"/>
        <w:contextualSpacing/>
        <w:jc w:val="left"/>
        <w:rPr>
          <w:rFonts w:ascii="Times New Roman" w:eastAsia="SimSun" w:hAnsi="Times New Roman" w:cs="Times New Roman"/>
          <w:kern w:val="0"/>
          <w:sz w:val="20"/>
          <w:szCs w:val="20"/>
        </w:rPr>
      </w:pPr>
      <w:r>
        <w:rPr>
          <w:rFonts w:ascii="Times New Roman" w:eastAsia="SimSun" w:hAnsi="Times New Roman" w:cs="Times New Roman"/>
          <w:kern w:val="0"/>
          <w:sz w:val="20"/>
          <w:szCs w:val="20"/>
          <w:vertAlign w:val="superscript"/>
        </w:rPr>
        <w:t>†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Log-rank tests were conducted between two sequential stages and twenty-one 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sym w:font="Symbol" w:char="F063"/>
      </w:r>
      <w:r>
        <w:rPr>
          <w:rFonts w:ascii="Times New Roman" w:eastAsia="SimSun" w:hAnsi="Times New Roman" w:cs="Times New Roman"/>
          <w:kern w:val="0"/>
          <w:sz w:val="20"/>
          <w:szCs w:val="20"/>
          <w:vertAlign w:val="superscript"/>
        </w:rPr>
        <w:t>2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 values were generated. All stages were compared with </w:t>
      </w:r>
      <w:r>
        <w:rPr>
          <w:rFonts w:ascii="Times New Roman" w:eastAsia="Arial" w:hAnsi="Times New Roman" w:cs="Times New Roman"/>
          <w:sz w:val="20"/>
          <w:szCs w:val="20"/>
        </w:rPr>
        <w:t xml:space="preserve">LNR = 0 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>as reference by values of HRs of Cox proportional hazards.</w:t>
      </w:r>
    </w:p>
    <w:p w:rsidR="004E6CD0" w:rsidRDefault="004E6CD0" w:rsidP="004E6CD0">
      <w:pPr>
        <w:widowControl/>
        <w:spacing w:after="0" w:line="240" w:lineRule="exact"/>
        <w:ind w:left="-91" w:right="-153"/>
        <w:contextualSpacing/>
        <w:jc w:val="left"/>
        <w:rPr>
          <w:rFonts w:ascii="Times New Roman" w:eastAsia="SimSu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color w:val="1C1D1E"/>
          <w:shd w:val="clear" w:color="auto" w:fill="FFFFFF"/>
          <w:vertAlign w:val="superscript"/>
        </w:rPr>
        <w:t>‡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Log-rank tests were conducted between two sequential stages. </w:t>
      </w:r>
    </w:p>
    <w:p w:rsidR="004E6CD0" w:rsidRDefault="004E6CD0" w:rsidP="004E6CD0">
      <w:pPr>
        <w:widowControl/>
        <w:spacing w:after="0" w:line="240" w:lineRule="exact"/>
        <w:ind w:left="-91" w:right="-153"/>
        <w:contextualSpacing/>
        <w:jc w:val="left"/>
        <w:rPr>
          <w:rFonts w:ascii="Times New Roman" w:eastAsia="Arial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1C1D1E"/>
          <w:shd w:val="clear" w:color="auto" w:fill="FFFFFF"/>
          <w:vertAlign w:val="superscript"/>
        </w:rPr>
        <w:t>§</w:t>
      </w:r>
      <w:r>
        <w:rPr>
          <w:rFonts w:ascii="Times New Roman" w:eastAsia="Arial" w:hAnsi="Times New Roman" w:cs="Times New Roman"/>
          <w:sz w:val="20"/>
          <w:szCs w:val="20"/>
        </w:rPr>
        <w:t xml:space="preserve">Hazard ratios (HRs) with 95% confidence intervals (CIs) were estimated using a Cox proportional hazards model, with LNR = 0 as the reference in the training cohort. Twenty-one HR values were ordered from the lowest (LNR = 0) to the highest (0.95 &lt; LNR ≤ 1). Then, log-rank tests for 5-year overall survival were conducted between two sequential stages </w:t>
      </w:r>
    </w:p>
    <w:p w:rsidR="004E6CD0" w:rsidRDefault="004E6CD0" w:rsidP="004E6CD0">
      <w:pPr>
        <w:widowControl/>
        <w:spacing w:after="0" w:line="240" w:lineRule="exact"/>
        <w:ind w:left="-91" w:right="-153"/>
        <w:contextualSpacing/>
        <w:jc w:val="left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="Arial" w:hAnsi="Times New Roman" w:cs="Times New Roman"/>
          <w:sz w:val="20"/>
          <w:szCs w:val="20"/>
        </w:rPr>
        <w:t xml:space="preserve">and 20 </w:t>
      </w:r>
      <w:r>
        <w:rPr>
          <w:rFonts w:ascii="Times New Roman" w:hAnsi="Times New Roman" w:cs="Times New Roman"/>
          <w:sz w:val="20"/>
          <w:szCs w:val="20"/>
        </w:rPr>
        <w:sym w:font="Symbol" w:char="F063"/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Arial" w:hAnsi="Times New Roman" w:cs="Times New Roman"/>
          <w:sz w:val="20"/>
          <w:szCs w:val="20"/>
        </w:rPr>
        <w:t xml:space="preserve"> values were generated. Among the 20 </w:t>
      </w:r>
      <w:r>
        <w:rPr>
          <w:rFonts w:ascii="Times New Roman" w:hAnsi="Times New Roman" w:cs="Times New Roman"/>
          <w:sz w:val="20"/>
          <w:szCs w:val="20"/>
        </w:rPr>
        <w:sym w:font="Symbol" w:char="F063"/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Arial" w:hAnsi="Times New Roman" w:cs="Times New Roman"/>
          <w:sz w:val="20"/>
          <w:szCs w:val="20"/>
        </w:rPr>
        <w:t xml:space="preserve"> values, four largest </w:t>
      </w:r>
      <w:r>
        <w:rPr>
          <w:rFonts w:ascii="Times New Roman" w:hAnsi="Times New Roman" w:cs="Times New Roman"/>
          <w:sz w:val="20"/>
          <w:szCs w:val="20"/>
        </w:rPr>
        <w:sym w:font="Symbol" w:char="F063"/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Arial" w:hAnsi="Times New Roman" w:cs="Times New Roman"/>
          <w:sz w:val="20"/>
          <w:szCs w:val="20"/>
        </w:rPr>
        <w:t xml:space="preserve"> values were identified as the optimal cutoff values (50.5, 4.52, 4.50, 8.62), and we created five categories of the LNR stage that paralleled to those of the AJCC 7</w:t>
      </w:r>
      <w:r>
        <w:rPr>
          <w:rFonts w:ascii="Times New Roman" w:eastAsia="Arial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eastAsia="Arial" w:hAnsi="Times New Roman" w:cs="Times New Roman"/>
          <w:sz w:val="20"/>
          <w:szCs w:val="20"/>
        </w:rPr>
        <w:t xml:space="preserve"> and 8</w:t>
      </w:r>
      <w:r>
        <w:rPr>
          <w:rFonts w:ascii="Times New Roman" w:eastAsia="Arial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eastAsia="Arial" w:hAnsi="Times New Roman" w:cs="Times New Roman"/>
          <w:sz w:val="20"/>
          <w:szCs w:val="20"/>
        </w:rPr>
        <w:t xml:space="preserve"> pN classifications.</w:t>
      </w:r>
    </w:p>
    <w:p w:rsidR="004E6CD0" w:rsidRDefault="004E6CD0" w:rsidP="004E6CD0">
      <w:pPr>
        <w:widowControl/>
        <w:jc w:val="left"/>
        <w:rPr>
          <w:rFonts w:ascii="Times New Roman" w:eastAsia="Arial" w:hAnsi="Times New Roman" w:cs="Times New Roman"/>
          <w:sz w:val="20"/>
          <w:szCs w:val="20"/>
        </w:rPr>
      </w:pPr>
      <w:r>
        <w:rPr>
          <w:rFonts w:ascii="Times New Roman" w:eastAsia="Arial" w:hAnsi="Times New Roman" w:cs="Times New Roman"/>
          <w:sz w:val="20"/>
          <w:szCs w:val="20"/>
        </w:rPr>
        <w:br w:type="page"/>
      </w:r>
    </w:p>
    <w:p w:rsidR="004E6CD0" w:rsidRDefault="004E6CD0" w:rsidP="004E6CD0">
      <w:pPr>
        <w:widowControl/>
        <w:spacing w:after="0" w:line="240" w:lineRule="auto"/>
        <w:ind w:right="-154"/>
        <w:contextualSpacing/>
        <w:jc w:val="left"/>
        <w:rPr>
          <w:rFonts w:ascii="Times New Roman" w:eastAsia="SimSun" w:hAnsi="Times New Roman" w:cs="Times New Roman"/>
          <w:kern w:val="0"/>
          <w:sz w:val="24"/>
        </w:rPr>
      </w:pPr>
      <w:r>
        <w:rPr>
          <w:rFonts w:ascii="Times New Roman" w:eastAsia="SimSun" w:hAnsi="Times New Roman" w:cs="Times New Roman"/>
          <w:b/>
          <w:kern w:val="0"/>
          <w:sz w:val="24"/>
        </w:rPr>
        <w:lastRenderedPageBreak/>
        <w:t xml:space="preserve">Supplementary </w:t>
      </w:r>
      <w:r>
        <w:rPr>
          <w:rFonts w:ascii="Times New Roman" w:eastAsia="SimSun" w:hAnsi="Times New Roman" w:cs="Times New Roman" w:hint="eastAsia"/>
          <w:b/>
          <w:kern w:val="0"/>
          <w:sz w:val="24"/>
        </w:rPr>
        <w:t>Table</w:t>
      </w:r>
      <w:r>
        <w:rPr>
          <w:rFonts w:ascii="Times New Roman" w:eastAsia="SimSun" w:hAnsi="Times New Roman" w:cs="Times New Roman"/>
          <w:b/>
          <w:kern w:val="0"/>
          <w:sz w:val="24"/>
        </w:rPr>
        <w:t xml:space="preserve"> 3</w:t>
      </w:r>
      <w:r>
        <w:rPr>
          <w:rFonts w:ascii="Times New Roman" w:eastAsia="SimSun" w:hAnsi="Times New Roman" w:cs="Times New Roman"/>
          <w:kern w:val="0"/>
          <w:sz w:val="24"/>
        </w:rPr>
        <w:t xml:space="preserve"> </w:t>
      </w:r>
      <w:r>
        <w:rPr>
          <w:rFonts w:ascii="Times New Roman" w:eastAsia="Arial" w:hAnsi="Times New Roman" w:cs="Times New Roman"/>
          <w:sz w:val="24"/>
        </w:rPr>
        <w:t>Comparisons of LNR stages and the AJCC 8</w:t>
      </w:r>
      <w:r>
        <w:rPr>
          <w:rFonts w:ascii="Times New Roman" w:hAnsi="Times New Roman" w:cs="Times New Roman"/>
          <w:bCs/>
          <w:sz w:val="24"/>
          <w:vertAlign w:val="superscript"/>
        </w:rPr>
        <w:t>th</w:t>
      </w:r>
      <w:r>
        <w:rPr>
          <w:rFonts w:ascii="Times New Roman" w:eastAsia="Arial" w:hAnsi="Times New Roman" w:cs="Times New Roman"/>
          <w:sz w:val="24"/>
        </w:rPr>
        <w:t xml:space="preserve"> pN stage in the training cohort.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0"/>
        <w:gridCol w:w="1354"/>
        <w:gridCol w:w="3432"/>
        <w:gridCol w:w="1460"/>
      </w:tblGrid>
      <w:tr w:rsidR="004E6CD0" w:rsidTr="00A9622E">
        <w:trPr>
          <w:trHeight w:hRule="exact" w:val="340"/>
        </w:trPr>
        <w:tc>
          <w:tcPr>
            <w:tcW w:w="1657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Training cohort</w:t>
            </w:r>
          </w:p>
        </w:tc>
        <w:tc>
          <w:tcPr>
            <w:tcW w:w="741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AIC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807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AUC (95% CI)</w:t>
            </w:r>
            <w:r>
              <w:rPr>
                <w:rFonts w:ascii="Times New Roman" w:hAnsi="Times New Roman" w:cs="Times New Roman"/>
                <w:vertAlign w:val="superscript"/>
              </w:rPr>
              <w:t>‡</w:t>
            </w:r>
          </w:p>
        </w:tc>
        <w:tc>
          <w:tcPr>
            <w:tcW w:w="795" w:type="pct"/>
            <w:tcBorders>
              <w:top w:val="single" w:sz="8" w:space="0" w:color="auto"/>
              <w:bottom w:val="single" w:sz="8" w:space="0" w:color="auto"/>
            </w:tcBorders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tcBorders>
              <w:top w:val="single" w:sz="8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Overall patients (N=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62,294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41" w:type="pct"/>
            <w:tcBorders>
              <w:top w:val="single" w:sz="8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07" w:type="pct"/>
            <w:tcBorders>
              <w:top w:val="single" w:sz="8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single" w:sz="8" w:space="0" w:color="auto"/>
            </w:tcBorders>
          </w:tcPr>
          <w:p w:rsidR="004E6CD0" w:rsidRDefault="004E6CD0" w:rsidP="00A9622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AJCC 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pN stage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563,291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584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(0.5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588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LNR stage -Pei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562,703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0.589 (0.585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0.593)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LNR stage-Rosenberg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¶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562,771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0.588 (0.584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0.592)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LNR stage-Berger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perscript"/>
              </w:rPr>
              <w:t>&amp;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562,863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0.590 (0.586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0.594)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Patients with lymph nodes &lt; 12 (n=16,674)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AJCC 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pN stage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132,884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584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(0.5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77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592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LNR stage-Pei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132,751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0.589 (0.581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0.596)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LNR stage-Rosenberg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¶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132,765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0.587 (0.579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0.594)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LNR stage-Berger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perscript"/>
              </w:rPr>
              <w:t>&amp;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132,795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0.589 (0.581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0.596)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Patients with lymph nodes ≥ 12 (n=45,620)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AJCC 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pN stage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399,397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584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(0.5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80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589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LNR stage-Pei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398,942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0.589 (0.585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0.593)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LNR stage-Rosenberg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¶</w:t>
            </w:r>
          </w:p>
        </w:tc>
        <w:tc>
          <w:tcPr>
            <w:tcW w:w="741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398,993</w:t>
            </w:r>
          </w:p>
        </w:tc>
        <w:tc>
          <w:tcPr>
            <w:tcW w:w="1807" w:type="pct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0.589 (0.584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0.593)</w:t>
            </w:r>
          </w:p>
        </w:tc>
        <w:tc>
          <w:tcPr>
            <w:tcW w:w="795" w:type="pct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E6CD0" w:rsidTr="00A9622E">
        <w:trPr>
          <w:trHeight w:hRule="exact" w:val="340"/>
        </w:trPr>
        <w:tc>
          <w:tcPr>
            <w:tcW w:w="1657" w:type="pct"/>
            <w:tcBorders>
              <w:bottom w:val="single" w:sz="8" w:space="0" w:color="auto"/>
            </w:tcBorders>
            <w:shd w:val="clear" w:color="auto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ind w:leftChars="100" w:left="21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LNR stage-Berger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vertAlign w:val="superscript"/>
              </w:rPr>
              <w:t>&amp;</w:t>
            </w:r>
          </w:p>
        </w:tc>
        <w:tc>
          <w:tcPr>
            <w:tcW w:w="741" w:type="pct"/>
            <w:tcBorders>
              <w:bottom w:val="single" w:sz="8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399,057</w:t>
            </w:r>
          </w:p>
        </w:tc>
        <w:tc>
          <w:tcPr>
            <w:tcW w:w="1807" w:type="pct"/>
            <w:tcBorders>
              <w:bottom w:val="single" w:sz="8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0.591 (0.586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0.595)</w:t>
            </w:r>
          </w:p>
        </w:tc>
        <w:tc>
          <w:tcPr>
            <w:tcW w:w="795" w:type="pct"/>
            <w:tcBorders>
              <w:bottom w:val="single" w:sz="8" w:space="0" w:color="auto"/>
            </w:tcBorders>
          </w:tcPr>
          <w:p w:rsidR="004E6CD0" w:rsidRDefault="004E6CD0" w:rsidP="00A9622E">
            <w:pPr>
              <w:spacing w:after="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</w:tbl>
    <w:p w:rsidR="004E6CD0" w:rsidRDefault="004E6CD0" w:rsidP="004E6CD0">
      <w:pPr>
        <w:spacing w:after="0" w:line="240" w:lineRule="exac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Abbreviations: </w:t>
      </w:r>
      <w:r>
        <w:rPr>
          <w:rFonts w:ascii="Times New Roman" w:hAnsi="Times New Roman" w:cs="Times New Roman"/>
          <w:sz w:val="20"/>
          <w:szCs w:val="20"/>
        </w:rPr>
        <w:t xml:space="preserve">AIC, Akaike’s information criterion; AJCC, American Joint Committee on Cancer; </w:t>
      </w:r>
    </w:p>
    <w:p w:rsidR="004E6CD0" w:rsidRDefault="004E6CD0" w:rsidP="004E6CD0">
      <w:pPr>
        <w:spacing w:after="0" w:line="240" w:lineRule="exact"/>
        <w:jc w:val="left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AUC, </w:t>
      </w:r>
      <w:r>
        <w:rPr>
          <w:rFonts w:ascii="Times New Roman" w:hAnsi="Times New Roman" w:cs="Times New Roman"/>
          <w:sz w:val="20"/>
          <w:szCs w:val="20"/>
        </w:rPr>
        <w:t>Areas under the receiver-operating characteristic curve; CI, confidence interval; DFS,</w:t>
      </w:r>
      <w:r>
        <w:rPr>
          <w:rFonts w:ascii="Times New Roman" w:eastAsia="SimSun" w:hAnsi="Times New Roman" w:cs="Times New Roman"/>
          <w:sz w:val="20"/>
          <w:szCs w:val="20"/>
        </w:rPr>
        <w:t xml:space="preserve"> disease-free survival; </w:t>
      </w:r>
    </w:p>
    <w:p w:rsidR="004E6CD0" w:rsidRDefault="004E6CD0" w:rsidP="004E6CD0">
      <w:pPr>
        <w:spacing w:after="0" w:line="240" w:lineRule="exact"/>
        <w:jc w:val="left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kern w:val="0"/>
          <w:sz w:val="20"/>
          <w:szCs w:val="20"/>
        </w:rPr>
        <w:t>LNR, lymph node ratio</w:t>
      </w:r>
      <w:r>
        <w:rPr>
          <w:rFonts w:ascii="Times New Roman" w:eastAsia="SimSun" w:hAnsi="Times New Roman" w:cs="Times New Roman"/>
          <w:sz w:val="20"/>
          <w:szCs w:val="20"/>
        </w:rPr>
        <w:t>.</w:t>
      </w:r>
    </w:p>
    <w:p w:rsidR="004E6CD0" w:rsidRDefault="004E6CD0" w:rsidP="004E6CD0">
      <w:pPr>
        <w:spacing w:after="0" w:line="240" w:lineRule="exac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†</w:t>
      </w:r>
      <w:r>
        <w:rPr>
          <w:rFonts w:ascii="Times New Roman" w:hAnsi="Times New Roman" w:cs="Times New Roman"/>
          <w:sz w:val="20"/>
          <w:szCs w:val="20"/>
        </w:rPr>
        <w:t>A lower AIC indicates superior model-fitting.</w:t>
      </w:r>
    </w:p>
    <w:p w:rsidR="004E6CD0" w:rsidRDefault="004E6CD0" w:rsidP="004E6CD0">
      <w:pPr>
        <w:spacing w:after="0" w:line="240" w:lineRule="exac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vertAlign w:val="superscript"/>
        </w:rPr>
        <w:t>‡</w:t>
      </w:r>
      <w:r>
        <w:rPr>
          <w:rFonts w:ascii="Times New Roman" w:hAnsi="Times New Roman" w:cs="Times New Roman"/>
          <w:sz w:val="20"/>
          <w:szCs w:val="20"/>
        </w:rPr>
        <w:t>A higher AUC indicates better discrimination.</w:t>
      </w:r>
    </w:p>
    <w:p w:rsidR="004E6CD0" w:rsidRDefault="004E6CD0" w:rsidP="004E6CD0">
      <w:pPr>
        <w:spacing w:after="0" w:line="240" w:lineRule="exact"/>
        <w:jc w:val="left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§</w:t>
      </w:r>
      <w:r>
        <w:rPr>
          <w:rFonts w:ascii="Times New Roman" w:eastAsia="SimSun" w:hAnsi="Times New Roman" w:cs="Times New Roman"/>
          <w:sz w:val="20"/>
          <w:szCs w:val="20"/>
        </w:rPr>
        <w:t>Cutoff values of LNR-Pei: 0.05, 0.30, 0.50, 0.70.</w:t>
      </w:r>
    </w:p>
    <w:p w:rsidR="004E6CD0" w:rsidRDefault="004E6CD0" w:rsidP="004E6CD0">
      <w:pPr>
        <w:spacing w:after="0" w:line="240" w:lineRule="exact"/>
        <w:jc w:val="left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sz w:val="20"/>
          <w:szCs w:val="20"/>
          <w:vertAlign w:val="superscript"/>
        </w:rPr>
        <w:t>¶</w:t>
      </w:r>
      <w:r>
        <w:rPr>
          <w:rFonts w:ascii="Times New Roman" w:eastAsia="SimSun" w:hAnsi="Times New Roman" w:cs="Times New Roman"/>
          <w:sz w:val="20"/>
          <w:szCs w:val="20"/>
        </w:rPr>
        <w:t>Cutoff values of LNR-Rosenberg: 0, 0.17, 0.41, 0.69.</w:t>
      </w:r>
    </w:p>
    <w:p w:rsidR="004E6CD0" w:rsidRDefault="004E6CD0" w:rsidP="004E6CD0">
      <w:pPr>
        <w:spacing w:after="0" w:line="240" w:lineRule="exact"/>
        <w:jc w:val="left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color w:val="000000"/>
          <w:sz w:val="20"/>
          <w:szCs w:val="20"/>
          <w:vertAlign w:val="superscript"/>
        </w:rPr>
        <w:t>&amp;</w:t>
      </w:r>
      <w:r>
        <w:rPr>
          <w:rFonts w:ascii="Times New Roman" w:eastAsia="SimSun" w:hAnsi="Times New Roman" w:cs="Times New Roman"/>
          <w:sz w:val="20"/>
          <w:szCs w:val="20"/>
        </w:rPr>
        <w:t>Cutoff values of LNR-Berger: 0.05, 0.19, 0.39.</w:t>
      </w:r>
    </w:p>
    <w:p w:rsidR="004E6CD0" w:rsidRDefault="004E6CD0" w:rsidP="004E6CD0">
      <w:pPr>
        <w:spacing w:after="0" w:line="240" w:lineRule="exact"/>
        <w:jc w:val="left"/>
        <w:rPr>
          <w:rFonts w:ascii="Times New Roman" w:eastAsia="SimSu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P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value of </w:t>
      </w:r>
      <w:r>
        <w:rPr>
          <w:rFonts w:ascii="Times New Roman" w:hAnsi="Times New Roman" w:cs="Times New Roman"/>
          <w:sz w:val="20"/>
          <w:szCs w:val="20"/>
        </w:rPr>
        <w:t>Hanley &amp; McNeil test of AUCs.</w:t>
      </w:r>
    </w:p>
    <w:p w:rsidR="004E6CD0" w:rsidRDefault="004E6CD0" w:rsidP="004E6CD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56072" w:rsidRDefault="00D56072">
      <w:bookmarkStart w:id="0" w:name="_GoBack"/>
      <w:bookmarkEnd w:id="0"/>
    </w:p>
    <w:sectPr w:rsidR="00D5607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CD0"/>
    <w:rsid w:val="004E6CD0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ACC2F1-70E9-47EF-AC1C-E433A886B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6CD0"/>
    <w:pPr>
      <w:widowControl w:val="0"/>
      <w:jc w:val="both"/>
    </w:pPr>
    <w:rPr>
      <w:rFonts w:ascii="Calibri" w:eastAsia="MS Mincho" w:hAnsi="Calibri" w:cs="Calibri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qFormat/>
    <w:rsid w:val="004E6CD0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796</Words>
  <Characters>4542</Characters>
  <Application>Microsoft Office Word</Application>
  <DocSecurity>0</DocSecurity>
  <Lines>37</Lines>
  <Paragraphs>10</Paragraphs>
  <ScaleCrop>false</ScaleCrop>
  <Company>Springer Nature IT</Company>
  <LinksUpToDate>false</LinksUpToDate>
  <CharactersWithSpaces>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2021-06-06T15:06:00Z</dcterms:created>
  <dcterms:modified xsi:type="dcterms:W3CDTF">2021-06-06T15:06:00Z</dcterms:modified>
</cp:coreProperties>
</file>