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DB492" w14:textId="3D7283B0" w:rsidR="00376D03" w:rsidRPr="00081737" w:rsidRDefault="00300C87" w:rsidP="00300C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1737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3A33C81D" w14:textId="77777777" w:rsidR="00095568" w:rsidRPr="004D5D54" w:rsidRDefault="00095568" w:rsidP="00095568">
      <w:pPr>
        <w:jc w:val="center"/>
        <w:rPr>
          <w:rFonts w:ascii="Times New Roman" w:hAnsi="Times New Roman" w:cs="Times New Roman"/>
          <w:b/>
          <w:bCs/>
          <w:color w:val="131413"/>
          <w:kern w:val="0"/>
          <w:sz w:val="32"/>
          <w:szCs w:val="32"/>
        </w:rPr>
      </w:pPr>
      <w:r w:rsidRPr="004D5D54">
        <w:rPr>
          <w:rFonts w:ascii="Times New Roman" w:hAnsi="Times New Roman" w:cs="Times New Roman"/>
          <w:b/>
          <w:bCs/>
          <w:color w:val="131413"/>
          <w:kern w:val="0"/>
          <w:sz w:val="32"/>
          <w:szCs w:val="32"/>
        </w:rPr>
        <w:t>Tensile Strength, Cellular Content, and Degradation Properties in Three Generations of Concentrated Growth Factor</w:t>
      </w:r>
    </w:p>
    <w:p w14:paraId="6F90D401" w14:textId="77777777" w:rsidR="00095568" w:rsidRPr="00A202A9" w:rsidRDefault="00095568" w:rsidP="00095568">
      <w:pPr>
        <w:jc w:val="both"/>
        <w:rPr>
          <w:rFonts w:ascii="Times New Roman" w:hAnsi="Times New Roman" w:cs="Times New Roman"/>
          <w:b/>
          <w:bCs/>
          <w:color w:val="131413"/>
          <w:kern w:val="0"/>
          <w:sz w:val="20"/>
          <w:szCs w:val="20"/>
        </w:rPr>
      </w:pPr>
    </w:p>
    <w:p w14:paraId="2222118B" w14:textId="77777777" w:rsidR="00095568" w:rsidRPr="00FB3A99" w:rsidRDefault="00095568" w:rsidP="00095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Authors and Affiliations</w:t>
      </w:r>
    </w:p>
    <w:p w14:paraId="1007B99F" w14:textId="77777777" w:rsidR="00095568" w:rsidRPr="00FB3A99" w:rsidRDefault="00095568" w:rsidP="0009556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Akram Alshirah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, Periodontology Department, College of Medicine and Dentistry, School of Pharmacy and Pharmaceutical Sciences, Faculty of Life &amp; Health Sciences, Ulster University, Coleraine BT52 1SA, United Kingdom.</w:t>
      </w:r>
    </w:p>
    <w:p w14:paraId="1368BE1D" w14:textId="77777777" w:rsidR="00095568" w:rsidRPr="00FB3A99" w:rsidRDefault="00095568" w:rsidP="0009556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Mohamed Elnaem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, School of Pharmacy and Pharmaceutical Sciences, Faculty of Life &amp; Health Sciences, Ulster University, Coleraine BT52 1SA, United Kingdom.</w:t>
      </w:r>
    </w:p>
    <w:p w14:paraId="34521E9A" w14:textId="77777777" w:rsidR="00095568" w:rsidRDefault="00095568" w:rsidP="0009556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Ziad Al-Ani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, School of Medicine, Dentistry &amp; Nursing, Glasgow Dental Hospital &amp; School, G14 Level 5, 378 Sauchiehall Street, Glasgow G2 3JZ, United Kingdom.</w:t>
      </w:r>
    </w:p>
    <w:p w14:paraId="4D6CB909" w14:textId="77777777" w:rsidR="00095568" w:rsidRDefault="00095568" w:rsidP="0009556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800F9A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Malik Hudieb</w:t>
      </w:r>
      <w:r w:rsidRPr="00800F9A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, Department of Advanced Prosthodontics, Tokyo Medical and Dental University, 1-5-45 Yushima, Bunkyo-ku, Tokyo 113-8549, Japan.</w:t>
      </w:r>
    </w:p>
    <w:p w14:paraId="5F0365DC" w14:textId="77777777" w:rsidR="00095568" w:rsidRDefault="00095568" w:rsidP="0009556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A1138C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Jeremy Hamilton</w:t>
      </w:r>
      <w:r w:rsidRPr="00A1138C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 xml:space="preserve">, School of </w:t>
      </w:r>
      <w:r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Engineering</w:t>
      </w:r>
      <w:r w:rsidRPr="00A1138C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 xml:space="preserve">, Faculty of </w:t>
      </w:r>
      <w:r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Computing, Engineering and Build Environment</w:t>
      </w:r>
      <w:r w:rsidRPr="00A1138C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, Ulster University, 25-51 York Street, Belfast, BT15 1ED, United Kingdom.</w:t>
      </w:r>
    </w:p>
    <w:p w14:paraId="20678FBA" w14:textId="77777777" w:rsidR="00095568" w:rsidRPr="00FB3A99" w:rsidRDefault="00095568" w:rsidP="0009556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A57D9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Deborah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 xml:space="preserve"> </w:t>
      </w:r>
      <w:r w:rsidRPr="00A57D9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Lowry</w:t>
      </w:r>
      <w:r w:rsidRPr="00A57D9E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, School of Pharmacy and Pharmaceutical Sciences, Faculty of Life &amp; Health Sciences, Ulster University, Coleraine, BT52 1SA, United Kingdom.</w:t>
      </w:r>
    </w:p>
    <w:p w14:paraId="40018E23" w14:textId="77777777" w:rsidR="00095568" w:rsidRPr="00FB3A99" w:rsidRDefault="00095568" w:rsidP="0009556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Paul McCarron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>, School of Pharmacy and Pharmaceutical Sciences, Faculty of Life &amp; Health Sciences, Ulster University, Coleraine BT52 1SA, United Kingdom.</w:t>
      </w:r>
    </w:p>
    <w:p w14:paraId="16B6BE11" w14:textId="77777777" w:rsidR="00095568" w:rsidRPr="00FB3A99" w:rsidRDefault="00095568" w:rsidP="00095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</w:pP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Corresponding Author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 xml:space="preserve">                                                                                                                                                                           </w:t>
      </w: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Name: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 xml:space="preserve"> Paul McCarron                                                                                                                                                                   </w:t>
      </w: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Affiliation: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 xml:space="preserve"> Professor of Pharmaceutics, School of Pharmacy and Pharmaceutical Sciences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br/>
        <w:t>Full Professor, Faculty of Life &amp; Health Sciences, Ulster University, Coleraine BT52 1SA, United Kingdom.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br/>
      </w:r>
      <w:r w:rsidRPr="00FB3A9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  <w14:ligatures w14:val="none"/>
        </w:rPr>
        <w:t>Email:</w:t>
      </w:r>
      <w:r w:rsidRPr="00FB3A99">
        <w:rPr>
          <w:rFonts w:ascii="Times New Roman" w:eastAsia="Times New Roman" w:hAnsi="Times New Roman" w:cs="Times New Roman"/>
          <w:sz w:val="20"/>
          <w:szCs w:val="20"/>
          <w:lang w:eastAsia="en-GB"/>
          <w14:ligatures w14:val="none"/>
        </w:rPr>
        <w:t xml:space="preserve"> </w:t>
      </w:r>
      <w:hyperlink r:id="rId7" w:history="1">
        <w:r w:rsidRPr="00FB3A99">
          <w:rPr>
            <w:rStyle w:val="Hyperlink"/>
            <w:rFonts w:ascii="Times New Roman" w:eastAsia="Times New Roman" w:hAnsi="Times New Roman" w:cs="Times New Roman"/>
            <w:sz w:val="20"/>
            <w:szCs w:val="20"/>
            <w:lang w:eastAsia="en-GB"/>
            <w14:ligatures w14:val="none"/>
          </w:rPr>
          <w:t>p.mccarron@ulster.ac.uk</w:t>
        </w:r>
      </w:hyperlink>
    </w:p>
    <w:p w14:paraId="08A9D01B" w14:textId="429696C3" w:rsidR="00D96EE3" w:rsidRPr="00081737" w:rsidRDefault="00000000" w:rsidP="00300C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  <w:pict w14:anchorId="68D15AD5">
          <v:rect id="_x0000_i1025" style="width:0;height:1.5pt" o:hralign="center" o:bullet="t" o:hrstd="t" o:hr="t" fillcolor="#a0a0a0" stroked="f"/>
        </w:pict>
      </w:r>
    </w:p>
    <w:p w14:paraId="4A1D07E0" w14:textId="3BD02AD5" w:rsidR="00E2695E" w:rsidRPr="00081737" w:rsidRDefault="004006C6" w:rsidP="00E269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</w:pPr>
      <w:r w:rsidRPr="000817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  <w14:ligatures w14:val="none"/>
        </w:rPr>
        <w:t>Appendix t</w:t>
      </w:r>
      <w:r w:rsidR="00E2695E" w:rsidRPr="000817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  <w14:ligatures w14:val="none"/>
        </w:rPr>
        <w:t>he Abbreviations Arranged Alphabetically</w:t>
      </w:r>
    </w:p>
    <w:p w14:paraId="4A5B656C" w14:textId="3A4619B8" w:rsidR="004006C6" w:rsidRPr="000E2BD4" w:rsidRDefault="00DF5BF1" w:rsidP="00DF5BF1">
      <w:pPr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</w:pPr>
      <w:r w:rsidRPr="00DF5BF1"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  <w:t>A-PRF - Advanced Platelet-Rich Fibrin; Alb-CGF - Albumin-Concentrated Growth Factor; Alb-CGF-SNP - Albumin-Concentrated Growth Factor with Silver Nanoparticles; ANOVA - Analysis of Variance; APAG® - Activated Plasma Albumin Gel; APCs - Autologous Platelet Concentrates; CBC - Complete Blood Count; CGF - Concentrated Growth Factor; CI - Confidence Interval; CO₂ - Carbon Dioxide; DMEM - Dulbecco’s Modified Eagle Medium; EDTA - Ethylenediaminetetraacetic Acid; HISU - Human Intervention Studies Unit; HSD - Honestly Significant Difference; IGF - Insulin-like Growth Factor; L-PRF® - Leukocyte-Platelet Rich Fibrin; MIC - Minimum Inhibitory Concentration; PDGF - Platelet-Derived Growth Factor; PLT - Platelet; PPP - Platelet-Poor Plasma; PRF - Platelet-Rich Fibrin; PRGF - Plasma Rich in Growth Factors; PRP - Platelet-Rich Plasma; REC - Research Ethics Committee; RBCs - Red Blood Cells; SNP - Silver Nanoparticle; TA-XT2 - Texture Analyzer XT2; TGF - Transforming Growth Factor; UTS - Ultimate Tensile Strength; VEGF - Vascular Endothelial Growth Factor; WBCs - White Blood Cells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  <w:t>.</w:t>
      </w:r>
      <w:r w:rsidR="00000000"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  <w:pict w14:anchorId="6B44D144">
          <v:rect id="_x0000_i1026" style="width:0;height:1.5pt" o:hralign="center" o:bullet="t" o:hrstd="t" o:hr="t" fillcolor="#a0a0a0" stroked="f"/>
        </w:pict>
      </w:r>
    </w:p>
    <w:p w14:paraId="2EF80F80" w14:textId="77777777" w:rsidR="00095568" w:rsidRDefault="00095568" w:rsidP="00016386">
      <w:pPr>
        <w:pStyle w:val="NormalWeb"/>
        <w:rPr>
          <w:b/>
          <w:bCs/>
        </w:rPr>
      </w:pPr>
    </w:p>
    <w:p w14:paraId="16B46D53" w14:textId="77777777" w:rsidR="00095568" w:rsidRDefault="00095568" w:rsidP="00016386">
      <w:pPr>
        <w:pStyle w:val="NormalWeb"/>
        <w:rPr>
          <w:b/>
          <w:bCs/>
        </w:rPr>
      </w:pPr>
    </w:p>
    <w:p w14:paraId="06625035" w14:textId="77777777" w:rsidR="00457712" w:rsidRDefault="00457712" w:rsidP="00016386">
      <w:pPr>
        <w:pStyle w:val="NormalWeb"/>
        <w:rPr>
          <w:b/>
          <w:bCs/>
        </w:rPr>
      </w:pPr>
    </w:p>
    <w:p w14:paraId="231282C7" w14:textId="45242536" w:rsidR="00016386" w:rsidRPr="00B579A9" w:rsidRDefault="00CE5A1F" w:rsidP="00016386">
      <w:pPr>
        <w:pStyle w:val="NormalWeb"/>
        <w:rPr>
          <w:b/>
          <w:bCs/>
        </w:rPr>
      </w:pPr>
      <w:r w:rsidRPr="00B579A9">
        <w:rPr>
          <w:b/>
          <w:bCs/>
        </w:rPr>
        <w:lastRenderedPageBreak/>
        <w:t>A</w:t>
      </w:r>
      <w:r w:rsidR="00EA5C93" w:rsidRPr="00B579A9">
        <w:rPr>
          <w:b/>
          <w:bCs/>
        </w:rPr>
        <w:t xml:space="preserve">ppendix </w:t>
      </w:r>
      <w:r w:rsidR="00016386" w:rsidRPr="00B579A9">
        <w:rPr>
          <w:b/>
          <w:bCs/>
        </w:rPr>
        <w:t>Tables</w:t>
      </w:r>
      <w:r w:rsidR="00094666" w:rsidRPr="00B579A9">
        <w:rPr>
          <w:b/>
          <w:bCs/>
        </w:rPr>
        <w:t xml:space="preserve"> and Figures</w:t>
      </w:r>
    </w:p>
    <w:p w14:paraId="3C2376F6" w14:textId="7D300A99" w:rsidR="004006C6" w:rsidRPr="00B579A9" w:rsidRDefault="00EA5C93" w:rsidP="009A084A">
      <w:pPr>
        <w:spacing w:before="100" w:beforeAutospacing="1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</w:pPr>
      <w:r w:rsidRPr="00B579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79A9">
        <w:rPr>
          <w:rFonts w:ascii="Times New Roman" w:hAnsi="Times New Roman" w:cs="Times New Roman"/>
          <w:sz w:val="24"/>
          <w:szCs w:val="24"/>
        </w:rPr>
        <w:t>A</w:t>
      </w:r>
      <w:r w:rsidR="009A084A" w:rsidRPr="00B579A9"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  <w:t>ppendix Table 1 elaborates on the inclusion and exclusion criteria for study participants.</w:t>
      </w:r>
    </w:p>
    <w:tbl>
      <w:tblPr>
        <w:tblW w:w="1041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2"/>
        <w:gridCol w:w="6036"/>
      </w:tblGrid>
      <w:tr w:rsidR="00DF3579" w:rsidRPr="00B579A9" w14:paraId="354CF0A1" w14:textId="77777777" w:rsidTr="0085727C">
        <w:trPr>
          <w:trHeight w:val="349"/>
          <w:tblHeader/>
          <w:tblCellSpacing w:w="15" w:type="dxa"/>
        </w:trPr>
        <w:tc>
          <w:tcPr>
            <w:tcW w:w="0" w:type="auto"/>
            <w:shd w:val="clear" w:color="auto" w:fill="0B769F" w:themeFill="accent4" w:themeFillShade="BF"/>
            <w:vAlign w:val="center"/>
            <w:hideMark/>
          </w:tcPr>
          <w:p w14:paraId="43CCA76D" w14:textId="77777777" w:rsidR="00DF3579" w:rsidRPr="00B579A9" w:rsidRDefault="00DF3579" w:rsidP="00934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0"/>
                <w:sz w:val="24"/>
                <w:szCs w:val="24"/>
                <w:lang w:eastAsia="en-GB"/>
                <w14:ligatures w14:val="none"/>
              </w:rPr>
              <w:t>Inclusion Criteria</w:t>
            </w:r>
          </w:p>
        </w:tc>
        <w:tc>
          <w:tcPr>
            <w:tcW w:w="0" w:type="auto"/>
            <w:shd w:val="clear" w:color="auto" w:fill="0B769F" w:themeFill="accent4" w:themeFillShade="BF"/>
            <w:vAlign w:val="center"/>
            <w:hideMark/>
          </w:tcPr>
          <w:p w14:paraId="1D3FD7F7" w14:textId="77777777" w:rsidR="00DF3579" w:rsidRPr="00B579A9" w:rsidRDefault="00DF3579" w:rsidP="00934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0"/>
                <w:sz w:val="24"/>
                <w:szCs w:val="24"/>
                <w:lang w:eastAsia="en-GB"/>
                <w14:ligatures w14:val="none"/>
              </w:rPr>
              <w:t>Exclusion Criteria</w:t>
            </w:r>
          </w:p>
        </w:tc>
      </w:tr>
      <w:tr w:rsidR="00DF3579" w:rsidRPr="00B579A9" w14:paraId="5D9CF0F5" w14:textId="77777777" w:rsidTr="0085727C">
        <w:trPr>
          <w:trHeight w:val="698"/>
          <w:tblCellSpacing w:w="15" w:type="dxa"/>
        </w:trPr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63B8186B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Systemically healthy individuals aged between 25 and 50 years.</w:t>
            </w:r>
          </w:p>
        </w:tc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288DA919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Pregnant or lactating women, and those menstruating at the time of the study.</w:t>
            </w:r>
          </w:p>
        </w:tc>
      </w:tr>
      <w:tr w:rsidR="00DF3579" w:rsidRPr="00B579A9" w14:paraId="6F905E21" w14:textId="77777777" w:rsidTr="0085727C">
        <w:trPr>
          <w:trHeight w:val="1049"/>
          <w:tblCellSpacing w:w="15" w:type="dxa"/>
        </w:trPr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68D4CEC7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No use of local or systemic antibiotics or antiseptics within three months prior to the study.</w:t>
            </w:r>
          </w:p>
        </w:tc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470D9816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Individuals with blood-borne infections (e.g., HIV, Hepatitis B or C).</w:t>
            </w:r>
          </w:p>
        </w:tc>
      </w:tr>
      <w:tr w:rsidR="00DF3579" w:rsidRPr="00B579A9" w14:paraId="2D137950" w14:textId="77777777" w:rsidTr="0085727C">
        <w:trPr>
          <w:trHeight w:val="698"/>
          <w:tblCellSpacing w:w="15" w:type="dxa"/>
        </w:trPr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10780589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Willing to consent to donating blood for the research.</w:t>
            </w:r>
          </w:p>
        </w:tc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677921D3" w14:textId="37138DD6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Individuals</w:t>
            </w:r>
            <w:r w:rsidR="009A084A"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are</w:t>
            </w: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unable to provide informed consent.</w:t>
            </w:r>
          </w:p>
        </w:tc>
      </w:tr>
      <w:tr w:rsidR="00DF3579" w:rsidRPr="00B579A9" w14:paraId="5266F167" w14:textId="77777777" w:rsidTr="0085727C">
        <w:trPr>
          <w:trHeight w:val="1049"/>
          <w:tblCellSpacing w:w="15" w:type="dxa"/>
        </w:trPr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5F21CDD9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Able to comprehend the study's objectives and provide informed consent.</w:t>
            </w:r>
          </w:p>
        </w:tc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2EE2EB3B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Those with medical conditions or a history of systemic disorders.</w:t>
            </w:r>
          </w:p>
        </w:tc>
      </w:tr>
      <w:tr w:rsidR="00DF3579" w:rsidRPr="00B579A9" w14:paraId="59C8296D" w14:textId="77777777" w:rsidTr="0085727C">
        <w:trPr>
          <w:trHeight w:val="698"/>
          <w:tblCellSpacing w:w="15" w:type="dxa"/>
        </w:trPr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5247D462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Non-smokers and free from infections or systemic disorders.</w:t>
            </w:r>
          </w:p>
        </w:tc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28AB96E2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Recent use of anticoagulants or other medications in the past three months.</w:t>
            </w:r>
          </w:p>
        </w:tc>
      </w:tr>
      <w:tr w:rsidR="00DF3579" w:rsidRPr="00B579A9" w14:paraId="1C153F99" w14:textId="77777777" w:rsidTr="0085727C">
        <w:trPr>
          <w:trHeight w:val="698"/>
          <w:tblCellSpacing w:w="15" w:type="dxa"/>
        </w:trPr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6EEA25D1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No use of non-steroidal anti-inflammatory drugs.</w:t>
            </w:r>
          </w:p>
        </w:tc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27B9C05C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Smokers and individuals who consumed alcohol within the previous 72 hours.</w:t>
            </w:r>
          </w:p>
        </w:tc>
      </w:tr>
      <w:tr w:rsidR="00DF3579" w:rsidRPr="00B579A9" w14:paraId="6A786377" w14:textId="77777777" w:rsidTr="0085727C">
        <w:trPr>
          <w:trHeight w:val="1049"/>
          <w:tblCellSpacing w:w="15" w:type="dxa"/>
        </w:trPr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76359091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Hemoglobin levels greater than 11g/dl and platelet count exceeding 150,000/mm³.</w:t>
            </w:r>
          </w:p>
        </w:tc>
        <w:tc>
          <w:tcPr>
            <w:tcW w:w="0" w:type="auto"/>
            <w:shd w:val="clear" w:color="auto" w:fill="E8E8E8" w:themeFill="background2"/>
            <w:vAlign w:val="center"/>
            <w:hideMark/>
          </w:tcPr>
          <w:p w14:paraId="7FF80F85" w14:textId="77777777" w:rsidR="00DF3579" w:rsidRPr="00B579A9" w:rsidRDefault="00DF3579" w:rsidP="00934EF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579A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Men who have donated more than 500ml of blood or women who have donated more than 250ml of blood within the past six months.</w:t>
            </w:r>
          </w:p>
        </w:tc>
      </w:tr>
    </w:tbl>
    <w:p w14:paraId="5A184913" w14:textId="77777777" w:rsidR="00082D1A" w:rsidRPr="00B579A9" w:rsidRDefault="00082D1A" w:rsidP="00C36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5FD28AB" w14:textId="77777777" w:rsidR="00082D1A" w:rsidRPr="00B579A9" w:rsidRDefault="00082D1A" w:rsidP="00C36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0333047C" w14:textId="2D928DF8" w:rsidR="00C36B52" w:rsidRPr="00B579A9" w:rsidRDefault="00082D1A" w:rsidP="00C36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579A9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w:lastRenderedPageBreak/>
        <w:drawing>
          <wp:anchor distT="0" distB="0" distL="114300" distR="114300" simplePos="0" relativeHeight="251650048" behindDoc="0" locked="0" layoutInCell="1" allowOverlap="1" wp14:anchorId="5F244A64" wp14:editId="459FE48E">
            <wp:simplePos x="0" y="0"/>
            <wp:positionH relativeFrom="margin">
              <wp:posOffset>0</wp:posOffset>
            </wp:positionH>
            <wp:positionV relativeFrom="paragraph">
              <wp:posOffset>685165</wp:posOffset>
            </wp:positionV>
            <wp:extent cx="6858000" cy="3823335"/>
            <wp:effectExtent l="0" t="0" r="0" b="0"/>
            <wp:wrapTopAndBottom/>
            <wp:docPr id="6" name="Picture 5" descr="A diagram of a laboratory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4AFB2666-13D1-FDAE-41C4-7C02A197CE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diagram of a laboratory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4AFB2666-13D1-FDAE-41C4-7C02A197CE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233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6B52" w:rsidRPr="00B579A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Appendix Figure 1 elaborates on the CGF, ALB-CGF, and ALB-CGF-SNP preparation sequence.</w:t>
      </w:r>
    </w:p>
    <w:p w14:paraId="459B86AE" w14:textId="0B5F61B1" w:rsidR="007A38DD" w:rsidRPr="00A31225" w:rsidRDefault="00680B56" w:rsidP="00A3122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579A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Appendix Figure 2 illustrates the workflow of mechanical study preparation of CGF membranes.</w:t>
      </w:r>
    </w:p>
    <w:p w14:paraId="44CD064D" w14:textId="5CA9A56A" w:rsidR="00856A2F" w:rsidRPr="00B579A9" w:rsidRDefault="00396BEB" w:rsidP="007A38DD">
      <w:pPr>
        <w:pStyle w:val="NormalWeb"/>
        <w:rPr>
          <w14:ligatures w14:val="none"/>
        </w:rPr>
      </w:pPr>
      <w:r w:rsidRPr="00396BEB">
        <w:rPr>
          <w14:ligatures w14:val="none"/>
        </w:rPr>
        <w:drawing>
          <wp:inline distT="0" distB="0" distL="0" distR="0" wp14:anchorId="733BB7D6" wp14:editId="41570A4D">
            <wp:extent cx="6858000" cy="3749040"/>
            <wp:effectExtent l="0" t="0" r="0" b="0"/>
            <wp:docPr id="11550526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05266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4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6B00D" w14:textId="55C25F30" w:rsidR="001B520C" w:rsidRPr="00B579A9" w:rsidRDefault="001B520C" w:rsidP="001B520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579A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Appendix Figure 3 illustrates the process for blood sample preparation and flow cytometry analysis for cell count, comparing whole blood with CGF, ALB-CGF, and ALB-CGF-SNP samples.</w:t>
      </w:r>
    </w:p>
    <w:p w14:paraId="60A8D3BD" w14:textId="1359E5A8" w:rsidR="00ED5AFF" w:rsidRPr="00B579A9" w:rsidRDefault="002B25CD" w:rsidP="009B07A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B25CD">
        <w:rPr>
          <w:rFonts w:ascii="Times New Roman" w:hAnsi="Times New Roman" w:cs="Times New Roman"/>
          <w:sz w:val="24"/>
          <w:szCs w:val="24"/>
          <w:lang w:val="en-US"/>
        </w:rPr>
        <w:drawing>
          <wp:inline distT="0" distB="0" distL="0" distR="0" wp14:anchorId="7ACC0750" wp14:editId="079242A1">
            <wp:extent cx="6858000" cy="3007360"/>
            <wp:effectExtent l="0" t="0" r="0" b="0"/>
            <wp:docPr id="1516811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81160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0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5AFF" w:rsidRPr="00B579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462FD12" w14:textId="24F1F6FE" w:rsidR="00094666" w:rsidRPr="00B579A9" w:rsidRDefault="00985A3B" w:rsidP="00985A3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579A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Appendix Figure 4 illustrates the degradation study process, covering sample preparation, incubation, and measurement intervals.</w:t>
      </w:r>
    </w:p>
    <w:p w14:paraId="264956B4" w14:textId="49047E4F" w:rsidR="00646D2A" w:rsidRPr="00B579A9" w:rsidRDefault="00D6530C" w:rsidP="0009466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530C">
        <w:rPr>
          <w:rFonts w:ascii="Times New Roman" w:hAnsi="Times New Roman" w:cs="Times New Roman"/>
          <w:sz w:val="24"/>
          <w:szCs w:val="24"/>
          <w:lang w:val="en-US"/>
        </w:rPr>
        <w:drawing>
          <wp:inline distT="0" distB="0" distL="0" distR="0" wp14:anchorId="4C6E6754" wp14:editId="572A5C5E">
            <wp:extent cx="6858000" cy="3731260"/>
            <wp:effectExtent l="0" t="0" r="0" b="0"/>
            <wp:docPr id="1406040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04020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3B8E7" w14:textId="77777777" w:rsidR="00D6530C" w:rsidRDefault="00D6530C" w:rsidP="00081737">
      <w:pPr>
        <w:spacing w:before="100" w:beforeAutospacing="1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11B74D5" w14:textId="76646C18" w:rsidR="00081737" w:rsidRPr="00B579A9" w:rsidRDefault="00081737" w:rsidP="00081737">
      <w:pPr>
        <w:spacing w:before="100" w:beforeAutospacing="1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</w:pPr>
      <w:r w:rsidRPr="00B579A9">
        <w:rPr>
          <w:rFonts w:ascii="Times New Roman" w:eastAsia="Times New Roman" w:hAnsi="Times New Roman" w:cs="Times New Roman"/>
          <w:sz w:val="24"/>
          <w:szCs w:val="24"/>
          <w:lang w:eastAsia="en-GB"/>
          <w14:ligatures w14:val="none"/>
        </w:rPr>
        <w:lastRenderedPageBreak/>
        <w:t>Appendix Figure 5 illustrates the mean percentage degradation of CGF, Alb-CGF, and Alb-CGF-SNP membranes over time intervals (Day 1, 7, 14, 30, and 60).</w:t>
      </w:r>
    </w:p>
    <w:p w14:paraId="34934E3B" w14:textId="54EBFBE2" w:rsidR="00094666" w:rsidRPr="00B579A9" w:rsidRDefault="000E2BD4" w:rsidP="00094666">
      <w:pPr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  <w:r w:rsidRPr="00B579A9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eastAsia="en-GB"/>
          <w14:ligatures w14:val="none"/>
        </w:rPr>
        <w:drawing>
          <wp:anchor distT="0" distB="0" distL="114300" distR="114300" simplePos="0" relativeHeight="251664384" behindDoc="0" locked="0" layoutInCell="1" allowOverlap="1" wp14:anchorId="47CD5162" wp14:editId="6F693590">
            <wp:simplePos x="0" y="0"/>
            <wp:positionH relativeFrom="margin">
              <wp:posOffset>0</wp:posOffset>
            </wp:positionH>
            <wp:positionV relativeFrom="paragraph">
              <wp:posOffset>549275</wp:posOffset>
            </wp:positionV>
            <wp:extent cx="6858000" cy="5514975"/>
            <wp:effectExtent l="0" t="0" r="0" b="0"/>
            <wp:wrapTopAndBottom/>
            <wp:docPr id="1191554490" name="Picture 1" descr="A group of graphs showing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554490" name="Picture 1" descr="A group of graphs showing different types of numbers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51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5B60DC" w14:textId="0416E5FC" w:rsidR="00094666" w:rsidRPr="00B579A9" w:rsidRDefault="00094666" w:rsidP="00094666">
      <w:pPr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  <w:r w:rsidRPr="00B579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4E54A2D" w14:textId="54ED96AB" w:rsidR="00094666" w:rsidRPr="00B579A9" w:rsidRDefault="00094666" w:rsidP="009B07A8">
      <w:pPr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</w:p>
    <w:sectPr w:rsidR="00094666" w:rsidRPr="00B579A9" w:rsidSect="00674F24">
      <w:head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7A76C" w14:textId="77777777" w:rsidR="001F669F" w:rsidRDefault="001F669F" w:rsidP="00CC1FDC">
      <w:pPr>
        <w:spacing w:after="0" w:line="240" w:lineRule="auto"/>
      </w:pPr>
      <w:r>
        <w:separator/>
      </w:r>
    </w:p>
  </w:endnote>
  <w:endnote w:type="continuationSeparator" w:id="0">
    <w:p w14:paraId="13BA7D82" w14:textId="77777777" w:rsidR="001F669F" w:rsidRDefault="001F669F" w:rsidP="00CC1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2122E" w14:textId="77777777" w:rsidR="001F669F" w:rsidRDefault="001F669F" w:rsidP="00CC1FDC">
      <w:pPr>
        <w:spacing w:after="0" w:line="240" w:lineRule="auto"/>
      </w:pPr>
      <w:r>
        <w:separator/>
      </w:r>
    </w:p>
  </w:footnote>
  <w:footnote w:type="continuationSeparator" w:id="0">
    <w:p w14:paraId="257433BA" w14:textId="77777777" w:rsidR="001F669F" w:rsidRDefault="001F669F" w:rsidP="00CC1F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30383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EE1697" w14:textId="6CE75D5C" w:rsidR="00CC1FDC" w:rsidRDefault="00CC1FD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2DBA8D" w14:textId="77777777" w:rsidR="00CC1FDC" w:rsidRDefault="00CC1F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57584"/>
    <w:multiLevelType w:val="multilevel"/>
    <w:tmpl w:val="2E6A1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C962DF"/>
    <w:multiLevelType w:val="multilevel"/>
    <w:tmpl w:val="A1C8F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64100781">
    <w:abstractNumId w:val="0"/>
  </w:num>
  <w:num w:numId="2" w16cid:durableId="9757220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3AFA"/>
    <w:rsid w:val="00016386"/>
    <w:rsid w:val="00081737"/>
    <w:rsid w:val="00082D1A"/>
    <w:rsid w:val="00094666"/>
    <w:rsid w:val="00095568"/>
    <w:rsid w:val="00095E57"/>
    <w:rsid w:val="000A1E46"/>
    <w:rsid w:val="000E2398"/>
    <w:rsid w:val="000E2BD4"/>
    <w:rsid w:val="000E2E36"/>
    <w:rsid w:val="00110875"/>
    <w:rsid w:val="001A75A2"/>
    <w:rsid w:val="001B520C"/>
    <w:rsid w:val="001D10F1"/>
    <w:rsid w:val="001F4FE9"/>
    <w:rsid w:val="001F669F"/>
    <w:rsid w:val="00264B0F"/>
    <w:rsid w:val="002B25CD"/>
    <w:rsid w:val="002B679C"/>
    <w:rsid w:val="002E162C"/>
    <w:rsid w:val="00300C87"/>
    <w:rsid w:val="003601EF"/>
    <w:rsid w:val="00376D03"/>
    <w:rsid w:val="00396BEB"/>
    <w:rsid w:val="003A5EDB"/>
    <w:rsid w:val="003E7B11"/>
    <w:rsid w:val="004006C6"/>
    <w:rsid w:val="00457712"/>
    <w:rsid w:val="00503A78"/>
    <w:rsid w:val="005E16A1"/>
    <w:rsid w:val="005F4A90"/>
    <w:rsid w:val="00646D2A"/>
    <w:rsid w:val="00665274"/>
    <w:rsid w:val="00673471"/>
    <w:rsid w:val="00674F24"/>
    <w:rsid w:val="00680B56"/>
    <w:rsid w:val="007243B2"/>
    <w:rsid w:val="00753CCD"/>
    <w:rsid w:val="007A38DD"/>
    <w:rsid w:val="007D7C0A"/>
    <w:rsid w:val="007F466D"/>
    <w:rsid w:val="00856A2F"/>
    <w:rsid w:val="0085727C"/>
    <w:rsid w:val="00943AFA"/>
    <w:rsid w:val="009615F9"/>
    <w:rsid w:val="00985A3B"/>
    <w:rsid w:val="00997520"/>
    <w:rsid w:val="009A084A"/>
    <w:rsid w:val="009B07A8"/>
    <w:rsid w:val="009C403A"/>
    <w:rsid w:val="009C4C05"/>
    <w:rsid w:val="009D6D4D"/>
    <w:rsid w:val="00A31225"/>
    <w:rsid w:val="00AF2A8E"/>
    <w:rsid w:val="00B35EC3"/>
    <w:rsid w:val="00B40561"/>
    <w:rsid w:val="00B579A9"/>
    <w:rsid w:val="00B97F7A"/>
    <w:rsid w:val="00BD1467"/>
    <w:rsid w:val="00C04B39"/>
    <w:rsid w:val="00C11548"/>
    <w:rsid w:val="00C36B52"/>
    <w:rsid w:val="00C636DD"/>
    <w:rsid w:val="00CC1FDC"/>
    <w:rsid w:val="00CE5A1F"/>
    <w:rsid w:val="00D0467C"/>
    <w:rsid w:val="00D41A63"/>
    <w:rsid w:val="00D6530C"/>
    <w:rsid w:val="00D71551"/>
    <w:rsid w:val="00D96EE3"/>
    <w:rsid w:val="00DF3579"/>
    <w:rsid w:val="00DF5BF1"/>
    <w:rsid w:val="00E13981"/>
    <w:rsid w:val="00E2695E"/>
    <w:rsid w:val="00E36AB6"/>
    <w:rsid w:val="00E50C29"/>
    <w:rsid w:val="00E62626"/>
    <w:rsid w:val="00EA5C93"/>
    <w:rsid w:val="00ED3E2A"/>
    <w:rsid w:val="00ED5AFF"/>
    <w:rsid w:val="00F0766C"/>
    <w:rsid w:val="00F96EA9"/>
    <w:rsid w:val="00FB2F94"/>
    <w:rsid w:val="00FF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F704BB"/>
  <w15:chartTrackingRefBased/>
  <w15:docId w15:val="{DBCF45A4-597C-4E51-8D70-35AB79A56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3A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3A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3A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3A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3A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3A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3A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3A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3A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3A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3A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3A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3A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3A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3A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3A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3A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3A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3A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3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3A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3A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3A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3A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3A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3A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3A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3A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3AF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96EE3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1F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1FDC"/>
  </w:style>
  <w:style w:type="paragraph" w:styleId="Footer">
    <w:name w:val="footer"/>
    <w:basedOn w:val="Normal"/>
    <w:link w:val="FooterChar"/>
    <w:uiPriority w:val="99"/>
    <w:unhideWhenUsed/>
    <w:rsid w:val="00CC1F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1FDC"/>
  </w:style>
  <w:style w:type="paragraph" w:styleId="NormalWeb">
    <w:name w:val="Normal (Web)"/>
    <w:basedOn w:val="Normal"/>
    <w:uiPriority w:val="99"/>
    <w:unhideWhenUsed/>
    <w:rsid w:val="00503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03A78"/>
    <w:rPr>
      <w:b/>
      <w:bCs/>
    </w:rPr>
  </w:style>
  <w:style w:type="table" w:styleId="TableGrid">
    <w:name w:val="Table Grid"/>
    <w:basedOn w:val="TableNormal"/>
    <w:uiPriority w:val="39"/>
    <w:rsid w:val="007D7C0A"/>
    <w:pPr>
      <w:spacing w:after="0" w:line="240" w:lineRule="auto"/>
    </w:pPr>
    <w:rPr>
      <w:rFonts w:eastAsiaTheme="minorEastAsia"/>
      <w:kern w:val="0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.mccarron@ulster.ac.uk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</TotalTime>
  <Pages>5</Pages>
  <Words>692</Words>
  <Characters>4229</Characters>
  <Application>Microsoft Office Word</Application>
  <DocSecurity>0</DocSecurity>
  <Lines>117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Akram Alshirah</dc:creator>
  <cp:keywords/>
  <dc:description/>
  <cp:lastModifiedBy>Akram Alshirah</cp:lastModifiedBy>
  <cp:revision>68</cp:revision>
  <dcterms:created xsi:type="dcterms:W3CDTF">2024-08-14T22:53:00Z</dcterms:created>
  <dcterms:modified xsi:type="dcterms:W3CDTF">2024-12-21T18:36:00Z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18fe66c98411a09be2fff9795fe7040277b66b5f8afabf98a3e94a158728601b</vt:lpwstr>
  </property>
</Properties>
</file>