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D9F8C3" w14:textId="77777777" w:rsidR="000D496D" w:rsidRPr="00A71FBA" w:rsidRDefault="000D496D" w:rsidP="000D496D">
      <w:pPr>
        <w:spacing w:before="240" w:line="480" w:lineRule="auto"/>
        <w:jc w:val="both"/>
        <w:rPr>
          <w:rFonts w:ascii="Times New Roman" w:hAnsi="Times New Roman" w:cs="Times New Roman"/>
        </w:rPr>
      </w:pPr>
      <w:r w:rsidRPr="00A71FBA">
        <w:rPr>
          <w:rFonts w:ascii="Times New Roman" w:hAnsi="Times New Roman" w:cs="Times New Roman"/>
        </w:rPr>
        <w:br w:type="page"/>
      </w:r>
      <w:bookmarkStart w:id="0" w:name="Tables"/>
      <w:bookmarkStart w:id="1" w:name="MaterialsMethods"/>
      <w:bookmarkEnd w:id="0"/>
      <w:bookmarkEnd w:id="1"/>
    </w:p>
    <w:p w14:paraId="20291F38" w14:textId="77777777" w:rsidR="000D496D" w:rsidRPr="007371D3" w:rsidRDefault="000D496D" w:rsidP="000D496D">
      <w:pPr>
        <w:pStyle w:val="SMText"/>
        <w:ind w:firstLine="0"/>
        <w:rPr>
          <w:szCs w:val="24"/>
        </w:rPr>
      </w:pPr>
      <w:r>
        <w:rPr>
          <w:noProof/>
          <w:szCs w:val="24"/>
          <w:lang w:eastAsia="zh-CN"/>
        </w:rPr>
        <w:lastRenderedPageBreak/>
        <w:drawing>
          <wp:inline distT="0" distB="0" distL="0" distR="0" wp14:anchorId="1CA844CB" wp14:editId="7E63DDB5">
            <wp:extent cx="5918200" cy="3492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82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F5AAB" w14:textId="77777777" w:rsidR="000D496D" w:rsidRPr="007371D3" w:rsidRDefault="000D496D" w:rsidP="000D496D">
      <w:pPr>
        <w:pStyle w:val="SMcaption"/>
        <w:spacing w:before="240" w:after="60" w:line="480" w:lineRule="auto"/>
        <w:jc w:val="both"/>
        <w:rPr>
          <w:szCs w:val="24"/>
        </w:rPr>
      </w:pPr>
      <w:r w:rsidRPr="007371D3">
        <w:rPr>
          <w:b/>
          <w:bCs/>
          <w:szCs w:val="24"/>
        </w:rPr>
        <w:t>Extended Data Fig. 1 |</w:t>
      </w:r>
      <w:r w:rsidRPr="007371D3">
        <w:rPr>
          <w:szCs w:val="24"/>
        </w:rPr>
        <w:t xml:space="preserve"> </w:t>
      </w:r>
      <w:r w:rsidRPr="007371D3">
        <w:rPr>
          <w:b/>
          <w:szCs w:val="24"/>
        </w:rPr>
        <w:t>Signaling competency and</w:t>
      </w:r>
      <w:r w:rsidRPr="007371D3">
        <w:rPr>
          <w:szCs w:val="24"/>
        </w:rPr>
        <w:t xml:space="preserve"> </w:t>
      </w:r>
      <w:r w:rsidRPr="007371D3">
        <w:rPr>
          <w:b/>
          <w:szCs w:val="24"/>
        </w:rPr>
        <w:t>preparation of</w:t>
      </w:r>
      <w:r w:rsidRPr="007371D3">
        <w:rPr>
          <w:szCs w:val="24"/>
        </w:rPr>
        <w:t xml:space="preserve"> </w:t>
      </w:r>
      <w:r w:rsidRPr="007371D3">
        <w:rPr>
          <w:b/>
          <w:szCs w:val="24"/>
        </w:rPr>
        <w:t>NT-</w:t>
      </w:r>
      <w:r w:rsidRPr="007371D3">
        <w:rPr>
          <w:b/>
          <w:bCs/>
          <w:szCs w:val="24"/>
        </w:rPr>
        <w:t>NTR1-G</w:t>
      </w:r>
      <w:r w:rsidRPr="007371D3">
        <w:rPr>
          <w:b/>
          <w:bCs/>
          <w:szCs w:val="24"/>
          <w:vertAlign w:val="subscript"/>
        </w:rPr>
        <w:t>i</w:t>
      </w:r>
      <w:r w:rsidRPr="007371D3">
        <w:rPr>
          <w:b/>
          <w:bCs/>
          <w:szCs w:val="24"/>
        </w:rPr>
        <w:t xml:space="preserve"> complex in </w:t>
      </w:r>
      <w:proofErr w:type="spellStart"/>
      <w:r w:rsidRPr="007371D3">
        <w:rPr>
          <w:b/>
          <w:bCs/>
          <w:szCs w:val="24"/>
        </w:rPr>
        <w:t>cNDs</w:t>
      </w:r>
      <w:proofErr w:type="spellEnd"/>
      <w:r w:rsidRPr="007371D3">
        <w:rPr>
          <w:szCs w:val="24"/>
        </w:rPr>
        <w:t xml:space="preserve">. </w:t>
      </w:r>
      <w:r w:rsidRPr="007371D3">
        <w:rPr>
          <w:b/>
          <w:szCs w:val="24"/>
        </w:rPr>
        <w:t>a</w:t>
      </w:r>
      <w:r w:rsidRPr="007371D3">
        <w:rPr>
          <w:szCs w:val="24"/>
        </w:rPr>
        <w:t xml:space="preserve">, </w:t>
      </w:r>
      <w:r w:rsidRPr="00033647">
        <w:rPr>
          <w:rFonts w:ascii="Times" w:hAnsi="Times" w:cs="Times"/>
          <w:bCs/>
          <w:lang w:eastAsia="de-DE"/>
        </w:rPr>
        <w:t>Signaling competency of NTR1 constructs</w:t>
      </w:r>
      <w:r w:rsidRPr="00033647">
        <w:rPr>
          <w:szCs w:val="24"/>
        </w:rPr>
        <w:t xml:space="preserve">. Wild-type NTR1 (50-424) or NTR1 variants were </w:t>
      </w:r>
      <w:r w:rsidRPr="00033647">
        <w:rPr>
          <w:lang w:eastAsia="de-DE"/>
        </w:rPr>
        <w:t>transiently transfected into HEK293T/17 cells, and activation of Gα</w:t>
      </w:r>
      <w:r w:rsidRPr="00033647">
        <w:rPr>
          <w:vertAlign w:val="subscript"/>
          <w:lang w:eastAsia="de-DE"/>
        </w:rPr>
        <w:t>q</w:t>
      </w:r>
      <w:r w:rsidRPr="00033647">
        <w:rPr>
          <w:lang w:eastAsia="de-DE"/>
        </w:rPr>
        <w:t xml:space="preserve"> signaling was quantified by measuring of inositol-1-phosphate (IP1) accumulation after stimulation with NT</w:t>
      </w:r>
      <w:r w:rsidRPr="00033647">
        <w:rPr>
          <w:vertAlign w:val="subscript"/>
          <w:lang w:eastAsia="de-DE"/>
        </w:rPr>
        <w:t>8</w:t>
      </w:r>
      <w:r w:rsidRPr="00033647">
        <w:rPr>
          <w:rFonts w:ascii="Arial" w:hAnsi="Arial" w:cs="Arial"/>
          <w:color w:val="000000"/>
          <w:vertAlign w:val="subscript"/>
          <w:lang w:val="de-CH" w:eastAsia="de-DE"/>
        </w:rPr>
        <w:t>–</w:t>
      </w:r>
      <w:r w:rsidRPr="00033647">
        <w:rPr>
          <w:vertAlign w:val="subscript"/>
          <w:lang w:eastAsia="de-DE"/>
        </w:rPr>
        <w:t>13</w:t>
      </w:r>
      <w:r w:rsidRPr="00033647">
        <w:rPr>
          <w:lang w:eastAsia="de-DE"/>
        </w:rPr>
        <w:t xml:space="preserve">. Data were normalized to receptor expression at the cell surface and represented as mean ± SEM of 4 independent experiments performed in duplicate. Left, dose dependent IP1 production expressed as percentage of IP1 accumulation at maximal ligand concentration. Fitting of the curves result in EC50 of 2.664 </w:t>
      </w:r>
      <w:proofErr w:type="spellStart"/>
      <w:r w:rsidRPr="00033647">
        <w:rPr>
          <w:lang w:eastAsia="de-DE"/>
        </w:rPr>
        <w:t>nM</w:t>
      </w:r>
      <w:proofErr w:type="spellEnd"/>
      <w:r w:rsidRPr="00033647">
        <w:rPr>
          <w:lang w:eastAsia="de-DE"/>
        </w:rPr>
        <w:t xml:space="preserve"> for wild-type NTR1 and 0.2188 </w:t>
      </w:r>
      <w:proofErr w:type="spellStart"/>
      <w:r w:rsidRPr="00033647">
        <w:rPr>
          <w:lang w:eastAsia="de-DE"/>
        </w:rPr>
        <w:t>nM</w:t>
      </w:r>
      <w:proofErr w:type="spellEnd"/>
      <w:r w:rsidRPr="00033647">
        <w:rPr>
          <w:lang w:eastAsia="de-DE"/>
        </w:rPr>
        <w:t xml:space="preserve"> for TM86V </w:t>
      </w:r>
      <w:r w:rsidRPr="00033647">
        <w:rPr>
          <w:rFonts w:ascii="Symbol" w:eastAsia="Symbol" w:hAnsi="Symbol" w:cs="Symbol"/>
          <w:lang w:eastAsia="de-DE"/>
        </w:rPr>
        <w:t></w:t>
      </w:r>
      <w:r w:rsidRPr="00033647">
        <w:rPr>
          <w:lang w:eastAsia="de-DE"/>
        </w:rPr>
        <w:t xml:space="preserve">IC3B L167R. Right, bar graph showing IP1 production level at 10 </w:t>
      </w:r>
      <w:r w:rsidRPr="00033647">
        <w:rPr>
          <w:rFonts w:ascii="Symbol" w:eastAsia="Symbol" w:hAnsi="Symbol" w:cs="Symbol"/>
          <w:szCs w:val="24"/>
          <w:lang w:val="de-CH"/>
        </w:rPr>
        <w:t></w:t>
      </w:r>
      <w:r w:rsidRPr="00033647">
        <w:rPr>
          <w:szCs w:val="24"/>
          <w:lang w:val="de-CH"/>
        </w:rPr>
        <w:t>M agonist NT</w:t>
      </w:r>
      <w:r w:rsidRPr="00033647">
        <w:rPr>
          <w:szCs w:val="24"/>
          <w:vertAlign w:val="subscript"/>
          <w:lang w:val="de-CH"/>
        </w:rPr>
        <w:t>8-13</w:t>
      </w:r>
      <w:r w:rsidRPr="00033647">
        <w:rPr>
          <w:szCs w:val="24"/>
          <w:lang w:val="de-CH"/>
        </w:rPr>
        <w:t xml:space="preserve">. The NTR1 variant TM86V </w:t>
      </w:r>
      <w:r w:rsidRPr="00033647">
        <w:rPr>
          <w:rFonts w:ascii="Symbol" w:eastAsia="Symbol" w:hAnsi="Symbol" w:cs="Symbol"/>
          <w:lang w:eastAsia="de-DE"/>
        </w:rPr>
        <w:t></w:t>
      </w:r>
      <w:r w:rsidRPr="00033647">
        <w:rPr>
          <w:lang w:eastAsia="de-DE"/>
        </w:rPr>
        <w:t>IC3B lacking the L167R back mutation exhibits no IP1 production, suggesting the critical role of R167</w:t>
      </w:r>
      <w:r w:rsidRPr="00033647">
        <w:rPr>
          <w:vertAlign w:val="superscript"/>
          <w:lang w:eastAsia="de-DE"/>
        </w:rPr>
        <w:t>3.50</w:t>
      </w:r>
      <w:r w:rsidRPr="00033647">
        <w:rPr>
          <w:lang w:eastAsia="de-DE"/>
        </w:rPr>
        <w:t xml:space="preserve"> in signal transduction</w:t>
      </w:r>
      <w:r w:rsidRPr="007371D3">
        <w:rPr>
          <w:szCs w:val="24"/>
        </w:rPr>
        <w:t xml:space="preserve">. </w:t>
      </w:r>
      <w:r w:rsidRPr="007371D3">
        <w:rPr>
          <w:b/>
          <w:bCs/>
          <w:szCs w:val="24"/>
        </w:rPr>
        <w:t>b-d</w:t>
      </w:r>
      <w:r w:rsidRPr="007371D3">
        <w:rPr>
          <w:szCs w:val="24"/>
        </w:rPr>
        <w:t>, Size-exclusion chromatograms and corresponding SDS-PAGE gels for NTR1 in DH</w:t>
      </w:r>
      <w:r w:rsidRPr="007371D3">
        <w:rPr>
          <w:szCs w:val="24"/>
          <w:vertAlign w:val="subscript"/>
        </w:rPr>
        <w:t>7</w:t>
      </w:r>
      <w:r w:rsidRPr="007371D3">
        <w:rPr>
          <w:szCs w:val="24"/>
        </w:rPr>
        <w:t>PC detergent micelles</w:t>
      </w:r>
      <w:r>
        <w:rPr>
          <w:szCs w:val="24"/>
        </w:rPr>
        <w:t xml:space="preserve"> </w:t>
      </w:r>
      <w:r w:rsidRPr="000D7679">
        <w:rPr>
          <w:bCs/>
          <w:szCs w:val="24"/>
        </w:rPr>
        <w:t>(</w:t>
      </w:r>
      <w:r w:rsidRPr="007371D3">
        <w:rPr>
          <w:b/>
          <w:bCs/>
          <w:szCs w:val="24"/>
        </w:rPr>
        <w:t>b</w:t>
      </w:r>
      <w:r w:rsidRPr="000D7679">
        <w:rPr>
          <w:szCs w:val="24"/>
        </w:rPr>
        <w:t>)</w:t>
      </w:r>
      <w:r>
        <w:rPr>
          <w:szCs w:val="24"/>
        </w:rPr>
        <w:t>,</w:t>
      </w:r>
      <w:r w:rsidRPr="007371D3">
        <w:rPr>
          <w:szCs w:val="24"/>
        </w:rPr>
        <w:t xml:space="preserve"> NTR1 in POPC/POPG cNW9 </w:t>
      </w:r>
      <w:proofErr w:type="spellStart"/>
      <w:r w:rsidRPr="007371D3">
        <w:rPr>
          <w:szCs w:val="24"/>
        </w:rPr>
        <w:t>nanodiscs</w:t>
      </w:r>
      <w:proofErr w:type="spellEnd"/>
      <w:r>
        <w:rPr>
          <w:szCs w:val="24"/>
        </w:rPr>
        <w:t xml:space="preserve"> </w:t>
      </w:r>
      <w:r w:rsidRPr="007371D3">
        <w:rPr>
          <w:szCs w:val="24"/>
        </w:rPr>
        <w:t>(</w:t>
      </w:r>
      <w:r w:rsidRPr="007371D3">
        <w:rPr>
          <w:b/>
          <w:bCs/>
          <w:szCs w:val="24"/>
        </w:rPr>
        <w:t>c</w:t>
      </w:r>
      <w:r w:rsidRPr="007371D3">
        <w:rPr>
          <w:szCs w:val="24"/>
        </w:rPr>
        <w:t>)</w:t>
      </w:r>
      <w:r>
        <w:rPr>
          <w:szCs w:val="24"/>
        </w:rPr>
        <w:t xml:space="preserve"> and</w:t>
      </w:r>
      <w:r w:rsidRPr="007371D3">
        <w:rPr>
          <w:szCs w:val="24"/>
        </w:rPr>
        <w:t xml:space="preserve"> NTR1-G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complex in POPC/POPG cNW9 </w:t>
      </w:r>
      <w:proofErr w:type="spellStart"/>
      <w:r w:rsidRPr="007371D3">
        <w:rPr>
          <w:szCs w:val="24"/>
        </w:rPr>
        <w:t>nanodiscs</w:t>
      </w:r>
      <w:proofErr w:type="spellEnd"/>
      <w:r>
        <w:rPr>
          <w:szCs w:val="24"/>
        </w:rPr>
        <w:t xml:space="preserve"> </w:t>
      </w:r>
      <w:r w:rsidRPr="007371D3">
        <w:rPr>
          <w:szCs w:val="24"/>
        </w:rPr>
        <w:t>(</w:t>
      </w:r>
      <w:r w:rsidRPr="007371D3">
        <w:rPr>
          <w:b/>
          <w:bCs/>
          <w:szCs w:val="24"/>
        </w:rPr>
        <w:t>d</w:t>
      </w:r>
      <w:r w:rsidRPr="007371D3">
        <w:rPr>
          <w:szCs w:val="24"/>
        </w:rPr>
        <w:t>)</w:t>
      </w:r>
      <w:r w:rsidRPr="007371D3">
        <w:rPr>
          <w:rFonts w:eastAsia="SimSun"/>
          <w:szCs w:val="24"/>
        </w:rPr>
        <w:t xml:space="preserve">. </w:t>
      </w:r>
      <w:r w:rsidRPr="007371D3">
        <w:rPr>
          <w:b/>
          <w:bCs/>
          <w:szCs w:val="24"/>
        </w:rPr>
        <w:t>e</w:t>
      </w:r>
      <w:r w:rsidRPr="007371D3">
        <w:rPr>
          <w:szCs w:val="24"/>
        </w:rPr>
        <w:t xml:space="preserve">, Fractions corresponding to the </w:t>
      </w:r>
      <w:r w:rsidRPr="007371D3">
        <w:rPr>
          <w:szCs w:val="24"/>
        </w:rPr>
        <w:lastRenderedPageBreak/>
        <w:t>NT-NTR1-G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complex in </w:t>
      </w:r>
      <w:r w:rsidRPr="00DD79E2">
        <w:rPr>
          <w:bCs/>
          <w:szCs w:val="24"/>
        </w:rPr>
        <w:t>(</w:t>
      </w:r>
      <w:r w:rsidRPr="000D7679">
        <w:rPr>
          <w:b/>
          <w:szCs w:val="24"/>
        </w:rPr>
        <w:t>d</w:t>
      </w:r>
      <w:r w:rsidRPr="00DD79E2">
        <w:rPr>
          <w:bCs/>
          <w:szCs w:val="24"/>
        </w:rPr>
        <w:t>)</w:t>
      </w:r>
      <w:r w:rsidRPr="007371D3">
        <w:rPr>
          <w:szCs w:val="24"/>
        </w:rPr>
        <w:t xml:space="preserve"> were analyzed by negative-stain EM, and then used for cryo-EM structure determination. Top, representative negative-stain EM micrograph of NT-NTR1-G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complexes in </w:t>
      </w:r>
      <w:proofErr w:type="spellStart"/>
      <w:r w:rsidRPr="007371D3">
        <w:rPr>
          <w:szCs w:val="24"/>
        </w:rPr>
        <w:t>cNDs</w:t>
      </w:r>
      <w:proofErr w:type="spellEnd"/>
      <w:r w:rsidRPr="007371D3">
        <w:rPr>
          <w:szCs w:val="24"/>
        </w:rPr>
        <w:t>. Bottom, 2D class averages.</w:t>
      </w:r>
    </w:p>
    <w:p w14:paraId="50663C38" w14:textId="77777777" w:rsidR="000D496D" w:rsidRPr="007371D3" w:rsidRDefault="000D496D" w:rsidP="000D496D">
      <w:pPr>
        <w:pStyle w:val="SMcaption"/>
        <w:rPr>
          <w:szCs w:val="24"/>
        </w:rPr>
      </w:pPr>
    </w:p>
    <w:p w14:paraId="7D2111F9" w14:textId="77777777" w:rsidR="000D496D" w:rsidRPr="007371D3" w:rsidRDefault="000D496D" w:rsidP="000D496D">
      <w:pPr>
        <w:pStyle w:val="SMcaption"/>
        <w:rPr>
          <w:szCs w:val="24"/>
        </w:rPr>
      </w:pPr>
      <w:r w:rsidRPr="007371D3">
        <w:rPr>
          <w:szCs w:val="24"/>
        </w:rPr>
        <w:br w:type="page"/>
      </w:r>
    </w:p>
    <w:p w14:paraId="78BB714B" w14:textId="77777777" w:rsidR="000D496D" w:rsidRPr="007371D3" w:rsidRDefault="000D496D" w:rsidP="000D496D">
      <w:pPr>
        <w:pStyle w:val="SMcaption"/>
        <w:rPr>
          <w:szCs w:val="24"/>
        </w:rPr>
      </w:pPr>
      <w:r w:rsidRPr="007371D3">
        <w:rPr>
          <w:noProof/>
          <w:szCs w:val="24"/>
          <w:lang w:eastAsia="zh-CN"/>
        </w:rPr>
        <w:lastRenderedPageBreak/>
        <w:drawing>
          <wp:inline distT="0" distB="0" distL="0" distR="0" wp14:anchorId="583D7146" wp14:editId="482F6278">
            <wp:extent cx="5943600" cy="309118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e s2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6438E" w14:textId="77777777" w:rsidR="000D496D" w:rsidRPr="007371D3" w:rsidRDefault="000D496D" w:rsidP="000D496D">
      <w:pPr>
        <w:pStyle w:val="SMcaption"/>
        <w:spacing w:before="240" w:after="60" w:line="480" w:lineRule="auto"/>
        <w:jc w:val="both"/>
        <w:rPr>
          <w:szCs w:val="24"/>
        </w:rPr>
      </w:pPr>
      <w:r w:rsidRPr="007371D3">
        <w:rPr>
          <w:b/>
          <w:bCs/>
          <w:szCs w:val="24"/>
        </w:rPr>
        <w:t>Extended Data Fig. 2 |</w:t>
      </w:r>
      <w:r w:rsidRPr="007371D3">
        <w:rPr>
          <w:szCs w:val="24"/>
        </w:rPr>
        <w:t xml:space="preserve"> </w:t>
      </w:r>
      <w:r w:rsidRPr="007371D3">
        <w:rPr>
          <w:b/>
          <w:bCs/>
          <w:szCs w:val="24"/>
        </w:rPr>
        <w:t>Thermostability enhancement of NTR1, G</w:t>
      </w:r>
      <w:r w:rsidRPr="007371D3">
        <w:rPr>
          <w:b/>
          <w:bCs/>
          <w:szCs w:val="24"/>
          <w:vertAlign w:val="subscript"/>
        </w:rPr>
        <w:t>i</w:t>
      </w:r>
      <w:r w:rsidRPr="007371D3">
        <w:rPr>
          <w:b/>
          <w:bCs/>
          <w:szCs w:val="24"/>
        </w:rPr>
        <w:t>, and NTR1-G</w:t>
      </w:r>
      <w:r w:rsidRPr="007371D3">
        <w:rPr>
          <w:b/>
          <w:bCs/>
          <w:szCs w:val="24"/>
          <w:vertAlign w:val="subscript"/>
        </w:rPr>
        <w:t>i</w:t>
      </w:r>
      <w:r w:rsidRPr="007371D3">
        <w:rPr>
          <w:b/>
          <w:bCs/>
          <w:szCs w:val="24"/>
        </w:rPr>
        <w:t xml:space="preserve"> complexes by incorporation into </w:t>
      </w:r>
      <w:proofErr w:type="spellStart"/>
      <w:r w:rsidRPr="007371D3">
        <w:rPr>
          <w:b/>
          <w:bCs/>
          <w:szCs w:val="24"/>
        </w:rPr>
        <w:t>cNDs</w:t>
      </w:r>
      <w:proofErr w:type="spellEnd"/>
      <w:r w:rsidRPr="007371D3">
        <w:rPr>
          <w:szCs w:val="24"/>
        </w:rPr>
        <w:t xml:space="preserve">. </w:t>
      </w:r>
      <w:r w:rsidRPr="007371D3">
        <w:rPr>
          <w:b/>
          <w:szCs w:val="24"/>
        </w:rPr>
        <w:t>a-e</w:t>
      </w:r>
      <w:r w:rsidRPr="007371D3">
        <w:rPr>
          <w:szCs w:val="24"/>
        </w:rPr>
        <w:t>, Circular Dichroism (CD) spectra at 20 ºC before (solid line) and after (dashed line) treatment at 95 ºC of (</w:t>
      </w:r>
      <w:r w:rsidRPr="007371D3">
        <w:rPr>
          <w:b/>
          <w:bCs/>
          <w:szCs w:val="24"/>
        </w:rPr>
        <w:t>a</w:t>
      </w:r>
      <w:r w:rsidRPr="007371D3">
        <w:rPr>
          <w:szCs w:val="24"/>
        </w:rPr>
        <w:t>) NTR1 in DH</w:t>
      </w:r>
      <w:r w:rsidRPr="007371D3">
        <w:rPr>
          <w:szCs w:val="24"/>
          <w:vertAlign w:val="subscript"/>
        </w:rPr>
        <w:t>7</w:t>
      </w:r>
      <w:r w:rsidRPr="007371D3">
        <w:rPr>
          <w:szCs w:val="24"/>
        </w:rPr>
        <w:t>PC detergent micelles; (</w:t>
      </w:r>
      <w:r w:rsidRPr="007371D3">
        <w:rPr>
          <w:b/>
          <w:bCs/>
          <w:szCs w:val="24"/>
        </w:rPr>
        <w:t>b</w:t>
      </w:r>
      <w:r w:rsidRPr="007371D3">
        <w:rPr>
          <w:szCs w:val="24"/>
        </w:rPr>
        <w:t xml:space="preserve">) NTR1 in </w:t>
      </w:r>
      <w:proofErr w:type="spellStart"/>
      <w:r w:rsidRPr="007371D3">
        <w:rPr>
          <w:szCs w:val="24"/>
        </w:rPr>
        <w:t>cNDs</w:t>
      </w:r>
      <w:proofErr w:type="spellEnd"/>
      <w:r w:rsidRPr="007371D3">
        <w:rPr>
          <w:szCs w:val="24"/>
        </w:rPr>
        <w:t>; (</w:t>
      </w:r>
      <w:r w:rsidRPr="007371D3">
        <w:rPr>
          <w:b/>
          <w:bCs/>
          <w:szCs w:val="24"/>
        </w:rPr>
        <w:t>c</w:t>
      </w:r>
      <w:r w:rsidRPr="007371D3">
        <w:rPr>
          <w:szCs w:val="24"/>
        </w:rPr>
        <w:t>) NTR1-G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complex in </w:t>
      </w:r>
      <w:proofErr w:type="spellStart"/>
      <w:r w:rsidRPr="007371D3">
        <w:rPr>
          <w:szCs w:val="24"/>
        </w:rPr>
        <w:t>cNDs</w:t>
      </w:r>
      <w:proofErr w:type="spellEnd"/>
      <w:r w:rsidRPr="007371D3">
        <w:rPr>
          <w:szCs w:val="24"/>
        </w:rPr>
        <w:t>; (</w:t>
      </w:r>
      <w:r w:rsidRPr="007371D3">
        <w:rPr>
          <w:b/>
          <w:bCs/>
          <w:szCs w:val="24"/>
        </w:rPr>
        <w:t>d</w:t>
      </w:r>
      <w:r w:rsidRPr="007371D3">
        <w:rPr>
          <w:szCs w:val="24"/>
        </w:rPr>
        <w:t>)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in detergent micelle;</w:t>
      </w:r>
      <w:r w:rsidRPr="007371D3">
        <w:rPr>
          <w:b/>
          <w:bCs/>
          <w:szCs w:val="24"/>
        </w:rPr>
        <w:t xml:space="preserve"> </w:t>
      </w:r>
      <w:r w:rsidRPr="007371D3">
        <w:rPr>
          <w:szCs w:val="24"/>
        </w:rPr>
        <w:t>(</w:t>
      </w:r>
      <w:r w:rsidRPr="007371D3">
        <w:rPr>
          <w:b/>
          <w:bCs/>
          <w:szCs w:val="24"/>
        </w:rPr>
        <w:t>e</w:t>
      </w:r>
      <w:r w:rsidRPr="007371D3">
        <w:rPr>
          <w:szCs w:val="24"/>
        </w:rPr>
        <w:t>)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in </w:t>
      </w:r>
      <w:proofErr w:type="spellStart"/>
      <w:r w:rsidRPr="007371D3">
        <w:rPr>
          <w:szCs w:val="24"/>
        </w:rPr>
        <w:t>cNDs</w:t>
      </w:r>
      <w:proofErr w:type="spellEnd"/>
      <w:r w:rsidRPr="007371D3">
        <w:rPr>
          <w:szCs w:val="24"/>
        </w:rPr>
        <w:t>.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was reconstituted into </w:t>
      </w:r>
      <w:proofErr w:type="spellStart"/>
      <w:r w:rsidRPr="007371D3">
        <w:rPr>
          <w:szCs w:val="24"/>
        </w:rPr>
        <w:t>cNDs</w:t>
      </w:r>
      <w:proofErr w:type="spellEnd"/>
      <w:r w:rsidRPr="007371D3">
        <w:rPr>
          <w:szCs w:val="24"/>
        </w:rPr>
        <w:t xml:space="preserve"> by incubation with POPC/POPG lipid, cNW9, and cholate, followed by detergent removal and size-exclusion chromatography. </w:t>
      </w:r>
      <w:r w:rsidRPr="007371D3">
        <w:rPr>
          <w:b/>
          <w:szCs w:val="24"/>
        </w:rPr>
        <w:t>f</w:t>
      </w:r>
      <w:r w:rsidRPr="007371D3">
        <w:rPr>
          <w:bCs/>
          <w:szCs w:val="24"/>
        </w:rPr>
        <w:t>,</w:t>
      </w:r>
      <w:r w:rsidRPr="007371D3">
        <w:rPr>
          <w:szCs w:val="24"/>
        </w:rPr>
        <w:t xml:space="preserve"> Temperature-dependent CD signals of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in detergent micelles (black) and </w:t>
      </w:r>
      <w:proofErr w:type="spellStart"/>
      <w:r w:rsidRPr="007371D3">
        <w:rPr>
          <w:szCs w:val="24"/>
        </w:rPr>
        <w:t>cNDs</w:t>
      </w:r>
      <w:proofErr w:type="spellEnd"/>
      <w:r w:rsidRPr="007371D3">
        <w:rPr>
          <w:szCs w:val="24"/>
        </w:rPr>
        <w:t xml:space="preserve"> (red) at 220 nm. The melting temperature (Tm) of </w:t>
      </w:r>
      <w:proofErr w:type="spellStart"/>
      <w:r w:rsidRPr="007371D3">
        <w:rPr>
          <w:szCs w:val="24"/>
        </w:rPr>
        <w:t>cNDs</w:t>
      </w:r>
      <w:proofErr w:type="spellEnd"/>
      <w:r w:rsidRPr="007371D3">
        <w:rPr>
          <w:szCs w:val="24"/>
        </w:rPr>
        <w:t xml:space="preserve"> is 93 ºC (data not shown) and therefore does not affect transitions before this temperature. NTR1 and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account for at least 50% of CD signals even in the presence of </w:t>
      </w:r>
      <w:proofErr w:type="spellStart"/>
      <w:r w:rsidRPr="007371D3">
        <w:rPr>
          <w:szCs w:val="24"/>
        </w:rPr>
        <w:t>cNDs</w:t>
      </w:r>
      <w:proofErr w:type="spellEnd"/>
      <w:r w:rsidRPr="007371D3">
        <w:rPr>
          <w:szCs w:val="24"/>
        </w:rPr>
        <w:t>. NTR1 in detergent micelles irreversibly unfolds during temperature increase with a Tm of 62 ºC. In contrast, NTR1-cND changes structure around 80 ºC and does not lose much secondary structure after decreasing temperature to 20 ºC. Similar observations were made for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, where the protein irreversibly and completely unfolds with Tm of 57 ºC in detergent micelles but displays no clear transition temperature in </w:t>
      </w:r>
      <w:proofErr w:type="spellStart"/>
      <w:r w:rsidRPr="007371D3">
        <w:rPr>
          <w:szCs w:val="24"/>
        </w:rPr>
        <w:t>cNDs</w:t>
      </w:r>
      <w:proofErr w:type="spellEnd"/>
      <w:r w:rsidRPr="007371D3">
        <w:rPr>
          <w:szCs w:val="24"/>
        </w:rPr>
        <w:t xml:space="preserve"> even until 95 ºC. For the NTR1-G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complex in </w:t>
      </w:r>
      <w:proofErr w:type="spellStart"/>
      <w:r w:rsidRPr="007371D3">
        <w:rPr>
          <w:szCs w:val="24"/>
        </w:rPr>
        <w:t>cND</w:t>
      </w:r>
      <w:proofErr w:type="spellEnd"/>
      <w:r w:rsidRPr="007371D3">
        <w:rPr>
          <w:szCs w:val="24"/>
        </w:rPr>
        <w:t xml:space="preserve">, only mild unfolding was </w:t>
      </w:r>
      <w:r w:rsidRPr="007371D3">
        <w:rPr>
          <w:szCs w:val="24"/>
        </w:rPr>
        <w:lastRenderedPageBreak/>
        <w:t>observed around 82 ºC. These observations indicate that lipid bilayers improve the stability of NTR1,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and NTR1-G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complexes relative to detergent micelles.</w:t>
      </w:r>
    </w:p>
    <w:p w14:paraId="078A7B6D" w14:textId="77777777" w:rsidR="000D496D" w:rsidRPr="007371D3" w:rsidRDefault="000D496D" w:rsidP="000D496D">
      <w:pPr>
        <w:pStyle w:val="SMcaption"/>
        <w:rPr>
          <w:szCs w:val="24"/>
        </w:rPr>
      </w:pPr>
    </w:p>
    <w:p w14:paraId="66ADBA18" w14:textId="77777777" w:rsidR="000D496D" w:rsidRPr="007371D3" w:rsidRDefault="000D496D" w:rsidP="000D496D">
      <w:pPr>
        <w:pStyle w:val="SMcaption"/>
        <w:rPr>
          <w:szCs w:val="24"/>
        </w:rPr>
      </w:pPr>
      <w:r w:rsidRPr="007371D3">
        <w:rPr>
          <w:szCs w:val="24"/>
        </w:rPr>
        <w:br w:type="page"/>
      </w:r>
    </w:p>
    <w:p w14:paraId="31C91F15" w14:textId="77777777" w:rsidR="000D496D" w:rsidRPr="007371D3" w:rsidRDefault="000D496D" w:rsidP="000D496D">
      <w:pPr>
        <w:pStyle w:val="SMcaption"/>
        <w:rPr>
          <w:szCs w:val="24"/>
        </w:rPr>
      </w:pPr>
      <w:r w:rsidRPr="007371D3">
        <w:rPr>
          <w:noProof/>
          <w:szCs w:val="24"/>
          <w:lang w:eastAsia="zh-CN"/>
        </w:rPr>
        <w:lastRenderedPageBreak/>
        <w:drawing>
          <wp:inline distT="0" distB="0" distL="0" distR="0" wp14:anchorId="5CE17FD7" wp14:editId="51F24AAC">
            <wp:extent cx="5067300" cy="62611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ure s3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626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A45D8" w14:textId="77777777" w:rsidR="000D496D" w:rsidRPr="007371D3" w:rsidRDefault="000D496D" w:rsidP="000D496D">
      <w:pPr>
        <w:pStyle w:val="SMcaption"/>
        <w:spacing w:before="240" w:after="60" w:line="480" w:lineRule="auto"/>
        <w:jc w:val="both"/>
        <w:rPr>
          <w:szCs w:val="24"/>
        </w:rPr>
      </w:pPr>
      <w:r w:rsidRPr="007371D3">
        <w:rPr>
          <w:b/>
          <w:bCs/>
          <w:szCs w:val="24"/>
        </w:rPr>
        <w:t>Extended Data Fig. 3 |</w:t>
      </w:r>
      <w:r w:rsidRPr="007371D3">
        <w:rPr>
          <w:szCs w:val="24"/>
        </w:rPr>
        <w:t xml:space="preserve"> </w:t>
      </w:r>
      <w:r w:rsidRPr="007371D3">
        <w:rPr>
          <w:b/>
          <w:bCs/>
          <w:szCs w:val="24"/>
        </w:rPr>
        <w:t>Characterization of the interaction between NT-NTR1 and G</w:t>
      </w:r>
      <w:r w:rsidRPr="007371D3">
        <w:rPr>
          <w:b/>
          <w:bCs/>
          <w:szCs w:val="24"/>
          <w:vertAlign w:val="subscript"/>
        </w:rPr>
        <w:t>i</w:t>
      </w:r>
      <w:r w:rsidRPr="007371D3">
        <w:rPr>
          <w:b/>
          <w:bCs/>
          <w:szCs w:val="24"/>
        </w:rPr>
        <w:t xml:space="preserve"> in </w:t>
      </w:r>
      <w:proofErr w:type="spellStart"/>
      <w:r w:rsidRPr="007371D3">
        <w:rPr>
          <w:b/>
          <w:bCs/>
          <w:szCs w:val="24"/>
        </w:rPr>
        <w:t>cNDs</w:t>
      </w:r>
      <w:proofErr w:type="spellEnd"/>
      <w:r w:rsidRPr="007371D3">
        <w:rPr>
          <w:b/>
          <w:bCs/>
          <w:szCs w:val="24"/>
        </w:rPr>
        <w:t xml:space="preserve"> by two-dimensional </w:t>
      </w:r>
      <w:r w:rsidRPr="007371D3">
        <w:rPr>
          <w:b/>
          <w:bCs/>
          <w:szCs w:val="24"/>
          <w:vertAlign w:val="superscript"/>
        </w:rPr>
        <w:t>1</w:t>
      </w:r>
      <w:r w:rsidRPr="007371D3">
        <w:rPr>
          <w:b/>
          <w:bCs/>
          <w:szCs w:val="24"/>
        </w:rPr>
        <w:t xml:space="preserve">H, </w:t>
      </w:r>
      <w:r w:rsidRPr="007371D3">
        <w:rPr>
          <w:b/>
          <w:bCs/>
          <w:szCs w:val="24"/>
          <w:vertAlign w:val="superscript"/>
        </w:rPr>
        <w:t>15</w:t>
      </w:r>
      <w:r w:rsidRPr="007371D3">
        <w:rPr>
          <w:b/>
          <w:bCs/>
          <w:szCs w:val="24"/>
        </w:rPr>
        <w:t>N-TROSY HSQC NMR spectroscopy</w:t>
      </w:r>
      <w:r w:rsidRPr="007371D3">
        <w:rPr>
          <w:szCs w:val="24"/>
        </w:rPr>
        <w:t xml:space="preserve">. </w:t>
      </w:r>
      <w:r w:rsidRPr="007371D3">
        <w:rPr>
          <w:b/>
          <w:szCs w:val="24"/>
        </w:rPr>
        <w:t>a-b</w:t>
      </w:r>
      <w:r w:rsidRPr="007371D3">
        <w:rPr>
          <w:szCs w:val="24"/>
        </w:rPr>
        <w:t xml:space="preserve">, NMR spectrum of </w:t>
      </w:r>
      <w:r w:rsidRPr="007371D3">
        <w:rPr>
          <w:szCs w:val="24"/>
          <w:vertAlign w:val="superscript"/>
        </w:rPr>
        <w:t>15</w:t>
      </w:r>
      <w:r w:rsidRPr="007371D3">
        <w:rPr>
          <w:szCs w:val="24"/>
        </w:rPr>
        <w:t xml:space="preserve">N-labeled NT-NTR1 in </w:t>
      </w:r>
      <w:proofErr w:type="spellStart"/>
      <w:r w:rsidRPr="007371D3">
        <w:rPr>
          <w:szCs w:val="24"/>
        </w:rPr>
        <w:t>cNDs</w:t>
      </w:r>
      <w:proofErr w:type="spellEnd"/>
      <w:r w:rsidRPr="007371D3">
        <w:rPr>
          <w:szCs w:val="24"/>
        </w:rPr>
        <w:t xml:space="preserve"> in the absence </w:t>
      </w:r>
      <w:r w:rsidRPr="007371D3">
        <w:rPr>
          <w:bCs/>
          <w:szCs w:val="24"/>
        </w:rPr>
        <w:t>(</w:t>
      </w:r>
      <w:r w:rsidRPr="007371D3">
        <w:rPr>
          <w:b/>
          <w:bCs/>
          <w:szCs w:val="24"/>
        </w:rPr>
        <w:t>a</w:t>
      </w:r>
      <w:r w:rsidRPr="007371D3">
        <w:rPr>
          <w:szCs w:val="24"/>
        </w:rPr>
        <w:t xml:space="preserve">) and presence </w:t>
      </w:r>
      <w:r w:rsidRPr="007371D3">
        <w:rPr>
          <w:bCs/>
          <w:szCs w:val="24"/>
        </w:rPr>
        <w:t>(</w:t>
      </w:r>
      <w:r w:rsidRPr="007371D3">
        <w:rPr>
          <w:b/>
          <w:bCs/>
          <w:szCs w:val="24"/>
        </w:rPr>
        <w:t>b</w:t>
      </w:r>
      <w:r w:rsidRPr="007371D3">
        <w:rPr>
          <w:szCs w:val="24"/>
        </w:rPr>
        <w:t>) of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. </w:t>
      </w:r>
      <w:r w:rsidRPr="007371D3">
        <w:rPr>
          <w:b/>
          <w:bCs/>
          <w:szCs w:val="24"/>
        </w:rPr>
        <w:t>c,</w:t>
      </w:r>
      <w:r w:rsidRPr="007371D3">
        <w:rPr>
          <w:szCs w:val="24"/>
        </w:rPr>
        <w:t xml:space="preserve"> </w:t>
      </w:r>
      <w:proofErr w:type="gramStart"/>
      <w:r w:rsidRPr="007371D3">
        <w:rPr>
          <w:szCs w:val="24"/>
        </w:rPr>
        <w:t>Overlay</w:t>
      </w:r>
      <w:proofErr w:type="gramEnd"/>
      <w:r w:rsidRPr="007371D3">
        <w:rPr>
          <w:szCs w:val="24"/>
        </w:rPr>
        <w:t xml:space="preserve"> of (</w:t>
      </w:r>
      <w:r w:rsidRPr="007371D3">
        <w:rPr>
          <w:b/>
          <w:szCs w:val="24"/>
        </w:rPr>
        <w:t>a</w:t>
      </w:r>
      <w:r w:rsidRPr="007371D3">
        <w:rPr>
          <w:szCs w:val="24"/>
        </w:rPr>
        <w:t>)</w:t>
      </w:r>
      <w:r w:rsidRPr="007371D3">
        <w:rPr>
          <w:b/>
          <w:bCs/>
          <w:szCs w:val="24"/>
        </w:rPr>
        <w:t xml:space="preserve"> </w:t>
      </w:r>
      <w:r w:rsidRPr="007371D3">
        <w:rPr>
          <w:szCs w:val="24"/>
        </w:rPr>
        <w:t>(red)</w:t>
      </w:r>
      <w:r w:rsidRPr="007371D3">
        <w:rPr>
          <w:b/>
          <w:bCs/>
          <w:szCs w:val="24"/>
        </w:rPr>
        <w:t xml:space="preserve"> </w:t>
      </w:r>
      <w:r w:rsidRPr="007371D3">
        <w:rPr>
          <w:szCs w:val="24"/>
        </w:rPr>
        <w:t>onto (</w:t>
      </w:r>
      <w:r w:rsidRPr="007371D3">
        <w:rPr>
          <w:b/>
          <w:szCs w:val="24"/>
          <w:lang w:eastAsia="zh-CN"/>
        </w:rPr>
        <w:t>b</w:t>
      </w:r>
      <w:r w:rsidRPr="007371D3">
        <w:rPr>
          <w:szCs w:val="24"/>
        </w:rPr>
        <w:t>)</w:t>
      </w:r>
      <w:r w:rsidRPr="007371D3">
        <w:rPr>
          <w:b/>
          <w:bCs/>
          <w:szCs w:val="24"/>
        </w:rPr>
        <w:t xml:space="preserve"> </w:t>
      </w:r>
      <w:r w:rsidRPr="007371D3">
        <w:rPr>
          <w:szCs w:val="24"/>
        </w:rPr>
        <w:t>(black)</w:t>
      </w:r>
      <w:r w:rsidRPr="007371D3">
        <w:rPr>
          <w:b/>
          <w:bCs/>
          <w:szCs w:val="24"/>
        </w:rPr>
        <w:t xml:space="preserve"> </w:t>
      </w:r>
      <w:r w:rsidRPr="007371D3">
        <w:rPr>
          <w:szCs w:val="24"/>
        </w:rPr>
        <w:t>showing structural and dynamical changes of NT-NTR1 upon binding to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in </w:t>
      </w:r>
      <w:proofErr w:type="spellStart"/>
      <w:r w:rsidRPr="007371D3">
        <w:rPr>
          <w:szCs w:val="24"/>
        </w:rPr>
        <w:t>cNDs</w:t>
      </w:r>
      <w:proofErr w:type="spellEnd"/>
      <w:r w:rsidRPr="007371D3">
        <w:rPr>
          <w:szCs w:val="24"/>
        </w:rPr>
        <w:t xml:space="preserve">. </w:t>
      </w:r>
      <w:r w:rsidRPr="007371D3">
        <w:rPr>
          <w:b/>
          <w:bCs/>
          <w:szCs w:val="24"/>
        </w:rPr>
        <w:t>d</w:t>
      </w:r>
      <w:r w:rsidRPr="007371D3">
        <w:rPr>
          <w:szCs w:val="24"/>
        </w:rPr>
        <w:t>,</w:t>
      </w:r>
      <w:r w:rsidRPr="007371D3">
        <w:rPr>
          <w:b/>
          <w:bCs/>
          <w:szCs w:val="24"/>
        </w:rPr>
        <w:t xml:space="preserve"> </w:t>
      </w:r>
      <w:r w:rsidRPr="007371D3">
        <w:rPr>
          <w:szCs w:val="24"/>
        </w:rPr>
        <w:t xml:space="preserve">A region showing conformational stabilization of NTR1. More peaks could be observed in the </w:t>
      </w:r>
      <w:r w:rsidRPr="007371D3">
        <w:rPr>
          <w:szCs w:val="24"/>
        </w:rPr>
        <w:lastRenderedPageBreak/>
        <w:t>presence of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>, suggesting that NTR1 is highly dynamic in the absence of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and resonances are averaged out among a wide range of conformers resulting in low signal-to-noise ratio and even disappeared peaks. Upon interaction with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, NTR1 is stabilized into fewer conformers and becomes less dynamic, which leads to better signal-to-noise ratio and more resonances being observable. </w:t>
      </w:r>
      <w:r w:rsidRPr="007371D3">
        <w:rPr>
          <w:b/>
          <w:bCs/>
          <w:szCs w:val="24"/>
        </w:rPr>
        <w:t>e</w:t>
      </w:r>
      <w:r w:rsidRPr="007371D3">
        <w:rPr>
          <w:szCs w:val="24"/>
        </w:rPr>
        <w:t>, A region showing dynamically slow-exchange shift of NTR1 upon interaction with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. </w:t>
      </w:r>
      <w:r w:rsidRPr="007371D3">
        <w:rPr>
          <w:b/>
          <w:bCs/>
          <w:szCs w:val="24"/>
        </w:rPr>
        <w:t>f</w:t>
      </w:r>
      <w:r w:rsidRPr="007371D3">
        <w:rPr>
          <w:szCs w:val="24"/>
        </w:rPr>
        <w:t>, A region showing chemical shift perturbation of NTR1, suggesting conformational change of NTR1 upon binding to G</w:t>
      </w:r>
      <w:r w:rsidRPr="007371D3">
        <w:rPr>
          <w:szCs w:val="24"/>
          <w:vertAlign w:val="subscript"/>
        </w:rPr>
        <w:t>i</w:t>
      </w:r>
      <w:r w:rsidRPr="007371D3">
        <w:rPr>
          <w:szCs w:val="24"/>
        </w:rPr>
        <w:t xml:space="preserve"> in </w:t>
      </w:r>
      <w:proofErr w:type="spellStart"/>
      <w:r w:rsidRPr="007371D3">
        <w:rPr>
          <w:szCs w:val="24"/>
        </w:rPr>
        <w:t>cNDs</w:t>
      </w:r>
      <w:proofErr w:type="spellEnd"/>
      <w:r w:rsidRPr="007371D3">
        <w:rPr>
          <w:szCs w:val="24"/>
        </w:rPr>
        <w:t>.</w:t>
      </w:r>
    </w:p>
    <w:p w14:paraId="04162173" w14:textId="77777777" w:rsidR="000D496D" w:rsidRPr="007371D3" w:rsidRDefault="000D496D" w:rsidP="000D496D">
      <w:pPr>
        <w:pStyle w:val="SMcaption"/>
        <w:rPr>
          <w:szCs w:val="24"/>
        </w:rPr>
      </w:pPr>
    </w:p>
    <w:p w14:paraId="600DF22C" w14:textId="77777777" w:rsidR="000D496D" w:rsidRPr="007371D3" w:rsidRDefault="000D496D" w:rsidP="000D496D">
      <w:pPr>
        <w:pStyle w:val="SMcaption"/>
        <w:rPr>
          <w:szCs w:val="24"/>
        </w:rPr>
      </w:pPr>
      <w:r w:rsidRPr="007371D3">
        <w:rPr>
          <w:szCs w:val="24"/>
        </w:rPr>
        <w:br w:type="page"/>
      </w:r>
    </w:p>
    <w:p w14:paraId="12106112" w14:textId="77777777" w:rsidR="000D496D" w:rsidRPr="007371D3" w:rsidRDefault="000D496D" w:rsidP="000D496D">
      <w:pPr>
        <w:pStyle w:val="SMcaption"/>
        <w:rPr>
          <w:szCs w:val="24"/>
        </w:rPr>
      </w:pPr>
      <w:r w:rsidRPr="007371D3">
        <w:rPr>
          <w:noProof/>
          <w:szCs w:val="24"/>
          <w:lang w:eastAsia="zh-CN"/>
        </w:rPr>
        <w:lastRenderedPageBreak/>
        <w:drawing>
          <wp:inline distT="0" distB="0" distL="0" distR="0" wp14:anchorId="57279415" wp14:editId="2468BD2D">
            <wp:extent cx="3568700" cy="36449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ure s4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364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8B646" w14:textId="77777777" w:rsidR="000D496D" w:rsidRPr="007371D3" w:rsidRDefault="000D496D" w:rsidP="000D496D">
      <w:pPr>
        <w:spacing w:before="240" w:after="60" w:line="480" w:lineRule="auto"/>
        <w:jc w:val="both"/>
        <w:rPr>
          <w:rFonts w:ascii="Times New Roman" w:hAnsi="Times New Roman" w:cs="Times New Roman"/>
        </w:rPr>
      </w:pPr>
      <w:r w:rsidRPr="007371D3">
        <w:rPr>
          <w:rFonts w:ascii="Times New Roman" w:hAnsi="Times New Roman" w:cs="Times New Roman"/>
          <w:b/>
          <w:bCs/>
        </w:rPr>
        <w:t>Extended Data Fig. 4 |</w:t>
      </w:r>
      <w:r w:rsidRPr="007371D3">
        <w:rPr>
          <w:rFonts w:ascii="Times New Roman" w:hAnsi="Times New Roman" w:cs="Times New Roman"/>
        </w:rPr>
        <w:t xml:space="preserve"> </w:t>
      </w:r>
      <w:r w:rsidRPr="007371D3">
        <w:rPr>
          <w:rFonts w:ascii="Times New Roman" w:hAnsi="Times New Roman" w:cs="Times New Roman"/>
          <w:b/>
          <w:bCs/>
        </w:rPr>
        <w:t>Characterization of the binding kinetics between NT-NTR1 and G</w:t>
      </w:r>
      <w:r w:rsidRPr="007371D3">
        <w:rPr>
          <w:rFonts w:ascii="Times New Roman" w:hAnsi="Times New Roman" w:cs="Times New Roman"/>
          <w:b/>
          <w:bCs/>
          <w:vertAlign w:val="subscript"/>
        </w:rPr>
        <w:t>i</w:t>
      </w:r>
      <w:r w:rsidRPr="007371D3">
        <w:rPr>
          <w:rFonts w:ascii="Times New Roman" w:hAnsi="Times New Roman" w:cs="Times New Roman"/>
          <w:b/>
          <w:bCs/>
        </w:rPr>
        <w:t xml:space="preserve"> in </w:t>
      </w:r>
      <w:proofErr w:type="spellStart"/>
      <w:r w:rsidRPr="007371D3">
        <w:rPr>
          <w:rFonts w:ascii="Times New Roman" w:hAnsi="Times New Roman" w:cs="Times New Roman"/>
          <w:b/>
          <w:bCs/>
        </w:rPr>
        <w:t>cNDs</w:t>
      </w:r>
      <w:proofErr w:type="spellEnd"/>
      <w:r w:rsidRPr="007371D3">
        <w:rPr>
          <w:rFonts w:ascii="Times New Roman" w:hAnsi="Times New Roman" w:cs="Times New Roman"/>
        </w:rPr>
        <w:t xml:space="preserve">. </w:t>
      </w:r>
      <w:r w:rsidRPr="007371D3">
        <w:rPr>
          <w:rFonts w:ascii="Times New Roman" w:hAnsi="Times New Roman" w:cs="Times New Roman"/>
          <w:b/>
          <w:bCs/>
        </w:rPr>
        <w:t>a-b</w:t>
      </w:r>
      <w:r w:rsidRPr="007371D3">
        <w:rPr>
          <w:rFonts w:ascii="Times New Roman" w:hAnsi="Times New Roman" w:cs="Times New Roman"/>
        </w:rPr>
        <w:t>, Fitting of Bio-Layer Interferometry</w:t>
      </w:r>
      <w:r w:rsidRPr="007371D3">
        <w:rPr>
          <w:rFonts w:ascii="Times New Roman" w:hAnsi="Times New Roman" w:cs="Times New Roman"/>
          <w:b/>
          <w:bCs/>
        </w:rPr>
        <w:t xml:space="preserve"> (</w:t>
      </w:r>
      <w:r w:rsidRPr="007371D3">
        <w:rPr>
          <w:rFonts w:ascii="Times New Roman" w:hAnsi="Times New Roman" w:cs="Times New Roman"/>
        </w:rPr>
        <w:t>BLI) traces of 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 xml:space="preserve"> binding to NT-NTR1-cND using one binding mode </w:t>
      </w:r>
      <w:r w:rsidRPr="000D7679">
        <w:rPr>
          <w:rFonts w:ascii="Times New Roman" w:hAnsi="Times New Roman" w:cs="Times New Roman"/>
          <w:bCs/>
        </w:rPr>
        <w:t>(</w:t>
      </w:r>
      <w:r w:rsidRPr="007371D3">
        <w:rPr>
          <w:rFonts w:ascii="Times New Roman" w:hAnsi="Times New Roman" w:cs="Times New Roman"/>
          <w:b/>
        </w:rPr>
        <w:t>a</w:t>
      </w:r>
      <w:r w:rsidRPr="000D7679">
        <w:rPr>
          <w:rFonts w:ascii="Times New Roman" w:hAnsi="Times New Roman" w:cs="Times New Roman"/>
          <w:bCs/>
        </w:rPr>
        <w:t>)</w:t>
      </w:r>
      <w:r w:rsidRPr="007371D3">
        <w:rPr>
          <w:rFonts w:ascii="Times New Roman" w:hAnsi="Times New Roman" w:cs="Times New Roman"/>
        </w:rPr>
        <w:t xml:space="preserve"> and two binding mode </w:t>
      </w:r>
      <w:r w:rsidRPr="000D7679">
        <w:rPr>
          <w:rFonts w:ascii="Times New Roman" w:hAnsi="Times New Roman" w:cs="Times New Roman"/>
          <w:bCs/>
        </w:rPr>
        <w:t>(</w:t>
      </w:r>
      <w:r w:rsidRPr="007371D3">
        <w:rPr>
          <w:rFonts w:ascii="Times New Roman" w:hAnsi="Times New Roman" w:cs="Times New Roman"/>
          <w:b/>
        </w:rPr>
        <w:t>b</w:t>
      </w:r>
      <w:r w:rsidRPr="000D7679">
        <w:rPr>
          <w:rFonts w:ascii="Times New Roman" w:hAnsi="Times New Roman" w:cs="Times New Roman"/>
          <w:bCs/>
        </w:rPr>
        <w:t>)</w:t>
      </w:r>
      <w:r w:rsidRPr="007371D3">
        <w:rPr>
          <w:rFonts w:ascii="Times New Roman" w:hAnsi="Times New Roman" w:cs="Times New Roman"/>
        </w:rPr>
        <w:t xml:space="preserve"> shows better fitting using two binding mode. Below, a table showing </w:t>
      </w:r>
      <w:proofErr w:type="spellStart"/>
      <w:r w:rsidRPr="007371D3">
        <w:rPr>
          <w:rFonts w:ascii="Times New Roman" w:hAnsi="Times New Roman" w:cs="Times New Roman"/>
        </w:rPr>
        <w:t>k</w:t>
      </w:r>
      <w:r w:rsidRPr="007371D3">
        <w:rPr>
          <w:rFonts w:ascii="Times New Roman" w:hAnsi="Times New Roman" w:cs="Times New Roman"/>
          <w:vertAlign w:val="subscript"/>
        </w:rPr>
        <w:t>on</w:t>
      </w:r>
      <w:proofErr w:type="spellEnd"/>
      <w:r w:rsidRPr="007371D3">
        <w:rPr>
          <w:rFonts w:ascii="Times New Roman" w:hAnsi="Times New Roman" w:cs="Times New Roman"/>
        </w:rPr>
        <w:t xml:space="preserve">, </w:t>
      </w:r>
      <w:proofErr w:type="spellStart"/>
      <w:r w:rsidRPr="007371D3">
        <w:rPr>
          <w:rFonts w:ascii="Times New Roman" w:hAnsi="Times New Roman" w:cs="Times New Roman"/>
        </w:rPr>
        <w:t>k</w:t>
      </w:r>
      <w:r w:rsidRPr="007371D3">
        <w:rPr>
          <w:rFonts w:ascii="Times New Roman" w:hAnsi="Times New Roman" w:cs="Times New Roman"/>
          <w:vertAlign w:val="subscript"/>
        </w:rPr>
        <w:t>off</w:t>
      </w:r>
      <w:proofErr w:type="spellEnd"/>
      <w:r w:rsidRPr="007371D3">
        <w:rPr>
          <w:rFonts w:ascii="Times New Roman" w:hAnsi="Times New Roman" w:cs="Times New Roman"/>
        </w:rPr>
        <w:t xml:space="preserve"> and K</w:t>
      </w:r>
      <w:r w:rsidRPr="007371D3">
        <w:rPr>
          <w:rFonts w:ascii="Times New Roman" w:hAnsi="Times New Roman" w:cs="Times New Roman"/>
          <w:vertAlign w:val="subscript"/>
        </w:rPr>
        <w:t>D</w:t>
      </w:r>
      <w:r w:rsidRPr="007371D3">
        <w:rPr>
          <w:rFonts w:ascii="Times New Roman" w:hAnsi="Times New Roman" w:cs="Times New Roman"/>
        </w:rPr>
        <w:t xml:space="preserve"> from the two binding mode fitting. </w:t>
      </w:r>
      <w:r w:rsidRPr="007371D3">
        <w:rPr>
          <w:rFonts w:ascii="Times New Roman" w:hAnsi="Times New Roman" w:cs="Times New Roman"/>
          <w:b/>
        </w:rPr>
        <w:t>c,</w:t>
      </w:r>
      <w:r w:rsidRPr="007371D3">
        <w:rPr>
          <w:rFonts w:ascii="Times New Roman" w:hAnsi="Times New Roman" w:cs="Times New Roman"/>
        </w:rPr>
        <w:t xml:space="preserve"> Dissociation between 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 xml:space="preserve"> and NT-NTR1-cND in the absence (black and brown) and presence (green and blue) of GTP</w:t>
      </w:r>
      <w:r w:rsidRPr="007371D3">
        <w:rPr>
          <w:rFonts w:ascii="Symbol" w:eastAsia="Symbol" w:hAnsi="Symbol" w:cs="Symbol"/>
        </w:rPr>
        <w:t></w:t>
      </w:r>
      <w:r w:rsidRPr="007371D3">
        <w:rPr>
          <w:rFonts w:ascii="Times New Roman" w:hAnsi="Times New Roman" w:cs="Times New Roman"/>
        </w:rPr>
        <w:t>S, showing faster dissociation of the complex in the presence of GTP</w:t>
      </w:r>
      <w:r w:rsidRPr="007371D3">
        <w:rPr>
          <w:rFonts w:ascii="Symbol" w:eastAsia="Symbol" w:hAnsi="Symbol" w:cs="Symbol"/>
        </w:rPr>
        <w:t></w:t>
      </w:r>
      <w:r w:rsidRPr="007371D3">
        <w:rPr>
          <w:rFonts w:ascii="Times New Roman" w:hAnsi="Times New Roman" w:cs="Times New Roman"/>
        </w:rPr>
        <w:t>S, suggesting the capability of the NTR1-G</w:t>
      </w:r>
      <w:r w:rsidRPr="007371D3">
        <w:rPr>
          <w:rFonts w:ascii="Symbol" w:eastAsia="Symbol" w:hAnsi="Symbol" w:cs="Symbol"/>
        </w:rPr>
        <w:t></w:t>
      </w:r>
      <w:r w:rsidRPr="007371D3">
        <w:rPr>
          <w:rFonts w:ascii="Times New Roman" w:hAnsi="Times New Roman" w:cs="Times New Roman"/>
          <w:vertAlign w:val="subscript"/>
        </w:rPr>
        <w:t>i1</w:t>
      </w:r>
      <w:r w:rsidRPr="007371D3">
        <w:rPr>
          <w:rFonts w:ascii="Symbol" w:eastAsia="Symbol" w:hAnsi="Symbol" w:cs="Symbol"/>
        </w:rPr>
        <w:t></w:t>
      </w:r>
      <w:r w:rsidRPr="007371D3">
        <w:rPr>
          <w:rFonts w:ascii="Times New Roman" w:hAnsi="Times New Roman" w:cs="Times New Roman"/>
          <w:vertAlign w:val="subscript"/>
        </w:rPr>
        <w:t>1</w:t>
      </w:r>
      <w:r w:rsidRPr="007371D3">
        <w:rPr>
          <w:rFonts w:ascii="Symbol" w:eastAsia="Symbol" w:hAnsi="Symbol" w:cs="Symbol"/>
        </w:rPr>
        <w:t></w:t>
      </w:r>
      <w:r w:rsidRPr="007371D3">
        <w:rPr>
          <w:rFonts w:ascii="Times New Roman" w:hAnsi="Times New Roman" w:cs="Times New Roman"/>
          <w:vertAlign w:val="subscript"/>
        </w:rPr>
        <w:t>1</w:t>
      </w:r>
      <w:r w:rsidRPr="007371D3">
        <w:rPr>
          <w:rFonts w:ascii="Times New Roman" w:hAnsi="Times New Roman" w:cs="Times New Roman"/>
        </w:rPr>
        <w:t xml:space="preserve"> complex in </w:t>
      </w:r>
      <w:proofErr w:type="spellStart"/>
      <w:r w:rsidRPr="007371D3">
        <w:rPr>
          <w:rFonts w:ascii="Times New Roman" w:hAnsi="Times New Roman" w:cs="Times New Roman"/>
        </w:rPr>
        <w:t>cNDs</w:t>
      </w:r>
      <w:proofErr w:type="spellEnd"/>
      <w:r w:rsidRPr="007371D3">
        <w:rPr>
          <w:rFonts w:ascii="Times New Roman" w:hAnsi="Times New Roman" w:cs="Times New Roman"/>
        </w:rPr>
        <w:t xml:space="preserve"> to perform GDP/GTP exchange. </w:t>
      </w:r>
      <w:r w:rsidRPr="007371D3">
        <w:rPr>
          <w:rFonts w:ascii="Times New Roman" w:hAnsi="Times New Roman" w:cs="Times New Roman"/>
          <w:b/>
        </w:rPr>
        <w:t>d</w:t>
      </w:r>
      <w:r w:rsidRPr="007371D3">
        <w:rPr>
          <w:rFonts w:ascii="Times New Roman" w:hAnsi="Times New Roman" w:cs="Times New Roman"/>
          <w:bCs/>
        </w:rPr>
        <w:t>,</w:t>
      </w:r>
      <w:r w:rsidRPr="007371D3">
        <w:rPr>
          <w:rFonts w:ascii="Times New Roman" w:hAnsi="Times New Roman" w:cs="Times New Roman"/>
        </w:rPr>
        <w:t xml:space="preserve"> Association and dissociation kinetics of 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 xml:space="preserve"> binding to NT-NTR1-cND (dark) and empty </w:t>
      </w:r>
      <w:proofErr w:type="spellStart"/>
      <w:r w:rsidRPr="007371D3">
        <w:rPr>
          <w:rFonts w:ascii="Times New Roman" w:hAnsi="Times New Roman" w:cs="Times New Roman"/>
        </w:rPr>
        <w:t>cND</w:t>
      </w:r>
      <w:proofErr w:type="spellEnd"/>
      <w:r w:rsidRPr="007371D3">
        <w:rPr>
          <w:rFonts w:ascii="Times New Roman" w:hAnsi="Times New Roman" w:cs="Times New Roman"/>
        </w:rPr>
        <w:t xml:space="preserve"> (gray), showing much slower association and faster dissociation of 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 xml:space="preserve"> binding to empty </w:t>
      </w:r>
      <w:proofErr w:type="spellStart"/>
      <w:r w:rsidRPr="007371D3">
        <w:rPr>
          <w:rFonts w:ascii="Times New Roman" w:hAnsi="Times New Roman" w:cs="Times New Roman"/>
        </w:rPr>
        <w:t>cND</w:t>
      </w:r>
      <w:proofErr w:type="spellEnd"/>
      <w:r w:rsidRPr="007371D3">
        <w:rPr>
          <w:rFonts w:ascii="Times New Roman" w:hAnsi="Times New Roman" w:cs="Times New Roman"/>
        </w:rPr>
        <w:t xml:space="preserve"> compared to NT-NTR1-cND, suggesting that interaction between 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 xml:space="preserve"> and NT-NTR1-cND is driven by 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 xml:space="preserve"> binding to NTR1 rather than to the </w:t>
      </w:r>
      <w:proofErr w:type="spellStart"/>
      <w:r w:rsidRPr="007371D3">
        <w:rPr>
          <w:rFonts w:ascii="Times New Roman" w:hAnsi="Times New Roman" w:cs="Times New Roman"/>
        </w:rPr>
        <w:t>nanodisc</w:t>
      </w:r>
      <w:proofErr w:type="spellEnd"/>
      <w:r w:rsidRPr="007371D3">
        <w:rPr>
          <w:rFonts w:ascii="Times New Roman" w:hAnsi="Times New Roman" w:cs="Times New Roman"/>
        </w:rPr>
        <w:t>.</w:t>
      </w:r>
    </w:p>
    <w:p w14:paraId="612560E3" w14:textId="77777777" w:rsidR="000D496D" w:rsidRPr="007371D3" w:rsidRDefault="000D496D" w:rsidP="000D496D">
      <w:pPr>
        <w:pStyle w:val="SMcaption"/>
        <w:rPr>
          <w:szCs w:val="24"/>
        </w:rPr>
      </w:pPr>
      <w:r w:rsidRPr="007371D3">
        <w:rPr>
          <w:szCs w:val="24"/>
        </w:rPr>
        <w:br w:type="page"/>
      </w:r>
    </w:p>
    <w:p w14:paraId="7202CCEA" w14:textId="77777777" w:rsidR="000D496D" w:rsidRPr="007371D3" w:rsidRDefault="000D496D" w:rsidP="000D496D">
      <w:pPr>
        <w:pStyle w:val="SMcaption"/>
        <w:rPr>
          <w:szCs w:val="24"/>
        </w:rPr>
      </w:pPr>
      <w:r w:rsidRPr="007371D3">
        <w:rPr>
          <w:noProof/>
          <w:szCs w:val="24"/>
          <w:lang w:eastAsia="zh-CN"/>
        </w:rPr>
        <w:lastRenderedPageBreak/>
        <w:drawing>
          <wp:inline distT="0" distB="0" distL="0" distR="0" wp14:anchorId="612E2F21" wp14:editId="43D2DF47">
            <wp:extent cx="5943600" cy="7530465"/>
            <wp:effectExtent l="0" t="0" r="0" b="63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S5_natur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3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C0EC9" w14:textId="77777777" w:rsidR="000D496D" w:rsidRPr="007371D3" w:rsidRDefault="000D496D" w:rsidP="000D496D">
      <w:pPr>
        <w:spacing w:before="240" w:after="60" w:line="480" w:lineRule="auto"/>
        <w:jc w:val="both"/>
        <w:rPr>
          <w:rFonts w:ascii="Times New Roman" w:hAnsi="Times New Roman" w:cs="Times New Roman"/>
        </w:rPr>
      </w:pPr>
      <w:r w:rsidRPr="007371D3">
        <w:rPr>
          <w:rFonts w:ascii="Times New Roman" w:hAnsi="Times New Roman" w:cs="Times New Roman"/>
          <w:b/>
          <w:bCs/>
        </w:rPr>
        <w:t>Extended Data Fig. 5 | Cryo-EM data processing</w:t>
      </w:r>
      <w:r w:rsidRPr="007371D3">
        <w:rPr>
          <w:rFonts w:ascii="Times New Roman" w:hAnsi="Times New Roman" w:cs="Times New Roman"/>
        </w:rPr>
        <w:t xml:space="preserve">. </w:t>
      </w:r>
      <w:r w:rsidRPr="007371D3">
        <w:rPr>
          <w:rFonts w:ascii="Times New Roman" w:hAnsi="Times New Roman" w:cs="Times New Roman"/>
          <w:b/>
        </w:rPr>
        <w:t>a</w:t>
      </w:r>
      <w:r w:rsidRPr="007371D3">
        <w:rPr>
          <w:rFonts w:ascii="Times New Roman" w:hAnsi="Times New Roman" w:cs="Times New Roman"/>
        </w:rPr>
        <w:t>, Representative micrograph showing the distribution of NT-NTR1-G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 xml:space="preserve">-cND particles in vitreous ice. </w:t>
      </w:r>
      <w:r w:rsidRPr="007371D3">
        <w:rPr>
          <w:rFonts w:ascii="Times New Roman" w:hAnsi="Times New Roman" w:cs="Times New Roman"/>
          <w:b/>
        </w:rPr>
        <w:t>b</w:t>
      </w:r>
      <w:r w:rsidRPr="007371D3">
        <w:rPr>
          <w:rFonts w:ascii="Times New Roman" w:hAnsi="Times New Roman" w:cs="Times New Roman"/>
        </w:rPr>
        <w:t xml:space="preserve">, </w:t>
      </w:r>
      <w:proofErr w:type="gramStart"/>
      <w:r w:rsidRPr="007371D3">
        <w:rPr>
          <w:rFonts w:ascii="Times New Roman" w:hAnsi="Times New Roman" w:cs="Times New Roman"/>
        </w:rPr>
        <w:t>Selected</w:t>
      </w:r>
      <w:proofErr w:type="gramEnd"/>
      <w:r w:rsidRPr="007371D3">
        <w:rPr>
          <w:rFonts w:ascii="Times New Roman" w:hAnsi="Times New Roman" w:cs="Times New Roman"/>
        </w:rPr>
        <w:t xml:space="preserve"> two-dimensional class </w:t>
      </w:r>
      <w:r w:rsidRPr="007371D3">
        <w:rPr>
          <w:rFonts w:ascii="Times New Roman" w:hAnsi="Times New Roman" w:cs="Times New Roman"/>
        </w:rPr>
        <w:lastRenderedPageBreak/>
        <w:t xml:space="preserve">averages showing secondary structure features. The </w:t>
      </w:r>
      <w:proofErr w:type="spellStart"/>
      <w:r w:rsidRPr="007371D3">
        <w:rPr>
          <w:rFonts w:ascii="Times New Roman" w:hAnsi="Times New Roman" w:cs="Times New Roman"/>
        </w:rPr>
        <w:t>cND</w:t>
      </w:r>
      <w:proofErr w:type="spellEnd"/>
      <w:r w:rsidRPr="007371D3">
        <w:rPr>
          <w:rFonts w:ascii="Times New Roman" w:hAnsi="Times New Roman" w:cs="Times New Roman"/>
        </w:rPr>
        <w:t xml:space="preserve"> has an approximate diameter of 9 nm. </w:t>
      </w:r>
      <w:r w:rsidRPr="007371D3">
        <w:rPr>
          <w:rFonts w:ascii="Times New Roman" w:hAnsi="Times New Roman" w:cs="Times New Roman"/>
          <w:b/>
        </w:rPr>
        <w:t>c</w:t>
      </w:r>
      <w:r w:rsidRPr="007371D3">
        <w:rPr>
          <w:rFonts w:ascii="Times New Roman" w:hAnsi="Times New Roman" w:cs="Times New Roman"/>
        </w:rPr>
        <w:t xml:space="preserve">, Simplified flow chart of the cryo-EM processing. Two datasets were collected and processed similarly; the number of particles shown here are a conflation of both datasets. Two well-resolved classes corresponding to canonical and noncanonical states were identified. Further rounds of classification did not improve the resolution or map quality. </w:t>
      </w:r>
      <w:r w:rsidRPr="007371D3">
        <w:rPr>
          <w:rFonts w:ascii="Times New Roman" w:hAnsi="Times New Roman" w:cs="Times New Roman"/>
          <w:b/>
        </w:rPr>
        <w:t>d-e</w:t>
      </w:r>
      <w:r w:rsidRPr="007371D3">
        <w:rPr>
          <w:rFonts w:ascii="Times New Roman" w:hAnsi="Times New Roman" w:cs="Times New Roman"/>
        </w:rPr>
        <w:t>, Fourier shell correlation (FSC) curves for the canonical state (</w:t>
      </w:r>
      <w:r w:rsidRPr="007371D3">
        <w:rPr>
          <w:rFonts w:ascii="Times New Roman" w:hAnsi="Times New Roman" w:cs="Times New Roman"/>
          <w:b/>
        </w:rPr>
        <w:t>d</w:t>
      </w:r>
      <w:r w:rsidRPr="007371D3">
        <w:rPr>
          <w:rFonts w:ascii="Times New Roman" w:hAnsi="Times New Roman" w:cs="Times New Roman"/>
        </w:rPr>
        <w:t>) and noncanonical state (</w:t>
      </w:r>
      <w:r w:rsidRPr="007371D3">
        <w:rPr>
          <w:rFonts w:ascii="Times New Roman" w:hAnsi="Times New Roman" w:cs="Times New Roman"/>
          <w:b/>
        </w:rPr>
        <w:t>e</w:t>
      </w:r>
      <w:r w:rsidRPr="007371D3">
        <w:rPr>
          <w:rFonts w:ascii="Times New Roman" w:hAnsi="Times New Roman" w:cs="Times New Roman"/>
        </w:rPr>
        <w:t xml:space="preserve">) with masks that either include or exclude the </w:t>
      </w:r>
      <w:proofErr w:type="spellStart"/>
      <w:r w:rsidRPr="007371D3">
        <w:rPr>
          <w:rFonts w:ascii="Times New Roman" w:hAnsi="Times New Roman" w:cs="Times New Roman"/>
        </w:rPr>
        <w:t>cND</w:t>
      </w:r>
      <w:proofErr w:type="spellEnd"/>
      <w:r w:rsidRPr="007371D3">
        <w:rPr>
          <w:rFonts w:ascii="Times New Roman" w:hAnsi="Times New Roman" w:cs="Times New Roman"/>
        </w:rPr>
        <w:t xml:space="preserve"> and AHD. </w:t>
      </w:r>
    </w:p>
    <w:p w14:paraId="625036DE" w14:textId="77777777" w:rsidR="000D496D" w:rsidRPr="007371D3" w:rsidRDefault="000D496D" w:rsidP="000D496D">
      <w:pPr>
        <w:pStyle w:val="SMcaption"/>
        <w:rPr>
          <w:szCs w:val="24"/>
        </w:rPr>
      </w:pPr>
      <w:r w:rsidRPr="007371D3">
        <w:rPr>
          <w:szCs w:val="24"/>
        </w:rPr>
        <w:br w:type="page"/>
      </w:r>
    </w:p>
    <w:p w14:paraId="3A55DA9C" w14:textId="77777777" w:rsidR="000D496D" w:rsidRPr="007371D3" w:rsidRDefault="000D496D" w:rsidP="000D496D">
      <w:pPr>
        <w:pStyle w:val="SMcaption"/>
        <w:rPr>
          <w:szCs w:val="24"/>
        </w:rPr>
      </w:pPr>
      <w:r w:rsidRPr="007371D3">
        <w:rPr>
          <w:noProof/>
          <w:szCs w:val="24"/>
          <w:lang w:eastAsia="zh-CN"/>
        </w:rPr>
        <w:lastRenderedPageBreak/>
        <w:drawing>
          <wp:inline distT="0" distB="0" distL="0" distR="0" wp14:anchorId="0BCC7BEA" wp14:editId="3EBA80AC">
            <wp:extent cx="5943600" cy="785177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S6_natur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5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06519" w14:textId="77777777" w:rsidR="000D496D" w:rsidRPr="007371D3" w:rsidRDefault="000D496D" w:rsidP="000D496D">
      <w:pPr>
        <w:spacing w:before="240" w:after="60" w:line="480" w:lineRule="auto"/>
        <w:jc w:val="both"/>
        <w:rPr>
          <w:rFonts w:ascii="Times New Roman" w:hAnsi="Times New Roman" w:cs="Times New Roman"/>
        </w:rPr>
      </w:pPr>
      <w:r w:rsidRPr="007371D3">
        <w:rPr>
          <w:rFonts w:ascii="Times New Roman" w:hAnsi="Times New Roman" w:cs="Times New Roman"/>
          <w:b/>
          <w:bCs/>
        </w:rPr>
        <w:lastRenderedPageBreak/>
        <w:t>Extended Data Fig. 6 | Cryo-EM density</w:t>
      </w:r>
      <w:r w:rsidRPr="007371D3">
        <w:rPr>
          <w:rFonts w:ascii="Times New Roman" w:hAnsi="Times New Roman" w:cs="Times New Roman"/>
        </w:rPr>
        <w:t xml:space="preserve">. </w:t>
      </w:r>
      <w:r w:rsidRPr="007371D3">
        <w:rPr>
          <w:rFonts w:ascii="Times New Roman" w:hAnsi="Times New Roman" w:cs="Times New Roman"/>
          <w:b/>
        </w:rPr>
        <w:t>a-b</w:t>
      </w:r>
      <w:r w:rsidRPr="007371D3">
        <w:rPr>
          <w:rFonts w:ascii="Times New Roman" w:hAnsi="Times New Roman" w:cs="Times New Roman"/>
        </w:rPr>
        <w:t>, Local resolution of the NT-NTR1-G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 xml:space="preserve"> complex in </w:t>
      </w:r>
      <w:r>
        <w:rPr>
          <w:rFonts w:ascii="Times New Roman" w:hAnsi="Times New Roman" w:cs="Times New Roman"/>
        </w:rPr>
        <w:t xml:space="preserve">the </w:t>
      </w:r>
      <w:r w:rsidRPr="007371D3">
        <w:rPr>
          <w:rFonts w:ascii="Times New Roman" w:hAnsi="Times New Roman" w:cs="Times New Roman"/>
        </w:rPr>
        <w:t>canonical state (</w:t>
      </w:r>
      <w:r w:rsidRPr="007371D3">
        <w:rPr>
          <w:rFonts w:ascii="Times New Roman" w:hAnsi="Times New Roman" w:cs="Times New Roman"/>
          <w:b/>
        </w:rPr>
        <w:t>a</w:t>
      </w:r>
      <w:r w:rsidRPr="007371D3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7371D3">
        <w:rPr>
          <w:rFonts w:ascii="Times New Roman" w:hAnsi="Times New Roman" w:cs="Times New Roman"/>
        </w:rPr>
        <w:t>and noncanonical state</w:t>
      </w:r>
      <w:r>
        <w:rPr>
          <w:rFonts w:ascii="Times New Roman" w:hAnsi="Times New Roman" w:cs="Times New Roman"/>
        </w:rPr>
        <w:t xml:space="preserve"> </w:t>
      </w:r>
      <w:r w:rsidRPr="007371D3">
        <w:rPr>
          <w:rFonts w:ascii="Times New Roman" w:hAnsi="Times New Roman" w:cs="Times New Roman"/>
        </w:rPr>
        <w:t>(</w:t>
      </w:r>
      <w:r w:rsidRPr="007371D3">
        <w:rPr>
          <w:rFonts w:ascii="Times New Roman" w:hAnsi="Times New Roman" w:cs="Times New Roman"/>
          <w:b/>
        </w:rPr>
        <w:t>b</w:t>
      </w:r>
      <w:r w:rsidRPr="007371D3">
        <w:rPr>
          <w:rFonts w:ascii="Times New Roman" w:hAnsi="Times New Roman" w:cs="Times New Roman"/>
        </w:rPr>
        <w:t xml:space="preserve">). The local resolution is calculated in </w:t>
      </w:r>
      <w:proofErr w:type="spellStart"/>
      <w:r w:rsidRPr="007371D3">
        <w:rPr>
          <w:rFonts w:ascii="Times New Roman" w:hAnsi="Times New Roman" w:cs="Times New Roman"/>
        </w:rPr>
        <w:t>Relion</w:t>
      </w:r>
      <w:proofErr w:type="spellEnd"/>
      <w:r w:rsidRPr="007371D3">
        <w:rPr>
          <w:rFonts w:ascii="Times New Roman" w:hAnsi="Times New Roman" w:cs="Times New Roman"/>
        </w:rPr>
        <w:t xml:space="preserve">. </w:t>
      </w:r>
      <w:r w:rsidRPr="007371D3">
        <w:rPr>
          <w:rFonts w:ascii="Times New Roman" w:hAnsi="Times New Roman" w:cs="Times New Roman"/>
          <w:b/>
        </w:rPr>
        <w:t>c-d</w:t>
      </w:r>
      <w:r w:rsidRPr="007371D3">
        <w:rPr>
          <w:rFonts w:ascii="Times New Roman" w:hAnsi="Times New Roman" w:cs="Times New Roman"/>
        </w:rPr>
        <w:t xml:space="preserve">, </w:t>
      </w:r>
      <w:proofErr w:type="gramStart"/>
      <w:r w:rsidRPr="007371D3">
        <w:rPr>
          <w:rFonts w:ascii="Times New Roman" w:hAnsi="Times New Roman" w:cs="Times New Roman"/>
        </w:rPr>
        <w:t>Density</w:t>
      </w:r>
      <w:proofErr w:type="gramEnd"/>
      <w:r w:rsidRPr="007371D3">
        <w:rPr>
          <w:rFonts w:ascii="Times New Roman" w:hAnsi="Times New Roman" w:cs="Times New Roman"/>
        </w:rPr>
        <w:t xml:space="preserve"> and model for the transmembrane helices of NTR1 and the</w:t>
      </w:r>
      <w:r w:rsidRPr="007371D3">
        <w:rPr>
          <w:rFonts w:ascii="Symbol" w:eastAsia="Symbol" w:hAnsi="Symbol" w:cs="Symbol"/>
        </w:rPr>
        <w:t></w:t>
      </w:r>
      <w:r w:rsidRPr="007371D3">
        <w:rPr>
          <w:rFonts w:ascii="Times New Roman" w:hAnsi="Times New Roman" w:cs="Times New Roman"/>
        </w:rPr>
        <w:t xml:space="preserve">5 and </w:t>
      </w:r>
      <w:r w:rsidRPr="007371D3">
        <w:rPr>
          <w:rFonts w:ascii="Symbol" w:eastAsia="Symbol" w:hAnsi="Symbol" w:cs="Symbol"/>
        </w:rPr>
        <w:t></w:t>
      </w:r>
      <w:r w:rsidRPr="007371D3">
        <w:rPr>
          <w:rFonts w:ascii="Times New Roman" w:hAnsi="Times New Roman" w:cs="Times New Roman"/>
        </w:rPr>
        <w:t>N helices of G</w:t>
      </w:r>
      <w:r w:rsidRPr="007371D3">
        <w:rPr>
          <w:rFonts w:ascii="Symbol" w:eastAsia="Symbol" w:hAnsi="Symbol" w:cs="Symbol"/>
        </w:rPr>
        <w:t></w:t>
      </w:r>
      <w:r w:rsidRPr="007371D3">
        <w:rPr>
          <w:rFonts w:ascii="Times New Roman" w:hAnsi="Times New Roman" w:cs="Times New Roman"/>
          <w:vertAlign w:val="subscript"/>
        </w:rPr>
        <w:t>i1</w:t>
      </w:r>
      <w:r w:rsidRPr="007371D3">
        <w:rPr>
          <w:rFonts w:ascii="Times New Roman" w:hAnsi="Times New Roman" w:cs="Times New Roman"/>
        </w:rPr>
        <w:t xml:space="preserve"> in the canonical state (</w:t>
      </w:r>
      <w:r w:rsidRPr="007371D3">
        <w:rPr>
          <w:rFonts w:ascii="Times New Roman" w:hAnsi="Times New Roman" w:cs="Times New Roman"/>
          <w:b/>
        </w:rPr>
        <w:t>c</w:t>
      </w:r>
      <w:r w:rsidRPr="007371D3">
        <w:rPr>
          <w:rFonts w:ascii="Times New Roman" w:hAnsi="Times New Roman" w:cs="Times New Roman"/>
        </w:rPr>
        <w:t>) and noncanonical state</w:t>
      </w:r>
      <w:r>
        <w:rPr>
          <w:rFonts w:ascii="Times New Roman" w:hAnsi="Times New Roman" w:cs="Times New Roman"/>
        </w:rPr>
        <w:t xml:space="preserve"> </w:t>
      </w:r>
      <w:r w:rsidRPr="007371D3">
        <w:rPr>
          <w:rFonts w:ascii="Times New Roman" w:hAnsi="Times New Roman" w:cs="Times New Roman"/>
        </w:rPr>
        <w:t>(</w:t>
      </w:r>
      <w:r w:rsidRPr="007371D3">
        <w:rPr>
          <w:rFonts w:ascii="Times New Roman" w:hAnsi="Times New Roman" w:cs="Times New Roman"/>
          <w:b/>
        </w:rPr>
        <w:t>d</w:t>
      </w:r>
      <w:r w:rsidRPr="007371D3">
        <w:rPr>
          <w:rFonts w:ascii="Times New Roman" w:hAnsi="Times New Roman" w:cs="Times New Roman"/>
        </w:rPr>
        <w:t xml:space="preserve">). </w:t>
      </w:r>
      <w:r w:rsidRPr="007371D3">
        <w:rPr>
          <w:rFonts w:ascii="Times New Roman" w:hAnsi="Times New Roman" w:cs="Times New Roman"/>
          <w:b/>
        </w:rPr>
        <w:t>e</w:t>
      </w:r>
      <w:r w:rsidRPr="007371D3">
        <w:rPr>
          <w:rFonts w:ascii="Times New Roman" w:hAnsi="Times New Roman" w:cs="Times New Roman"/>
        </w:rPr>
        <w:t xml:space="preserve">, </w:t>
      </w:r>
      <w:proofErr w:type="gramStart"/>
      <w:r w:rsidRPr="007371D3">
        <w:rPr>
          <w:rFonts w:ascii="Times New Roman" w:hAnsi="Times New Roman" w:cs="Times New Roman"/>
        </w:rPr>
        <w:t>Density</w:t>
      </w:r>
      <w:proofErr w:type="gramEnd"/>
      <w:r w:rsidRPr="007371D3">
        <w:rPr>
          <w:rFonts w:ascii="Times New Roman" w:hAnsi="Times New Roman" w:cs="Times New Roman"/>
        </w:rPr>
        <w:t xml:space="preserve"> and model for NT</w:t>
      </w:r>
      <w:r w:rsidRPr="007371D3">
        <w:rPr>
          <w:rFonts w:ascii="Times New Roman" w:hAnsi="Times New Roman" w:cs="Times New Roman"/>
          <w:vertAlign w:val="subscript"/>
        </w:rPr>
        <w:t>8-13</w:t>
      </w:r>
      <w:r w:rsidRPr="007371D3">
        <w:rPr>
          <w:rFonts w:ascii="Times New Roman" w:hAnsi="Times New Roman" w:cs="Times New Roman"/>
        </w:rPr>
        <w:t xml:space="preserve">. </w:t>
      </w:r>
      <w:r w:rsidRPr="007371D3">
        <w:rPr>
          <w:rFonts w:ascii="Times New Roman" w:hAnsi="Times New Roman" w:cs="Times New Roman"/>
          <w:b/>
        </w:rPr>
        <w:t>f</w:t>
      </w:r>
      <w:r w:rsidRPr="007371D3">
        <w:rPr>
          <w:rFonts w:ascii="Times New Roman" w:hAnsi="Times New Roman" w:cs="Times New Roman"/>
        </w:rPr>
        <w:t>, Superposition of the atomic models of NT</w:t>
      </w:r>
      <w:r w:rsidRPr="007371D3">
        <w:rPr>
          <w:rFonts w:ascii="Times New Roman" w:hAnsi="Times New Roman" w:cs="Times New Roman"/>
          <w:vertAlign w:val="subscript"/>
        </w:rPr>
        <w:t>8-13</w:t>
      </w:r>
      <w:r w:rsidRPr="007371D3">
        <w:rPr>
          <w:rFonts w:ascii="Times New Roman" w:hAnsi="Times New Roman" w:cs="Times New Roman"/>
        </w:rPr>
        <w:t xml:space="preserve"> from the NT-NTR1-G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>-cND complex in the canonical (light green), and noncanonical state (dark green) with NT from the NT-NTR1 crystal structure (purple</w:t>
      </w:r>
      <w:r>
        <w:rPr>
          <w:rFonts w:ascii="Times New Roman" w:hAnsi="Times New Roman" w:cs="Times New Roman"/>
        </w:rPr>
        <w:t>;</w:t>
      </w:r>
      <w:r w:rsidRPr="007371D3">
        <w:rPr>
          <w:rFonts w:ascii="Times New Roman" w:hAnsi="Times New Roman" w:cs="Times New Roman"/>
        </w:rPr>
        <w:t xml:space="preserve"> PDB 4XEE) and JMV449 (a NT analog) from the NTR1-G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>-micelle complex in the canonical (magenta</w:t>
      </w:r>
      <w:r>
        <w:rPr>
          <w:rFonts w:ascii="Times New Roman" w:hAnsi="Times New Roman" w:cs="Times New Roman"/>
        </w:rPr>
        <w:t>;</w:t>
      </w:r>
      <w:r w:rsidRPr="007371D3">
        <w:rPr>
          <w:rFonts w:ascii="Times New Roman" w:hAnsi="Times New Roman" w:cs="Times New Roman"/>
        </w:rPr>
        <w:t xml:space="preserve"> PDB 6OS9) and noncanonical state (dark red</w:t>
      </w:r>
      <w:r>
        <w:rPr>
          <w:rFonts w:ascii="Times New Roman" w:hAnsi="Times New Roman" w:cs="Times New Roman"/>
        </w:rPr>
        <w:t>;</w:t>
      </w:r>
      <w:r w:rsidRPr="007371D3">
        <w:rPr>
          <w:rFonts w:ascii="Times New Roman" w:hAnsi="Times New Roman" w:cs="Times New Roman"/>
        </w:rPr>
        <w:t xml:space="preserve"> PDB 6OSA).</w:t>
      </w:r>
    </w:p>
    <w:p w14:paraId="2C231C11" w14:textId="77777777" w:rsidR="000D496D" w:rsidRPr="007371D3" w:rsidRDefault="000D496D" w:rsidP="000D496D">
      <w:pPr>
        <w:pStyle w:val="SMcaption"/>
        <w:rPr>
          <w:szCs w:val="24"/>
        </w:rPr>
      </w:pPr>
    </w:p>
    <w:p w14:paraId="59F8838D" w14:textId="77777777" w:rsidR="000D496D" w:rsidRDefault="000D496D" w:rsidP="000D496D">
      <w:pPr>
        <w:pStyle w:val="SMHeading"/>
        <w:rPr>
          <w:b w:val="0"/>
        </w:rPr>
      </w:pPr>
      <w:r>
        <w:rPr>
          <w:b w:val="0"/>
        </w:rPr>
        <w:br w:type="page"/>
      </w:r>
    </w:p>
    <w:p w14:paraId="2DDBAE16" w14:textId="77777777" w:rsidR="000D496D" w:rsidRPr="007371D3" w:rsidRDefault="000D496D" w:rsidP="000D496D">
      <w:pPr>
        <w:pStyle w:val="SMHeading"/>
      </w:pPr>
      <w:r w:rsidRPr="007371D3">
        <w:rPr>
          <w:noProof/>
          <w:lang w:eastAsia="zh-CN"/>
        </w:rPr>
        <w:lastRenderedPageBreak/>
        <w:drawing>
          <wp:inline distT="0" distB="0" distL="0" distR="0" wp14:anchorId="13E716F6" wp14:editId="236891FE">
            <wp:extent cx="5943600" cy="7983855"/>
            <wp:effectExtent l="0" t="0" r="0" b="444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S7_natur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8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2511D" w14:textId="77777777" w:rsidR="000D496D" w:rsidRDefault="000D496D" w:rsidP="000D496D">
      <w:pPr>
        <w:pStyle w:val="SMHeading"/>
        <w:spacing w:line="480" w:lineRule="auto"/>
        <w:jc w:val="both"/>
        <w:rPr>
          <w:b w:val="0"/>
        </w:rPr>
      </w:pPr>
      <w:r w:rsidRPr="007371D3">
        <w:rPr>
          <w:bCs w:val="0"/>
        </w:rPr>
        <w:lastRenderedPageBreak/>
        <w:t>Extended Data Fig.</w:t>
      </w:r>
      <w:r w:rsidRPr="007371D3">
        <w:rPr>
          <w:b w:val="0"/>
          <w:bCs w:val="0"/>
        </w:rPr>
        <w:t xml:space="preserve"> </w:t>
      </w:r>
      <w:r>
        <w:t>7</w:t>
      </w:r>
      <w:r w:rsidRPr="007371D3">
        <w:t xml:space="preserve"> | Structure of the </w:t>
      </w:r>
      <w:r w:rsidRPr="007371D3">
        <w:rPr>
          <w:rFonts w:ascii="Symbol" w:eastAsia="Symbol" w:hAnsi="Symbol" w:cs="Symbol"/>
        </w:rPr>
        <w:t></w:t>
      </w:r>
      <w:r w:rsidRPr="007371D3">
        <w:t>-helical domain (AHD).</w:t>
      </w:r>
      <w:r w:rsidRPr="007371D3">
        <w:rPr>
          <w:b w:val="0"/>
        </w:rPr>
        <w:t xml:space="preserve"> </w:t>
      </w:r>
      <w:r w:rsidRPr="007371D3">
        <w:t>a</w:t>
      </w:r>
      <w:r w:rsidRPr="000D7679">
        <w:rPr>
          <w:b w:val="0"/>
          <w:bCs w:val="0"/>
        </w:rPr>
        <w:t>,</w:t>
      </w:r>
      <w:r w:rsidRPr="007371D3">
        <w:rPr>
          <w:b w:val="0"/>
        </w:rPr>
        <w:t xml:space="preserve"> Density maps and models showing the interaction between Gβ</w:t>
      </w:r>
      <w:r w:rsidRPr="007371D3">
        <w:rPr>
          <w:b w:val="0"/>
          <w:vertAlign w:val="subscript"/>
        </w:rPr>
        <w:t>1</w:t>
      </w:r>
      <w:r w:rsidRPr="007371D3">
        <w:rPr>
          <w:b w:val="0"/>
        </w:rPr>
        <w:t xml:space="preserve"> (purple) and G</w:t>
      </w:r>
      <w:r w:rsidRPr="007371D3">
        <w:rPr>
          <w:rFonts w:ascii="Symbol" w:eastAsia="Symbol" w:hAnsi="Symbol" w:cs="Symbol"/>
          <w:b w:val="0"/>
        </w:rPr>
        <w:t></w:t>
      </w:r>
      <w:r w:rsidRPr="007371D3">
        <w:rPr>
          <w:b w:val="0"/>
          <w:vertAlign w:val="subscript"/>
        </w:rPr>
        <w:t>i1</w:t>
      </w:r>
      <w:r w:rsidRPr="007371D3">
        <w:rPr>
          <w:b w:val="0"/>
        </w:rPr>
        <w:t xml:space="preserve"> AHD (gold) in the canonical state. Zoom-in view of the G</w:t>
      </w:r>
      <w:r w:rsidRPr="007371D3">
        <w:rPr>
          <w:rFonts w:ascii="Symbol" w:eastAsia="Symbol" w:hAnsi="Symbol" w:cs="Symbol"/>
          <w:b w:val="0"/>
        </w:rPr>
        <w:t></w:t>
      </w:r>
      <w:r w:rsidRPr="007371D3">
        <w:rPr>
          <w:b w:val="0"/>
          <w:vertAlign w:val="subscript"/>
        </w:rPr>
        <w:t>i1</w:t>
      </w:r>
      <w:r w:rsidRPr="007371D3">
        <w:rPr>
          <w:b w:val="0"/>
        </w:rPr>
        <w:t xml:space="preserve"> AHD is shown. </w:t>
      </w:r>
      <w:r w:rsidRPr="007371D3">
        <w:t>b</w:t>
      </w:r>
      <w:r w:rsidRPr="000D7679">
        <w:rPr>
          <w:b w:val="0"/>
          <w:bCs w:val="0"/>
        </w:rPr>
        <w:t>,</w:t>
      </w:r>
      <w:r w:rsidRPr="007371D3">
        <w:rPr>
          <w:b w:val="0"/>
        </w:rPr>
        <w:t xml:space="preserve"> Density maps and models showing the interaction between Gβ</w:t>
      </w:r>
      <w:r w:rsidRPr="007371D3">
        <w:rPr>
          <w:b w:val="0"/>
          <w:vertAlign w:val="subscript"/>
        </w:rPr>
        <w:t>1</w:t>
      </w:r>
      <w:r w:rsidRPr="007371D3">
        <w:rPr>
          <w:b w:val="0"/>
        </w:rPr>
        <w:t xml:space="preserve"> (purple) and G</w:t>
      </w:r>
      <w:r w:rsidRPr="007371D3">
        <w:rPr>
          <w:rFonts w:ascii="Symbol" w:eastAsia="Symbol" w:hAnsi="Symbol" w:cs="Symbol"/>
          <w:b w:val="0"/>
        </w:rPr>
        <w:t></w:t>
      </w:r>
      <w:r w:rsidRPr="007371D3">
        <w:rPr>
          <w:b w:val="0"/>
          <w:vertAlign w:val="subscript"/>
        </w:rPr>
        <w:t>i1</w:t>
      </w:r>
      <w:r w:rsidRPr="007371D3">
        <w:rPr>
          <w:b w:val="0"/>
        </w:rPr>
        <w:t xml:space="preserve"> AHD (dark green) in the noncanonical state. Zoom-in view of the G</w:t>
      </w:r>
      <w:r w:rsidRPr="007371D3">
        <w:rPr>
          <w:rFonts w:ascii="Symbol" w:eastAsia="Symbol" w:hAnsi="Symbol" w:cs="Symbol"/>
          <w:b w:val="0"/>
        </w:rPr>
        <w:t></w:t>
      </w:r>
      <w:r w:rsidRPr="007371D3">
        <w:rPr>
          <w:b w:val="0"/>
          <w:vertAlign w:val="subscript"/>
        </w:rPr>
        <w:t>i1</w:t>
      </w:r>
      <w:r w:rsidRPr="007371D3">
        <w:rPr>
          <w:b w:val="0"/>
        </w:rPr>
        <w:t xml:space="preserve"> AHD is shown. The models in (</w:t>
      </w:r>
      <w:r w:rsidRPr="007371D3">
        <w:t>a</w:t>
      </w:r>
      <w:r w:rsidRPr="007371D3">
        <w:rPr>
          <w:b w:val="0"/>
        </w:rPr>
        <w:t>) and (</w:t>
      </w:r>
      <w:r w:rsidRPr="007371D3">
        <w:t>b</w:t>
      </w:r>
      <w:r w:rsidRPr="007371D3">
        <w:rPr>
          <w:b w:val="0"/>
        </w:rPr>
        <w:t>) are superposed on the Gβ</w:t>
      </w:r>
      <w:r w:rsidRPr="007371D3">
        <w:rPr>
          <w:b w:val="0"/>
          <w:vertAlign w:val="subscript"/>
        </w:rPr>
        <w:t xml:space="preserve">1 </w:t>
      </w:r>
      <w:r w:rsidRPr="007371D3">
        <w:rPr>
          <w:b w:val="0"/>
        </w:rPr>
        <w:t>subunits and are shown in the same view. AHD in both states interacts with the second and third blades of Gβ</w:t>
      </w:r>
      <w:r w:rsidRPr="007371D3">
        <w:rPr>
          <w:b w:val="0"/>
          <w:vertAlign w:val="subscript"/>
        </w:rPr>
        <w:t>1</w:t>
      </w:r>
      <w:r w:rsidRPr="007371D3">
        <w:rPr>
          <w:b w:val="0"/>
        </w:rPr>
        <w:t>.</w:t>
      </w:r>
      <w:r>
        <w:rPr>
          <w:b w:val="0"/>
        </w:rPr>
        <w:t xml:space="preserve"> </w:t>
      </w:r>
      <w:r w:rsidRPr="007371D3">
        <w:t>c-f</w:t>
      </w:r>
      <w:r w:rsidRPr="000D7679">
        <w:rPr>
          <w:b w:val="0"/>
          <w:bCs w:val="0"/>
        </w:rPr>
        <w:t>,</w:t>
      </w:r>
      <w:r w:rsidRPr="007371D3">
        <w:rPr>
          <w:b w:val="0"/>
        </w:rPr>
        <w:t xml:space="preserve"> Comparison of the AHD of the canonical state NT-NTR1-Gi-cND (gold) with </w:t>
      </w:r>
      <w:r w:rsidRPr="007371D3">
        <w:t>c</w:t>
      </w:r>
      <w:r>
        <w:rPr>
          <w:b w:val="0"/>
        </w:rPr>
        <w:t>, A</w:t>
      </w:r>
      <w:r w:rsidRPr="007371D3">
        <w:rPr>
          <w:b w:val="0"/>
        </w:rPr>
        <w:t xml:space="preserve"> crystal structure of GDP-G</w:t>
      </w:r>
      <w:r w:rsidRPr="007371D3">
        <w:rPr>
          <w:b w:val="0"/>
          <w:vertAlign w:val="subscript"/>
        </w:rPr>
        <w:t>i</w:t>
      </w:r>
      <w:r>
        <w:rPr>
          <w:b w:val="0"/>
        </w:rPr>
        <w:t xml:space="preserve"> (</w:t>
      </w:r>
      <w:r w:rsidRPr="007371D3">
        <w:rPr>
          <w:b w:val="0"/>
        </w:rPr>
        <w:t>blue</w:t>
      </w:r>
      <w:r>
        <w:rPr>
          <w:b w:val="0"/>
        </w:rPr>
        <w:t xml:space="preserve">; </w:t>
      </w:r>
      <w:r w:rsidRPr="007371D3">
        <w:rPr>
          <w:b w:val="0"/>
        </w:rPr>
        <w:t>PDB 1GP2)</w:t>
      </w:r>
      <w:r>
        <w:rPr>
          <w:b w:val="0"/>
        </w:rPr>
        <w:t xml:space="preserve">, </w:t>
      </w:r>
      <w:r>
        <w:rPr>
          <w:bCs w:val="0"/>
        </w:rPr>
        <w:t>d</w:t>
      </w:r>
      <w:r>
        <w:rPr>
          <w:b w:val="0"/>
        </w:rPr>
        <w:t>, A</w:t>
      </w:r>
      <w:r w:rsidRPr="007371D3">
        <w:rPr>
          <w:b w:val="0"/>
        </w:rPr>
        <w:t xml:space="preserve"> crystal structure of β</w:t>
      </w:r>
      <w:r w:rsidRPr="007371D3">
        <w:rPr>
          <w:b w:val="0"/>
          <w:vertAlign w:val="subscript"/>
        </w:rPr>
        <w:t>2</w:t>
      </w:r>
      <w:r w:rsidRPr="007371D3">
        <w:rPr>
          <w:b w:val="0"/>
        </w:rPr>
        <w:t>AR-G</w:t>
      </w:r>
      <w:r w:rsidRPr="007371D3">
        <w:rPr>
          <w:b w:val="0"/>
          <w:vertAlign w:val="subscript"/>
        </w:rPr>
        <w:t>s</w:t>
      </w:r>
      <w:r w:rsidRPr="007371D3">
        <w:rPr>
          <w:b w:val="0"/>
        </w:rPr>
        <w:t xml:space="preserve"> with nanobody Nb35</w:t>
      </w:r>
      <w:r>
        <w:rPr>
          <w:b w:val="0"/>
        </w:rPr>
        <w:t xml:space="preserve"> (</w:t>
      </w:r>
      <w:r w:rsidRPr="007371D3">
        <w:rPr>
          <w:b w:val="0"/>
        </w:rPr>
        <w:t>AHD is dark red and Nb35 is green</w:t>
      </w:r>
      <w:r>
        <w:rPr>
          <w:b w:val="0"/>
        </w:rPr>
        <w:t>;</w:t>
      </w:r>
      <w:r w:rsidRPr="007371D3">
        <w:rPr>
          <w:b w:val="0"/>
        </w:rPr>
        <w:t xml:space="preserve"> PDB 3SN6)</w:t>
      </w:r>
      <w:r>
        <w:rPr>
          <w:b w:val="0"/>
        </w:rPr>
        <w:t xml:space="preserve">, </w:t>
      </w:r>
      <w:r>
        <w:rPr>
          <w:bCs w:val="0"/>
        </w:rPr>
        <w:t>e</w:t>
      </w:r>
      <w:r>
        <w:rPr>
          <w:b w:val="0"/>
        </w:rPr>
        <w:t>,</w:t>
      </w:r>
      <w:r w:rsidRPr="00A460AA">
        <w:rPr>
          <w:b w:val="0"/>
        </w:rPr>
        <w:t xml:space="preserve"> </w:t>
      </w:r>
      <w:r>
        <w:rPr>
          <w:b w:val="0"/>
        </w:rPr>
        <w:t xml:space="preserve">A </w:t>
      </w:r>
      <w:r w:rsidRPr="007371D3">
        <w:rPr>
          <w:b w:val="0"/>
        </w:rPr>
        <w:t>cryo-EM structure of Rhodopsin-G</w:t>
      </w:r>
      <w:r w:rsidRPr="007371D3">
        <w:rPr>
          <w:b w:val="0"/>
          <w:vertAlign w:val="subscript"/>
        </w:rPr>
        <w:t>i</w:t>
      </w:r>
      <w:r w:rsidRPr="007371D3">
        <w:rPr>
          <w:b w:val="0"/>
        </w:rPr>
        <w:t xml:space="preserve"> with Fab G50</w:t>
      </w:r>
      <w:r>
        <w:rPr>
          <w:b w:val="0"/>
        </w:rPr>
        <w:t xml:space="preserve"> (</w:t>
      </w:r>
      <w:r w:rsidRPr="007371D3">
        <w:rPr>
          <w:b w:val="0"/>
        </w:rPr>
        <w:t>AHD is pink and Fab G50 is green</w:t>
      </w:r>
      <w:r>
        <w:rPr>
          <w:b w:val="0"/>
        </w:rPr>
        <w:t>;</w:t>
      </w:r>
      <w:r w:rsidRPr="007371D3">
        <w:rPr>
          <w:b w:val="0"/>
        </w:rPr>
        <w:t xml:space="preserve"> PDB 6CMO</w:t>
      </w:r>
      <w:r>
        <w:rPr>
          <w:b w:val="0"/>
        </w:rPr>
        <w:t xml:space="preserve">), and </w:t>
      </w:r>
      <w:r w:rsidRPr="000D7679">
        <w:rPr>
          <w:bCs w:val="0"/>
        </w:rPr>
        <w:t>f</w:t>
      </w:r>
      <w:r>
        <w:rPr>
          <w:b w:val="0"/>
        </w:rPr>
        <w:t>, A</w:t>
      </w:r>
      <w:r w:rsidRPr="007371D3">
        <w:rPr>
          <w:b w:val="0"/>
        </w:rPr>
        <w:t xml:space="preserve"> cryo-EM structure of Smoothened-G</w:t>
      </w:r>
      <w:r w:rsidRPr="007371D3">
        <w:rPr>
          <w:b w:val="0"/>
          <w:vertAlign w:val="subscript"/>
        </w:rPr>
        <w:t>i</w:t>
      </w:r>
      <w:r w:rsidRPr="007371D3">
        <w:rPr>
          <w:b w:val="0"/>
        </w:rPr>
        <w:t xml:space="preserve"> with Fab G50</w:t>
      </w:r>
      <w:r>
        <w:rPr>
          <w:b w:val="0"/>
        </w:rPr>
        <w:t xml:space="preserve"> (</w:t>
      </w:r>
      <w:r w:rsidRPr="007371D3">
        <w:rPr>
          <w:b w:val="0"/>
        </w:rPr>
        <w:t>AHD is light blue and Fab G50 is green</w:t>
      </w:r>
      <w:r>
        <w:rPr>
          <w:b w:val="0"/>
        </w:rPr>
        <w:t xml:space="preserve">; </w:t>
      </w:r>
      <w:r w:rsidRPr="007371D3">
        <w:rPr>
          <w:b w:val="0"/>
        </w:rPr>
        <w:t>PDB 6OT0</w:t>
      </w:r>
      <w:r>
        <w:rPr>
          <w:b w:val="0"/>
        </w:rPr>
        <w:t xml:space="preserve">). </w:t>
      </w:r>
      <w:r w:rsidRPr="007371D3">
        <w:rPr>
          <w:b w:val="0"/>
        </w:rPr>
        <w:t>The models are superposed on the G</w:t>
      </w:r>
      <w:r w:rsidRPr="007371D3">
        <w:rPr>
          <w:rFonts w:ascii="Symbol" w:eastAsia="Symbol" w:hAnsi="Symbol" w:cs="Symbol"/>
          <w:b w:val="0"/>
        </w:rPr>
        <w:t></w:t>
      </w:r>
      <w:r w:rsidRPr="007371D3">
        <w:rPr>
          <w:b w:val="0"/>
        </w:rPr>
        <w:t xml:space="preserve"> Ras</w:t>
      </w:r>
      <w:r>
        <w:rPr>
          <w:b w:val="0"/>
        </w:rPr>
        <w:t>-like</w:t>
      </w:r>
      <w:r w:rsidRPr="007371D3">
        <w:rPr>
          <w:b w:val="0"/>
        </w:rPr>
        <w:t xml:space="preserve"> domain.</w:t>
      </w:r>
    </w:p>
    <w:p w14:paraId="56DEBE8B" w14:textId="77777777" w:rsidR="000D496D" w:rsidRDefault="000D496D" w:rsidP="000D496D">
      <w:pPr>
        <w:pStyle w:val="SMHeading"/>
        <w:spacing w:line="480" w:lineRule="auto"/>
        <w:jc w:val="both"/>
        <w:rPr>
          <w:b w:val="0"/>
        </w:rPr>
      </w:pPr>
    </w:p>
    <w:p w14:paraId="3A40C1BF" w14:textId="77777777" w:rsidR="000D496D" w:rsidRDefault="000D496D" w:rsidP="000D496D">
      <w:pPr>
        <w:pStyle w:val="SMHeading"/>
        <w:spacing w:line="480" w:lineRule="auto"/>
        <w:jc w:val="both"/>
        <w:rPr>
          <w:b w:val="0"/>
        </w:rPr>
      </w:pPr>
    </w:p>
    <w:p w14:paraId="6155A1C3" w14:textId="77777777" w:rsidR="000D496D" w:rsidRPr="008B7336" w:rsidRDefault="000D496D" w:rsidP="000D496D">
      <w:pPr>
        <w:pStyle w:val="SMHeading"/>
      </w:pPr>
      <w:r>
        <w:rPr>
          <w:b w:val="0"/>
        </w:rPr>
        <w:br w:type="page"/>
      </w:r>
    </w:p>
    <w:p w14:paraId="2D2BACD4" w14:textId="77777777" w:rsidR="000D496D" w:rsidRDefault="000D496D" w:rsidP="000D496D">
      <w:pPr>
        <w:pStyle w:val="SMHeading"/>
      </w:pPr>
      <w:r>
        <w:rPr>
          <w:noProof/>
          <w:lang w:eastAsia="zh-CN"/>
        </w:rPr>
        <w:lastRenderedPageBreak/>
        <w:drawing>
          <wp:inline distT="0" distB="0" distL="0" distR="0" wp14:anchorId="7DB580B5" wp14:editId="37178BE0">
            <wp:extent cx="5626100" cy="6375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-s8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637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20592" w14:textId="77777777" w:rsidR="000D496D" w:rsidRDefault="000D496D" w:rsidP="000D496D">
      <w:pPr>
        <w:pStyle w:val="SMHeading"/>
      </w:pPr>
    </w:p>
    <w:p w14:paraId="1FECB9F6" w14:textId="77777777" w:rsidR="000D496D" w:rsidRDefault="000D496D" w:rsidP="000D496D">
      <w:pPr>
        <w:pStyle w:val="SMHeading"/>
        <w:spacing w:line="480" w:lineRule="auto"/>
        <w:jc w:val="both"/>
        <w:rPr>
          <w:bCs w:val="0"/>
        </w:rPr>
      </w:pPr>
      <w:r w:rsidRPr="00374FD6">
        <w:rPr>
          <w:bCs w:val="0"/>
        </w:rPr>
        <w:t xml:space="preserve">Extended Data Fig. </w:t>
      </w:r>
      <w:r>
        <w:rPr>
          <w:bCs w:val="0"/>
        </w:rPr>
        <w:t>8</w:t>
      </w:r>
      <w:r w:rsidRPr="00E15E8F">
        <w:rPr>
          <w:bCs w:val="0"/>
        </w:rPr>
        <w:t xml:space="preserve"> </w:t>
      </w:r>
      <w:r w:rsidRPr="00E15E8F">
        <w:t xml:space="preserve">| </w:t>
      </w:r>
      <w:r w:rsidRPr="00E15E8F">
        <w:rPr>
          <w:bCs w:val="0"/>
        </w:rPr>
        <w:t xml:space="preserve">Cryo-EM structure of the </w:t>
      </w:r>
      <w:r w:rsidRPr="00E15E8F">
        <w:t>NT-NTR1-G</w:t>
      </w:r>
      <w:r w:rsidRPr="00E15E8F">
        <w:rPr>
          <w:vertAlign w:val="subscript"/>
        </w:rPr>
        <w:t xml:space="preserve">i </w:t>
      </w:r>
      <w:r w:rsidRPr="00E15E8F">
        <w:t>complex</w:t>
      </w:r>
      <w:r w:rsidRPr="00E15E8F">
        <w:rPr>
          <w:vertAlign w:val="subscript"/>
        </w:rPr>
        <w:t xml:space="preserve"> </w:t>
      </w:r>
      <w:r w:rsidRPr="00E15E8F">
        <w:t xml:space="preserve">in lipid </w:t>
      </w:r>
      <w:proofErr w:type="spellStart"/>
      <w:r w:rsidRPr="00E15E8F">
        <w:t>nanodiscs</w:t>
      </w:r>
      <w:proofErr w:type="spellEnd"/>
      <w:r w:rsidRPr="00E15E8F">
        <w:t xml:space="preserve"> and the interaction with lipid.</w:t>
      </w:r>
      <w:r w:rsidRPr="00374FD6">
        <w:rPr>
          <w:b w:val="0"/>
        </w:rPr>
        <w:t xml:space="preserve"> </w:t>
      </w:r>
      <w:r w:rsidRPr="00E15E8F">
        <w:t>a</w:t>
      </w:r>
      <w:r w:rsidRPr="000D7679">
        <w:rPr>
          <w:b w:val="0"/>
          <w:bCs w:val="0"/>
        </w:rPr>
        <w:t>,</w:t>
      </w:r>
      <w:r w:rsidRPr="00DD79E2">
        <w:rPr>
          <w:b w:val="0"/>
          <w:bCs w:val="0"/>
        </w:rPr>
        <w:t xml:space="preserve"> </w:t>
      </w:r>
      <w:r w:rsidRPr="00374FD6">
        <w:rPr>
          <w:b w:val="0"/>
        </w:rPr>
        <w:t>Three views of the cryo-EM density map of the NT-NTR1-G</w:t>
      </w:r>
      <w:r w:rsidRPr="00374FD6">
        <w:rPr>
          <w:b w:val="0"/>
          <w:vertAlign w:val="subscript"/>
        </w:rPr>
        <w:t>i</w:t>
      </w:r>
      <w:r w:rsidRPr="00374FD6">
        <w:rPr>
          <w:b w:val="0"/>
        </w:rPr>
        <w:t xml:space="preserve">-cND complex in the canonical state. </w:t>
      </w:r>
      <w:r w:rsidRPr="00E15E8F">
        <w:rPr>
          <w:bCs w:val="0"/>
        </w:rPr>
        <w:t>b</w:t>
      </w:r>
      <w:r w:rsidRPr="000D7679">
        <w:rPr>
          <w:b w:val="0"/>
          <w:bCs w:val="0"/>
        </w:rPr>
        <w:t>,</w:t>
      </w:r>
      <w:r w:rsidRPr="00374FD6">
        <w:rPr>
          <w:b w:val="0"/>
        </w:rPr>
        <w:t xml:space="preserve"> Three views of the cryo-EM density map of the NT-NTR1-G</w:t>
      </w:r>
      <w:r w:rsidRPr="00374FD6">
        <w:rPr>
          <w:b w:val="0"/>
          <w:vertAlign w:val="subscript"/>
        </w:rPr>
        <w:t>i</w:t>
      </w:r>
      <w:r w:rsidRPr="00374FD6">
        <w:rPr>
          <w:b w:val="0"/>
        </w:rPr>
        <w:t xml:space="preserve">-cND complex in the </w:t>
      </w:r>
      <w:r>
        <w:rPr>
          <w:b w:val="0"/>
        </w:rPr>
        <w:t>non</w:t>
      </w:r>
      <w:r w:rsidRPr="00374FD6">
        <w:rPr>
          <w:b w:val="0"/>
        </w:rPr>
        <w:t xml:space="preserve">canonical state. The maps in panels </w:t>
      </w:r>
      <w:r w:rsidRPr="000D7679">
        <w:rPr>
          <w:b w:val="0"/>
          <w:bCs w:val="0"/>
        </w:rPr>
        <w:t>(</w:t>
      </w:r>
      <w:r w:rsidRPr="00E15E8F">
        <w:t>a</w:t>
      </w:r>
      <w:r w:rsidRPr="000D7679">
        <w:rPr>
          <w:b w:val="0"/>
          <w:bCs w:val="0"/>
        </w:rPr>
        <w:t>)</w:t>
      </w:r>
      <w:r w:rsidRPr="00374FD6">
        <w:rPr>
          <w:b w:val="0"/>
        </w:rPr>
        <w:t xml:space="preserve"> and </w:t>
      </w:r>
      <w:r w:rsidRPr="000D7679">
        <w:rPr>
          <w:b w:val="0"/>
          <w:bCs w:val="0"/>
        </w:rPr>
        <w:t>(</w:t>
      </w:r>
      <w:r w:rsidRPr="00E15E8F">
        <w:t>b</w:t>
      </w:r>
      <w:r w:rsidRPr="000D7679">
        <w:rPr>
          <w:b w:val="0"/>
          <w:bCs w:val="0"/>
        </w:rPr>
        <w:t>)</w:t>
      </w:r>
      <w:r w:rsidRPr="00374FD6">
        <w:rPr>
          <w:b w:val="0"/>
        </w:rPr>
        <w:t xml:space="preserve"> are </w:t>
      </w:r>
      <w:proofErr w:type="gramStart"/>
      <w:r w:rsidRPr="00374FD6">
        <w:rPr>
          <w:b w:val="0"/>
        </w:rPr>
        <w:t>low-pass</w:t>
      </w:r>
      <w:proofErr w:type="gramEnd"/>
      <w:r w:rsidRPr="00374FD6">
        <w:rPr>
          <w:b w:val="0"/>
        </w:rPr>
        <w:t xml:space="preserve"> filtered to </w:t>
      </w:r>
      <w:r w:rsidRPr="00374FD6">
        <w:rPr>
          <w:b w:val="0"/>
        </w:rPr>
        <w:lastRenderedPageBreak/>
        <w:t xml:space="preserve">5 Å and colored by subunit. </w:t>
      </w:r>
      <w:r w:rsidRPr="00E15E8F">
        <w:t>c</w:t>
      </w:r>
      <w:r w:rsidRPr="000D7679">
        <w:rPr>
          <w:b w:val="0"/>
          <w:bCs w:val="0"/>
        </w:rPr>
        <w:t>,</w:t>
      </w:r>
      <w:r w:rsidRPr="00374FD6">
        <w:rPr>
          <w:b w:val="0"/>
        </w:rPr>
        <w:t xml:space="preserve"> </w:t>
      </w:r>
      <w:proofErr w:type="gramStart"/>
      <w:r>
        <w:rPr>
          <w:b w:val="0"/>
        </w:rPr>
        <w:t>Two</w:t>
      </w:r>
      <w:proofErr w:type="gramEnd"/>
      <w:r>
        <w:rPr>
          <w:b w:val="0"/>
        </w:rPr>
        <w:t xml:space="preserve"> views of </w:t>
      </w:r>
      <w:r w:rsidRPr="00374FD6">
        <w:rPr>
          <w:b w:val="0"/>
        </w:rPr>
        <w:t xml:space="preserve">NT-NTR1 surrounded by </w:t>
      </w:r>
      <w:proofErr w:type="spellStart"/>
      <w:r w:rsidRPr="00374FD6">
        <w:rPr>
          <w:b w:val="0"/>
        </w:rPr>
        <w:t>nanodisc</w:t>
      </w:r>
      <w:proofErr w:type="spellEnd"/>
      <w:r w:rsidRPr="00374FD6">
        <w:rPr>
          <w:b w:val="0"/>
        </w:rPr>
        <w:t xml:space="preserve"> density. The transmembrane helices are shown in cylinder representation using the rainbow coloring scheme. ICL2 and helix H8 are partially submerged in lipid.</w:t>
      </w:r>
    </w:p>
    <w:p w14:paraId="57A6D906" w14:textId="77777777" w:rsidR="000D496D" w:rsidRDefault="000D496D" w:rsidP="000D496D">
      <w:pPr>
        <w:pStyle w:val="SMHeading"/>
      </w:pPr>
    </w:p>
    <w:p w14:paraId="36E0A009" w14:textId="77777777" w:rsidR="000D496D" w:rsidRDefault="000D496D" w:rsidP="000D496D">
      <w:pPr>
        <w:pStyle w:val="SMHeading"/>
      </w:pPr>
      <w:r>
        <w:br w:type="page"/>
      </w:r>
    </w:p>
    <w:p w14:paraId="62683F7A" w14:textId="77777777" w:rsidR="000D496D" w:rsidRDefault="000D496D" w:rsidP="000D496D">
      <w:pPr>
        <w:pStyle w:val="SMHeading"/>
      </w:pPr>
      <w:r>
        <w:rPr>
          <w:noProof/>
          <w:lang w:eastAsia="zh-CN"/>
        </w:rPr>
        <w:lastRenderedPageBreak/>
        <w:drawing>
          <wp:inline distT="0" distB="0" distL="0" distR="0" wp14:anchorId="1D5DEE6A" wp14:editId="37900A69">
            <wp:extent cx="5943600" cy="4745355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-s9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4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80CBA" w14:textId="77777777" w:rsidR="000D496D" w:rsidRDefault="000D496D" w:rsidP="000D496D">
      <w:pPr>
        <w:pStyle w:val="SMHeading"/>
      </w:pPr>
    </w:p>
    <w:p w14:paraId="50ED1A81" w14:textId="77777777" w:rsidR="000D496D" w:rsidRPr="00EE2142" w:rsidRDefault="000D496D" w:rsidP="000D496D">
      <w:pPr>
        <w:pStyle w:val="SMHeading"/>
        <w:spacing w:line="480" w:lineRule="auto"/>
        <w:jc w:val="both"/>
        <w:rPr>
          <w:b w:val="0"/>
        </w:rPr>
      </w:pPr>
      <w:r w:rsidRPr="00374FD6">
        <w:rPr>
          <w:bCs w:val="0"/>
        </w:rPr>
        <w:t xml:space="preserve">Extended Data Fig. </w:t>
      </w:r>
      <w:r>
        <w:rPr>
          <w:bCs w:val="0"/>
        </w:rPr>
        <w:t>9</w:t>
      </w:r>
      <w:r w:rsidRPr="00374FD6">
        <w:rPr>
          <w:b w:val="0"/>
          <w:bCs w:val="0"/>
        </w:rPr>
        <w:t xml:space="preserve"> </w:t>
      </w:r>
      <w:r w:rsidRPr="00374FD6">
        <w:t>|</w:t>
      </w:r>
      <w:r w:rsidRPr="00374FD6">
        <w:rPr>
          <w:b w:val="0"/>
        </w:rPr>
        <w:t xml:space="preserve"> </w:t>
      </w:r>
      <w:r w:rsidRPr="00256669">
        <w:t>Impact of lipid bilayer on the structure of NTR1</w:t>
      </w:r>
      <w:r w:rsidRPr="00EE2142">
        <w:t>. a</w:t>
      </w:r>
      <w:r w:rsidRPr="000D7679">
        <w:rPr>
          <w:b w:val="0"/>
          <w:bCs w:val="0"/>
        </w:rPr>
        <w:t>,</w:t>
      </w:r>
      <w:r w:rsidRPr="00374FD6">
        <w:rPr>
          <w:b w:val="0"/>
        </w:rPr>
        <w:t xml:space="preserve"> Comparison between the cryo-EM structures of the canonical states of NTR1 (with G</w:t>
      </w:r>
      <w:r w:rsidRPr="00374FD6">
        <w:rPr>
          <w:b w:val="0"/>
          <w:vertAlign w:val="subscript"/>
        </w:rPr>
        <w:t>i</w:t>
      </w:r>
      <w:r w:rsidRPr="00374FD6">
        <w:rPr>
          <w:b w:val="0"/>
        </w:rPr>
        <w:t xml:space="preserve">) in lipid bilayer (blue) and detergent (gray). </w:t>
      </w:r>
      <w:r w:rsidRPr="00EE2142">
        <w:t>b</w:t>
      </w:r>
      <w:r w:rsidRPr="000D7679">
        <w:rPr>
          <w:b w:val="0"/>
          <w:bCs w:val="0"/>
        </w:rPr>
        <w:t>,</w:t>
      </w:r>
      <w:r w:rsidRPr="00EE2142">
        <w:t xml:space="preserve"> </w:t>
      </w:r>
      <w:r w:rsidRPr="00EE2142">
        <w:rPr>
          <w:b w:val="0"/>
        </w:rPr>
        <w:t>Structural comparison between the crystal structure of NTR1 in detergent (green) and the cryo-EM structure of the canonical state of NTR1 in complex with G</w:t>
      </w:r>
      <w:r w:rsidRPr="00EE2142">
        <w:rPr>
          <w:b w:val="0"/>
          <w:vertAlign w:val="subscript"/>
        </w:rPr>
        <w:t>i</w:t>
      </w:r>
      <w:r w:rsidRPr="00EE2142">
        <w:rPr>
          <w:b w:val="0"/>
        </w:rPr>
        <w:t xml:space="preserve"> in detergent (gray).</w:t>
      </w:r>
      <w:r w:rsidRPr="007371D3">
        <w:rPr>
          <w:bCs w:val="0"/>
        </w:rPr>
        <w:t xml:space="preserve"> </w:t>
      </w:r>
      <w:r w:rsidRPr="00374FD6">
        <w:rPr>
          <w:b w:val="0"/>
        </w:rPr>
        <w:t xml:space="preserve">The atomic models in </w:t>
      </w:r>
      <w:r w:rsidRPr="0041357E">
        <w:rPr>
          <w:b w:val="0"/>
        </w:rPr>
        <w:t>(</w:t>
      </w:r>
      <w:r w:rsidRPr="00DB527D">
        <w:t>a</w:t>
      </w:r>
      <w:r w:rsidRPr="000D7679">
        <w:rPr>
          <w:b w:val="0"/>
          <w:bCs w:val="0"/>
        </w:rPr>
        <w:t>)</w:t>
      </w:r>
      <w:r w:rsidRPr="00846990">
        <w:rPr>
          <w:b w:val="0"/>
        </w:rPr>
        <w:t xml:space="preserve"> </w:t>
      </w:r>
      <w:r w:rsidRPr="00374FD6">
        <w:rPr>
          <w:b w:val="0"/>
        </w:rPr>
        <w:t xml:space="preserve">and </w:t>
      </w:r>
      <w:r w:rsidRPr="00DD79E2">
        <w:rPr>
          <w:b w:val="0"/>
          <w:bCs w:val="0"/>
        </w:rPr>
        <w:t>(</w:t>
      </w:r>
      <w:r w:rsidRPr="00DB527D">
        <w:t>b</w:t>
      </w:r>
      <w:r w:rsidRPr="000D7679">
        <w:rPr>
          <w:b w:val="0"/>
          <w:bCs w:val="0"/>
        </w:rPr>
        <w:t>)</w:t>
      </w:r>
      <w:r w:rsidRPr="00374FD6">
        <w:rPr>
          <w:b w:val="0"/>
        </w:rPr>
        <w:t xml:space="preserve"> are superposed on NTR1. </w:t>
      </w:r>
      <w:r w:rsidRPr="00EE2142">
        <w:t>c</w:t>
      </w:r>
      <w:r w:rsidRPr="000D7679">
        <w:rPr>
          <w:b w:val="0"/>
          <w:bCs w:val="0"/>
        </w:rPr>
        <w:t>,</w:t>
      </w:r>
      <w:r w:rsidRPr="00374FD6">
        <w:rPr>
          <w:b w:val="0"/>
        </w:rPr>
        <w:t xml:space="preserve"> </w:t>
      </w:r>
      <w:r w:rsidRPr="00EE2142">
        <w:rPr>
          <w:b w:val="0"/>
        </w:rPr>
        <w:t xml:space="preserve">Comparison of the localization of TM5-TM6 relative to </w:t>
      </w:r>
      <w:r w:rsidRPr="00EE2142">
        <w:rPr>
          <w:rFonts w:ascii="Symbol" w:eastAsia="Symbol" w:hAnsi="Symbol" w:cs="Symbol"/>
          <w:b w:val="0"/>
        </w:rPr>
        <w:t></w:t>
      </w:r>
      <w:r w:rsidRPr="00EE2142">
        <w:rPr>
          <w:b w:val="0"/>
        </w:rPr>
        <w:t>5 helix of G</w:t>
      </w:r>
      <w:r w:rsidRPr="00EE2142">
        <w:rPr>
          <w:rFonts w:ascii="Symbol" w:eastAsia="Symbol" w:hAnsi="Symbol" w:cs="Symbol"/>
          <w:b w:val="0"/>
        </w:rPr>
        <w:t></w:t>
      </w:r>
      <w:r w:rsidRPr="00EE2142">
        <w:rPr>
          <w:b w:val="0"/>
        </w:rPr>
        <w:t xml:space="preserve"> in class A GPCR-G</w:t>
      </w:r>
      <w:r w:rsidRPr="00EE2142">
        <w:rPr>
          <w:b w:val="0"/>
          <w:vertAlign w:val="subscript"/>
        </w:rPr>
        <w:t>i</w:t>
      </w:r>
      <w:r w:rsidRPr="00EE2142">
        <w:rPr>
          <w:b w:val="0"/>
        </w:rPr>
        <w:t xml:space="preserve"> complex structures, including the canonical state NTR1 (blue) in complex with G</w:t>
      </w:r>
      <w:r w:rsidRPr="00EE2142">
        <w:rPr>
          <w:b w:val="0"/>
          <w:vertAlign w:val="subscript"/>
        </w:rPr>
        <w:t>i</w:t>
      </w:r>
      <w:r w:rsidRPr="00EE2142">
        <w:rPr>
          <w:b w:val="0"/>
        </w:rPr>
        <w:t xml:space="preserve"> (gold) structure reported in the current study, </w:t>
      </w:r>
      <w:r w:rsidRPr="00EE2142">
        <w:rPr>
          <w:rFonts w:ascii="Symbol" w:eastAsia="Symbol" w:hAnsi="Symbol" w:cs="Symbol"/>
          <w:b w:val="0"/>
        </w:rPr>
        <w:t></w:t>
      </w:r>
      <w:r w:rsidRPr="00EE2142">
        <w:rPr>
          <w:b w:val="0"/>
        </w:rPr>
        <w:t>OR-G</w:t>
      </w:r>
      <w:r w:rsidRPr="00EE2142">
        <w:rPr>
          <w:b w:val="0"/>
          <w:vertAlign w:val="subscript"/>
        </w:rPr>
        <w:t>i</w:t>
      </w:r>
      <w:r w:rsidRPr="00EE2142">
        <w:rPr>
          <w:b w:val="0"/>
        </w:rPr>
        <w:t xml:space="preserve"> (lime green; PDB 6DDE), Rho-G</w:t>
      </w:r>
      <w:r w:rsidRPr="00EE2142">
        <w:rPr>
          <w:b w:val="0"/>
          <w:vertAlign w:val="subscript"/>
        </w:rPr>
        <w:t>i</w:t>
      </w:r>
      <w:r w:rsidRPr="00EE2142">
        <w:rPr>
          <w:b w:val="0"/>
        </w:rPr>
        <w:t xml:space="preserve"> (hot pink; PDB 6CMO), A</w:t>
      </w:r>
      <w:r w:rsidRPr="00EE2142">
        <w:rPr>
          <w:b w:val="0"/>
          <w:vertAlign w:val="subscript"/>
        </w:rPr>
        <w:t>1</w:t>
      </w:r>
      <w:r w:rsidRPr="00EE2142">
        <w:rPr>
          <w:b w:val="0"/>
        </w:rPr>
        <w:t>R-G</w:t>
      </w:r>
      <w:r w:rsidRPr="00EE2142">
        <w:rPr>
          <w:b w:val="0"/>
          <w:vertAlign w:val="subscript"/>
        </w:rPr>
        <w:t>i</w:t>
      </w:r>
      <w:r w:rsidRPr="00EE2142">
        <w:rPr>
          <w:b w:val="0"/>
        </w:rPr>
        <w:t xml:space="preserve"> (cyan; </w:t>
      </w:r>
      <w:r w:rsidRPr="00EE2142">
        <w:rPr>
          <w:b w:val="0"/>
        </w:rPr>
        <w:lastRenderedPageBreak/>
        <w:t>PDB 6D9H), and CB1-G</w:t>
      </w:r>
      <w:r w:rsidRPr="00EE2142">
        <w:rPr>
          <w:b w:val="0"/>
          <w:vertAlign w:val="subscript"/>
        </w:rPr>
        <w:t>i</w:t>
      </w:r>
      <w:r w:rsidRPr="00EE2142">
        <w:rPr>
          <w:b w:val="0"/>
        </w:rPr>
        <w:t xml:space="preserve"> (purple; PDB 6N4B). The models are superposed on the Ras</w:t>
      </w:r>
      <w:r>
        <w:rPr>
          <w:b w:val="0"/>
        </w:rPr>
        <w:t>-like</w:t>
      </w:r>
      <w:r w:rsidRPr="00EE2142">
        <w:rPr>
          <w:b w:val="0"/>
        </w:rPr>
        <w:t xml:space="preserve"> domain of G</w:t>
      </w:r>
      <w:r w:rsidRPr="00EE2142">
        <w:rPr>
          <w:rFonts w:ascii="Symbol" w:eastAsia="Symbol" w:hAnsi="Symbol" w:cs="Symbol"/>
          <w:b w:val="0"/>
        </w:rPr>
        <w:t></w:t>
      </w:r>
      <w:r w:rsidRPr="00EE2142">
        <w:rPr>
          <w:b w:val="0"/>
        </w:rPr>
        <w:t>.</w:t>
      </w:r>
      <w:r w:rsidRPr="00374FD6">
        <w:br w:type="page"/>
      </w:r>
    </w:p>
    <w:p w14:paraId="331EA606" w14:textId="77777777" w:rsidR="000D496D" w:rsidRPr="007371D3" w:rsidRDefault="000D496D" w:rsidP="000D496D">
      <w:pPr>
        <w:pStyle w:val="SMHeading"/>
      </w:pPr>
      <w:r>
        <w:rPr>
          <w:noProof/>
          <w:lang w:eastAsia="zh-CN"/>
        </w:rPr>
        <w:lastRenderedPageBreak/>
        <w:drawing>
          <wp:inline distT="0" distB="0" distL="0" distR="0" wp14:anchorId="2BEC36F0" wp14:editId="20045208">
            <wp:extent cx="5041900" cy="445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9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401E2" w14:textId="77777777" w:rsidR="000D496D" w:rsidRDefault="000D496D" w:rsidP="000D496D">
      <w:pPr>
        <w:spacing w:before="240" w:line="480" w:lineRule="auto"/>
        <w:jc w:val="both"/>
        <w:rPr>
          <w:rFonts w:ascii="Times New Roman" w:hAnsi="Times New Roman" w:cs="Times New Roman"/>
        </w:rPr>
      </w:pPr>
      <w:r w:rsidRPr="007371D3">
        <w:rPr>
          <w:rFonts w:ascii="Times New Roman" w:hAnsi="Times New Roman" w:cs="Times New Roman"/>
          <w:b/>
          <w:bCs/>
        </w:rPr>
        <w:t xml:space="preserve">Extended Data Fig. </w:t>
      </w:r>
      <w:r>
        <w:rPr>
          <w:rFonts w:ascii="Times New Roman" w:hAnsi="Times New Roman" w:cs="Times New Roman"/>
          <w:b/>
          <w:bCs/>
        </w:rPr>
        <w:t>10</w:t>
      </w:r>
      <w:r w:rsidRPr="007371D3">
        <w:rPr>
          <w:rFonts w:ascii="Times New Roman" w:hAnsi="Times New Roman" w:cs="Times New Roman"/>
          <w:b/>
          <w:bCs/>
        </w:rPr>
        <w:t xml:space="preserve"> |</w:t>
      </w:r>
      <w:r w:rsidRPr="007371D3">
        <w:rPr>
          <w:rFonts w:ascii="Times New Roman" w:hAnsi="Times New Roman" w:cs="Times New Roman"/>
        </w:rPr>
        <w:t xml:space="preserve"> </w:t>
      </w:r>
      <w:r w:rsidRPr="00BA79A4">
        <w:rPr>
          <w:rFonts w:ascii="Times New Roman" w:hAnsi="Times New Roman" w:cs="Times New Roman"/>
          <w:b/>
        </w:rPr>
        <w:t>Comparison of NTR1-G</w:t>
      </w:r>
      <w:r w:rsidRPr="00BA79A4">
        <w:rPr>
          <w:rFonts w:ascii="Times New Roman" w:hAnsi="Times New Roman" w:cs="Times New Roman"/>
          <w:b/>
          <w:vertAlign w:val="subscript"/>
        </w:rPr>
        <w:t>i</w:t>
      </w:r>
      <w:r w:rsidRPr="00BA79A4">
        <w:rPr>
          <w:rFonts w:ascii="Times New Roman" w:hAnsi="Times New Roman" w:cs="Times New Roman"/>
          <w:b/>
        </w:rPr>
        <w:t xml:space="preserve"> interaction in lipid bilayer with detergent micelles.</w:t>
      </w:r>
      <w:r>
        <w:rPr>
          <w:rFonts w:ascii="Times New Roman" w:hAnsi="Times New Roman" w:cs="Times New Roman"/>
        </w:rPr>
        <w:t xml:space="preserve"> </w:t>
      </w:r>
      <w:r w:rsidRPr="002C0CE7">
        <w:rPr>
          <w:rFonts w:ascii="Times New Roman" w:hAnsi="Times New Roman" w:cs="Times New Roman"/>
          <w:b/>
        </w:rPr>
        <w:t>a-c</w:t>
      </w:r>
      <w:r>
        <w:rPr>
          <w:rFonts w:ascii="Times New Roman" w:hAnsi="Times New Roman" w:cs="Times New Roman"/>
        </w:rPr>
        <w:t xml:space="preserve">, 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>Superposed structure of C-state NTR1 (blue) and G</w:t>
      </w:r>
      <w:r w:rsidRPr="00BA79A4">
        <w:rPr>
          <w:rFonts w:ascii="Symbol" w:eastAsia="Symbol" w:hAnsi="Symbol" w:cs="Symbol"/>
          <w:color w:val="000000" w:themeColor="text1"/>
        </w:rPr>
        <w:t>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 xml:space="preserve"> (gold), NC-state NTR1 (orchid) and G</w:t>
      </w:r>
      <w:r w:rsidRPr="00BA79A4">
        <w:rPr>
          <w:rFonts w:ascii="Symbol" w:eastAsia="Symbol" w:hAnsi="Symbol" w:cs="Symbol"/>
          <w:color w:val="000000" w:themeColor="text1"/>
        </w:rPr>
        <w:t>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 xml:space="preserve"> (dark cyan), C-state NTR1 and G</w:t>
      </w:r>
      <w:r w:rsidRPr="00BA79A4">
        <w:rPr>
          <w:rFonts w:ascii="Symbol" w:eastAsia="Symbol" w:hAnsi="Symbol" w:cs="Symbol"/>
          <w:color w:val="000000" w:themeColor="text1"/>
        </w:rPr>
        <w:t>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 xml:space="preserve"> in micelle (gray), NC-state NTR1 and G</w:t>
      </w:r>
      <w:r w:rsidRPr="00BA79A4">
        <w:rPr>
          <w:rFonts w:ascii="Symbol" w:eastAsia="Symbol" w:hAnsi="Symbol" w:cs="Symbol"/>
          <w:color w:val="000000" w:themeColor="text1"/>
        </w:rPr>
        <w:t>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 xml:space="preserve"> in micelle (magenta)</w:t>
      </w:r>
      <w:r>
        <w:rPr>
          <w:rFonts w:ascii="Times New Roman" w:eastAsia="Times New Roman" w:hAnsi="Times New Roman" w:cs="Times New Roman"/>
          <w:color w:val="000000" w:themeColor="text1"/>
        </w:rPr>
        <w:t>.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 xml:space="preserve"> The models are superposed on NTR1. </w:t>
      </w:r>
      <w:r w:rsidRPr="00BA79A4">
        <w:rPr>
          <w:rFonts w:ascii="Times New Roman" w:eastAsia="Times New Roman" w:hAnsi="Times New Roman" w:cs="Times New Roman"/>
          <w:b/>
          <w:color w:val="000000" w:themeColor="text1"/>
        </w:rPr>
        <w:t>a</w:t>
      </w:r>
      <w:r w:rsidRPr="008F4908">
        <w:rPr>
          <w:rFonts w:ascii="Times New Roman" w:eastAsia="Times New Roman" w:hAnsi="Times New Roman" w:cs="Times New Roman"/>
          <w:color w:val="000000" w:themeColor="text1"/>
        </w:rPr>
        <w:t>,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 xml:space="preserve"> extracellular view of NTR1 and </w:t>
      </w:r>
      <w:r w:rsidRPr="00BA79A4">
        <w:rPr>
          <w:rFonts w:ascii="Symbol" w:eastAsia="Symbol" w:hAnsi="Symbol" w:cs="Symbol"/>
          <w:color w:val="000000" w:themeColor="text1"/>
        </w:rPr>
        <w:t>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 xml:space="preserve">N helix; </w:t>
      </w:r>
      <w:r w:rsidRPr="00BA79A4">
        <w:rPr>
          <w:rFonts w:ascii="Times New Roman" w:eastAsia="Times New Roman" w:hAnsi="Times New Roman" w:cs="Times New Roman"/>
          <w:b/>
          <w:color w:val="000000" w:themeColor="text1"/>
        </w:rPr>
        <w:t>b</w:t>
      </w:r>
      <w:r w:rsidRPr="000D7679">
        <w:rPr>
          <w:rFonts w:ascii="Times New Roman" w:eastAsia="Times New Roman" w:hAnsi="Times New Roman" w:cs="Times New Roman"/>
          <w:bCs/>
          <w:color w:val="000000" w:themeColor="text1"/>
        </w:rPr>
        <w:t>,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 xml:space="preserve"> side view of NTR1 ICL3 and </w:t>
      </w:r>
      <w:r w:rsidRPr="00BA79A4">
        <w:rPr>
          <w:rFonts w:ascii="Symbol" w:eastAsia="Symbol" w:hAnsi="Symbol" w:cs="Symbol"/>
          <w:color w:val="000000" w:themeColor="text1"/>
        </w:rPr>
        <w:t>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>6</w:t>
      </w:r>
      <w:r w:rsidRPr="00BA79A4">
        <w:rPr>
          <w:rFonts w:ascii="Symbol" w:eastAsia="Symbol" w:hAnsi="Symbol" w:cs="Symbol"/>
          <w:color w:val="000000" w:themeColor="text1"/>
        </w:rPr>
        <w:t>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 xml:space="preserve">4 loop; </w:t>
      </w:r>
      <w:r w:rsidRPr="00BA79A4">
        <w:rPr>
          <w:rFonts w:ascii="Times New Roman" w:eastAsia="Times New Roman" w:hAnsi="Times New Roman" w:cs="Times New Roman"/>
          <w:b/>
          <w:color w:val="000000" w:themeColor="text1"/>
        </w:rPr>
        <w:t>c</w:t>
      </w:r>
      <w:r w:rsidRPr="000D7679">
        <w:rPr>
          <w:rFonts w:ascii="Times New Roman" w:eastAsia="Times New Roman" w:hAnsi="Times New Roman" w:cs="Times New Roman"/>
          <w:bCs/>
          <w:color w:val="000000" w:themeColor="text1"/>
        </w:rPr>
        <w:t>,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 xml:space="preserve"> side view of NTR1 and </w:t>
      </w:r>
      <w:r w:rsidRPr="00BA79A4">
        <w:rPr>
          <w:rFonts w:ascii="Symbol" w:eastAsia="Symbol" w:hAnsi="Symbol" w:cs="Symbol"/>
          <w:color w:val="000000" w:themeColor="text1"/>
        </w:rPr>
        <w:t>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 xml:space="preserve">5 helix. </w:t>
      </w:r>
      <w:r w:rsidRPr="00BA79A4">
        <w:rPr>
          <w:rFonts w:ascii="Times New Roman" w:eastAsia="Times New Roman" w:hAnsi="Times New Roman" w:cs="Times New Roman"/>
          <w:b/>
          <w:color w:val="000000" w:themeColor="text1"/>
        </w:rPr>
        <w:t>d</w:t>
      </w:r>
      <w:r w:rsidRPr="000D7679">
        <w:rPr>
          <w:rFonts w:ascii="Times New Roman" w:eastAsia="Times New Roman" w:hAnsi="Times New Roman" w:cs="Times New Roman"/>
          <w:bCs/>
          <w:color w:val="000000" w:themeColor="text1"/>
        </w:rPr>
        <w:t>,</w:t>
      </w:r>
      <w:r w:rsidRPr="00BA79A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007371D3">
        <w:rPr>
          <w:rFonts w:ascii="Times New Roman" w:hAnsi="Times New Roman" w:cs="Times New Roman"/>
        </w:rPr>
        <w:t xml:space="preserve">Comparison of the localization of </w:t>
      </w:r>
      <w:r w:rsidRPr="007371D3">
        <w:rPr>
          <w:rFonts w:ascii="Symbol" w:eastAsia="Symbol" w:hAnsi="Symbol" w:cs="Symbol"/>
        </w:rPr>
        <w:t></w:t>
      </w:r>
      <w:r w:rsidRPr="007371D3">
        <w:rPr>
          <w:rFonts w:ascii="Times New Roman" w:hAnsi="Times New Roman" w:cs="Times New Roman"/>
        </w:rPr>
        <w:t>5 helix relative to GPCR in class A GPCR-G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 xml:space="preserve"> complex structures, including the canonical (gold) state and noncanonical (dark cyan) state structure reported in the current study, canonical (gray) and noncanonical (magenta) state of NTR1-G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 xml:space="preserve"> in detergent micelle, </w:t>
      </w:r>
      <w:r w:rsidRPr="007371D3">
        <w:rPr>
          <w:rFonts w:ascii="Symbol" w:eastAsia="Symbol" w:hAnsi="Symbol" w:cs="Symbol"/>
        </w:rPr>
        <w:t></w:t>
      </w:r>
      <w:r w:rsidRPr="007371D3">
        <w:rPr>
          <w:rFonts w:ascii="Times New Roman" w:hAnsi="Times New Roman" w:cs="Times New Roman"/>
        </w:rPr>
        <w:t>OR-G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>, Rho-G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>, A</w:t>
      </w:r>
      <w:r w:rsidRPr="007371D3">
        <w:rPr>
          <w:rFonts w:ascii="Times New Roman" w:hAnsi="Times New Roman" w:cs="Times New Roman"/>
          <w:vertAlign w:val="subscript"/>
        </w:rPr>
        <w:t>1</w:t>
      </w:r>
      <w:r w:rsidRPr="007371D3">
        <w:rPr>
          <w:rFonts w:ascii="Times New Roman" w:hAnsi="Times New Roman" w:cs="Times New Roman"/>
        </w:rPr>
        <w:t>R-G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>, and CB1-G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 xml:space="preserve"> in the same colors as panel </w:t>
      </w:r>
      <w:r>
        <w:rPr>
          <w:rFonts w:ascii="Times New Roman" w:hAnsi="Times New Roman" w:cs="Times New Roman"/>
        </w:rPr>
        <w:t>(</w:t>
      </w:r>
      <w:r w:rsidRPr="004E2513"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>)</w:t>
      </w:r>
      <w:r w:rsidRPr="007371D3">
        <w:rPr>
          <w:rFonts w:ascii="Times New Roman" w:hAnsi="Times New Roman" w:cs="Times New Roman"/>
        </w:rPr>
        <w:t xml:space="preserve">. The </w:t>
      </w:r>
      <w:r w:rsidRPr="007371D3">
        <w:rPr>
          <w:rFonts w:ascii="Times New Roman" w:hAnsi="Times New Roman" w:cs="Times New Roman"/>
        </w:rPr>
        <w:lastRenderedPageBreak/>
        <w:t>structures are superposed on the GPCR.</w:t>
      </w:r>
      <w:r>
        <w:rPr>
          <w:rFonts w:ascii="Times New Roman" w:hAnsi="Times New Roman" w:cs="Times New Roman"/>
        </w:rPr>
        <w:t xml:space="preserve"> </w:t>
      </w:r>
      <w:r w:rsidRPr="00C17E2E">
        <w:rPr>
          <w:rFonts w:ascii="Times New Roman" w:hAnsi="Times New Roman" w:cs="Times New Roman"/>
        </w:rPr>
        <w:t>Residue R</w:t>
      </w:r>
      <w:r w:rsidRPr="00C17E2E">
        <w:rPr>
          <w:rFonts w:ascii="Times New Roman" w:hAnsi="Times New Roman" w:cs="Times New Roman"/>
          <w:vertAlign w:val="superscript"/>
        </w:rPr>
        <w:t>3.50</w:t>
      </w:r>
      <w:r w:rsidRPr="00C17E2E">
        <w:rPr>
          <w:rFonts w:ascii="Times New Roman" w:hAnsi="Times New Roman" w:cs="Times New Roman"/>
        </w:rPr>
        <w:t xml:space="preserve"> is shown as colored spheres in C-state NTR1 and as partially transparent gray spheres in the other GPCRs.</w:t>
      </w:r>
    </w:p>
    <w:p w14:paraId="1558FC71" w14:textId="77777777" w:rsidR="000D496D" w:rsidRDefault="000D496D" w:rsidP="000D496D">
      <w:pPr>
        <w:spacing w:before="240" w:line="480" w:lineRule="auto"/>
        <w:jc w:val="both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  <w:color w:val="FF0000"/>
        </w:rPr>
        <w:br w:type="page"/>
      </w:r>
    </w:p>
    <w:p w14:paraId="11D93D84" w14:textId="77777777" w:rsidR="000D496D" w:rsidRPr="003101D9" w:rsidRDefault="000D496D" w:rsidP="000D496D">
      <w:pPr>
        <w:autoSpaceDE w:val="0"/>
        <w:autoSpaceDN w:val="0"/>
        <w:adjustRightInd w:val="0"/>
        <w:spacing w:before="240" w:after="6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0CBC343" wp14:editId="040ED0B0">
            <wp:extent cx="5943600" cy="253047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 s11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3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9A8D9" w14:textId="77777777" w:rsidR="000D496D" w:rsidRPr="007371D3" w:rsidRDefault="000D496D" w:rsidP="000D496D">
      <w:pPr>
        <w:autoSpaceDE w:val="0"/>
        <w:autoSpaceDN w:val="0"/>
        <w:adjustRightInd w:val="0"/>
        <w:spacing w:before="240" w:after="60" w:line="480" w:lineRule="auto"/>
        <w:jc w:val="both"/>
        <w:rPr>
          <w:rFonts w:ascii="Times New Roman" w:hAnsi="Times New Roman" w:cs="Times New Roman"/>
        </w:rPr>
      </w:pPr>
      <w:r w:rsidRPr="007371D3">
        <w:rPr>
          <w:rFonts w:ascii="Times New Roman" w:hAnsi="Times New Roman" w:cs="Times New Roman"/>
          <w:b/>
          <w:bCs/>
        </w:rPr>
        <w:t xml:space="preserve">Extended Data Fig. </w:t>
      </w:r>
      <w:r>
        <w:rPr>
          <w:rFonts w:ascii="Times New Roman" w:hAnsi="Times New Roman" w:cs="Times New Roman"/>
          <w:b/>
          <w:bCs/>
        </w:rPr>
        <w:t>11</w:t>
      </w:r>
      <w:r w:rsidRPr="003101D9">
        <w:rPr>
          <w:rFonts w:ascii="Times New Roman" w:hAnsi="Times New Roman" w:cs="Times New Roman"/>
          <w:b/>
          <w:bCs/>
        </w:rPr>
        <w:t xml:space="preserve"> |</w:t>
      </w:r>
      <w:r w:rsidRPr="003101D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Molecular dynamics</w:t>
      </w:r>
      <w:r w:rsidRPr="003101D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(MD) </w:t>
      </w:r>
      <w:r w:rsidRPr="003101D9">
        <w:rPr>
          <w:rFonts w:ascii="Times New Roman" w:hAnsi="Times New Roman" w:cs="Times New Roman"/>
          <w:b/>
        </w:rPr>
        <w:t xml:space="preserve">simulation for the interaction between ICL3 and </w:t>
      </w:r>
      <w:r>
        <w:rPr>
          <w:rFonts w:ascii="Times New Roman" w:hAnsi="Times New Roman" w:cs="Times New Roman"/>
          <w:b/>
        </w:rPr>
        <w:t xml:space="preserve">the </w:t>
      </w:r>
      <w:r w:rsidRPr="003101D9">
        <w:rPr>
          <w:rFonts w:ascii="Symbol" w:eastAsia="Symbol" w:hAnsi="Symbol" w:cs="Symbol"/>
          <w:b/>
        </w:rPr>
        <w:t></w:t>
      </w:r>
      <w:r w:rsidRPr="003101D9">
        <w:rPr>
          <w:rFonts w:ascii="Times New Roman" w:hAnsi="Times New Roman" w:cs="Times New Roman"/>
          <w:b/>
        </w:rPr>
        <w:t>6</w:t>
      </w:r>
      <w:r w:rsidRPr="003101D9">
        <w:rPr>
          <w:rFonts w:ascii="Symbol" w:eastAsia="Symbol" w:hAnsi="Symbol" w:cs="Symbol"/>
          <w:b/>
        </w:rPr>
        <w:t></w:t>
      </w:r>
      <w:r w:rsidRPr="003101D9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 xml:space="preserve"> </w:t>
      </w:r>
      <w:r w:rsidRPr="003101D9">
        <w:rPr>
          <w:rFonts w:ascii="Times New Roman" w:hAnsi="Times New Roman" w:cs="Times New Roman"/>
          <w:b/>
        </w:rPr>
        <w:t>loop</w:t>
      </w:r>
      <w:r w:rsidRPr="007371D3">
        <w:rPr>
          <w:rFonts w:ascii="Times New Roman" w:hAnsi="Times New Roman" w:cs="Times New Roman"/>
          <w:b/>
        </w:rPr>
        <w:t>.</w:t>
      </w:r>
      <w:r w:rsidRPr="007371D3">
        <w:rPr>
          <w:rFonts w:ascii="Times New Roman" w:hAnsi="Times New Roman" w:cs="Times New Roman"/>
        </w:rPr>
        <w:t xml:space="preserve"> </w:t>
      </w:r>
      <w:r w:rsidRPr="007371D3">
        <w:rPr>
          <w:rFonts w:ascii="Times New Roman" w:hAnsi="Times New Roman" w:cs="Times New Roman"/>
          <w:b/>
        </w:rPr>
        <w:t>a</w:t>
      </w:r>
      <w:r w:rsidRPr="007371D3">
        <w:rPr>
          <w:rFonts w:ascii="Times New Roman" w:hAnsi="Times New Roman" w:cs="Times New Roman"/>
          <w:bCs/>
        </w:rPr>
        <w:t>,</w:t>
      </w:r>
      <w:r w:rsidRPr="007371D3">
        <w:rPr>
          <w:rFonts w:ascii="Times New Roman" w:hAnsi="Times New Roman" w:cs="Times New Roman"/>
        </w:rPr>
        <w:t xml:space="preserve"> MD simulation showing salt</w:t>
      </w:r>
      <w:r>
        <w:rPr>
          <w:rFonts w:ascii="Times New Roman" w:hAnsi="Times New Roman" w:cs="Times New Roman"/>
        </w:rPr>
        <w:t xml:space="preserve"> </w:t>
      </w:r>
      <w:r w:rsidRPr="007371D3">
        <w:rPr>
          <w:rFonts w:ascii="Times New Roman" w:hAnsi="Times New Roman" w:cs="Times New Roman"/>
        </w:rPr>
        <w:t xml:space="preserve">bridges and hydrogen bonds </w:t>
      </w:r>
      <w:r>
        <w:rPr>
          <w:rFonts w:ascii="Times New Roman" w:hAnsi="Times New Roman" w:cs="Times New Roman"/>
        </w:rPr>
        <w:t>form</w:t>
      </w:r>
      <w:r w:rsidRPr="007371D3">
        <w:rPr>
          <w:rFonts w:ascii="Times New Roman" w:hAnsi="Times New Roman" w:cs="Times New Roman"/>
        </w:rPr>
        <w:t xml:space="preserve"> between TM6-ICL3 and </w:t>
      </w:r>
      <w:r w:rsidRPr="007371D3">
        <w:rPr>
          <w:rFonts w:ascii="Symbol" w:eastAsia="Symbol" w:hAnsi="Symbol" w:cs="Symbol"/>
        </w:rPr>
        <w:t></w:t>
      </w:r>
      <w:r w:rsidRPr="007371D3">
        <w:rPr>
          <w:rFonts w:ascii="Times New Roman" w:hAnsi="Times New Roman" w:cs="Times New Roman"/>
        </w:rPr>
        <w:t>6</w:t>
      </w:r>
      <w:r w:rsidRPr="007371D3">
        <w:rPr>
          <w:rFonts w:ascii="Symbol" w:eastAsia="Symbol" w:hAnsi="Symbol" w:cs="Symbol"/>
        </w:rPr>
        <w:t></w:t>
      </w:r>
      <w:r w:rsidRPr="007371D3">
        <w:rPr>
          <w:rFonts w:ascii="Times New Roman" w:hAnsi="Times New Roman" w:cs="Times New Roman"/>
        </w:rPr>
        <w:t>4-loop in the canonical state of NT-NTR1-Gi-cND represented by simulation 12.</w:t>
      </w:r>
      <w:r>
        <w:rPr>
          <w:rFonts w:ascii="Times New Roman" w:hAnsi="Times New Roman" w:cs="Times New Roman"/>
        </w:rPr>
        <w:t xml:space="preserve"> </w:t>
      </w:r>
      <w:r w:rsidRPr="007371D3">
        <w:rPr>
          <w:rFonts w:ascii="Times New Roman" w:hAnsi="Times New Roman" w:cs="Times New Roman"/>
          <w:b/>
        </w:rPr>
        <w:t>b</w:t>
      </w:r>
      <w:r w:rsidRPr="007371D3">
        <w:rPr>
          <w:rFonts w:ascii="Times New Roman" w:hAnsi="Times New Roman" w:cs="Times New Roman"/>
          <w:bCs/>
        </w:rPr>
        <w:t>,</w:t>
      </w:r>
      <w:r w:rsidRPr="007371D3">
        <w:rPr>
          <w:rFonts w:ascii="Times New Roman" w:hAnsi="Times New Roman" w:cs="Times New Roman"/>
        </w:rPr>
        <w:t xml:space="preserve"> Dynamics of ICL3 for each independent simulation of the canonical state of NT-NTR1-G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>-cND. Frames are sampled every 40 ns from each individual simulation. All 12 simulations show various interactions including salt</w:t>
      </w:r>
      <w:r>
        <w:rPr>
          <w:rFonts w:ascii="Times New Roman" w:hAnsi="Times New Roman" w:cs="Times New Roman"/>
        </w:rPr>
        <w:t xml:space="preserve"> </w:t>
      </w:r>
      <w:r w:rsidRPr="007371D3">
        <w:rPr>
          <w:rFonts w:ascii="Times New Roman" w:hAnsi="Times New Roman" w:cs="Times New Roman"/>
        </w:rPr>
        <w:t xml:space="preserve">bridges/hydrogen bonds between ICL3 and </w:t>
      </w:r>
      <w:r>
        <w:rPr>
          <w:rFonts w:ascii="Times New Roman" w:hAnsi="Times New Roman" w:cs="Times New Roman"/>
        </w:rPr>
        <w:t xml:space="preserve">the </w:t>
      </w:r>
      <w:r w:rsidRPr="007371D3">
        <w:rPr>
          <w:rFonts w:ascii="Symbol" w:eastAsia="Symbol" w:hAnsi="Symbol" w:cs="Symbol"/>
        </w:rPr>
        <w:t></w:t>
      </w:r>
      <w:r w:rsidRPr="007371D3">
        <w:rPr>
          <w:rFonts w:ascii="Times New Roman" w:hAnsi="Times New Roman" w:cs="Times New Roman"/>
        </w:rPr>
        <w:t>6</w:t>
      </w:r>
      <w:r w:rsidRPr="007371D3">
        <w:rPr>
          <w:rFonts w:ascii="Symbol" w:eastAsia="Symbol" w:hAnsi="Symbol" w:cs="Symbol"/>
        </w:rPr>
        <w:t></w:t>
      </w:r>
      <w:r w:rsidRPr="007371D3">
        <w:rPr>
          <w:rFonts w:ascii="Times New Roman" w:hAnsi="Times New Roman" w:cs="Times New Roman"/>
        </w:rPr>
        <w:t>4-loop. An example of detailed interactions is shown in (</w:t>
      </w:r>
      <w:r>
        <w:rPr>
          <w:rFonts w:ascii="Times New Roman" w:hAnsi="Times New Roman" w:cs="Times New Roman"/>
          <w:b/>
        </w:rPr>
        <w:t>a</w:t>
      </w:r>
      <w:r w:rsidRPr="007371D3">
        <w:rPr>
          <w:rFonts w:ascii="Times New Roman" w:hAnsi="Times New Roman" w:cs="Times New Roman"/>
        </w:rPr>
        <w:t>). NTR1 is colored in blue and G</w:t>
      </w:r>
      <w:r w:rsidRPr="007371D3">
        <w:rPr>
          <w:rFonts w:ascii="Times New Roman" w:hAnsi="Times New Roman" w:cs="Times New Roman"/>
          <w:vertAlign w:val="subscript"/>
        </w:rPr>
        <w:t>i</w:t>
      </w:r>
      <w:r w:rsidRPr="007371D3">
        <w:rPr>
          <w:rFonts w:ascii="Times New Roman" w:hAnsi="Times New Roman" w:cs="Times New Roman"/>
        </w:rPr>
        <w:t xml:space="preserve"> in gold in (</w:t>
      </w:r>
      <w:r>
        <w:rPr>
          <w:rFonts w:ascii="Times New Roman" w:hAnsi="Times New Roman" w:cs="Times New Roman"/>
          <w:b/>
        </w:rPr>
        <w:t>a-b</w:t>
      </w:r>
      <w:r w:rsidRPr="007371D3">
        <w:rPr>
          <w:rFonts w:ascii="Times New Roman" w:hAnsi="Times New Roman" w:cs="Times New Roman"/>
        </w:rPr>
        <w:t xml:space="preserve">). </w:t>
      </w:r>
    </w:p>
    <w:p w14:paraId="316F7A01" w14:textId="77777777" w:rsidR="000D496D" w:rsidRDefault="000D496D" w:rsidP="000D496D">
      <w:pPr>
        <w:pStyle w:val="SMHeading"/>
      </w:pPr>
      <w:r>
        <w:br w:type="page"/>
      </w:r>
    </w:p>
    <w:p w14:paraId="0CD45A9C" w14:textId="77777777" w:rsidR="000D496D" w:rsidRDefault="000D496D"/>
    <w:sectPr w:rsidR="000D49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96D"/>
    <w:rsid w:val="000D4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E5CC9"/>
  <w15:chartTrackingRefBased/>
  <w15:docId w15:val="{AE55A12C-142C-45F6-AFBA-F010195A7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96D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4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0D496D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:lang w:eastAsia="en-US"/>
    </w:rPr>
  </w:style>
  <w:style w:type="paragraph" w:customStyle="1" w:styleId="SMText">
    <w:name w:val="SM Text"/>
    <w:basedOn w:val="Normal"/>
    <w:qFormat/>
    <w:rsid w:val="000D496D"/>
    <w:pPr>
      <w:ind w:firstLine="480"/>
    </w:pPr>
    <w:rPr>
      <w:rFonts w:ascii="Times New Roman" w:eastAsia="Times New Roman" w:hAnsi="Times New Roman" w:cs="Times New Roman"/>
      <w:szCs w:val="20"/>
      <w:lang w:eastAsia="en-US"/>
    </w:rPr>
  </w:style>
  <w:style w:type="paragraph" w:customStyle="1" w:styleId="SMcaption">
    <w:name w:val="SM caption"/>
    <w:basedOn w:val="SMText"/>
    <w:qFormat/>
    <w:rsid w:val="000D496D"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9"/>
    <w:rsid w:val="000D496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1570</Words>
  <Characters>8954</Characters>
  <Application>Microsoft Office Word</Application>
  <DocSecurity>0</DocSecurity>
  <Lines>74</Lines>
  <Paragraphs>21</Paragraphs>
  <ScaleCrop>false</ScaleCrop>
  <Company/>
  <LinksUpToDate>false</LinksUpToDate>
  <CharactersWithSpaces>10503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2020-09-01T17:45:00Z</dcterms:created>
  <dcterms:modified xsi:type="dcterms:W3CDTF">2020-09-01T17:46:00Z</dcterms:modified>
</cp:coreProperties>
</file>