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E52492" w14:textId="77777777" w:rsidR="001C71DA" w:rsidRDefault="001C71DA" w:rsidP="00234C50">
      <w:pPr>
        <w:widowControl/>
        <w:wordWrap/>
        <w:autoSpaceDE/>
        <w:autoSpaceDN/>
        <w:spacing w:line="480" w:lineRule="auto"/>
        <w:rPr>
          <w:rFonts w:ascii="Times New Roman" w:hAnsi="Times New Roman" w:cs="Times New Roman"/>
          <w:b/>
        </w:rPr>
      </w:pPr>
      <w:r>
        <w:rPr>
          <w:rFonts w:ascii="Times New Roman" w:hAnsi="Times New Roman" w:cs="Times New Roman" w:hint="eastAsia"/>
          <w:b/>
        </w:rPr>
        <w:t xml:space="preserve">Bi-attention </w:t>
      </w:r>
      <w:r w:rsidR="00234C50">
        <w:rPr>
          <w:rFonts w:ascii="Times New Roman" w:hAnsi="Times New Roman" w:cs="Times New Roman"/>
          <w:b/>
        </w:rPr>
        <w:t>mechanism</w:t>
      </w:r>
      <w:r>
        <w:rPr>
          <w:rFonts w:ascii="Times New Roman" w:hAnsi="Times New Roman" w:cs="Times New Roman" w:hint="eastAsia"/>
          <w:b/>
        </w:rPr>
        <w:t xml:space="preserve"> </w:t>
      </w:r>
      <w:r>
        <w:rPr>
          <w:rFonts w:ascii="Times New Roman" w:hAnsi="Times New Roman" w:cs="Times New Roman"/>
          <w:b/>
        </w:rPr>
        <w:t>in prediction model</w:t>
      </w:r>
      <w:r w:rsidR="008B7F9E">
        <w:rPr>
          <w:rFonts w:ascii="Times New Roman" w:hAnsi="Times New Roman" w:cs="Times New Roman"/>
          <w:b/>
        </w:rPr>
        <w:fldChar w:fldCharType="begin" w:fldLock="1"/>
      </w:r>
      <w:r w:rsidR="008B7F9E">
        <w:rPr>
          <w:rFonts w:ascii="Times New Roman" w:hAnsi="Times New Roman" w:cs="Times New Roman"/>
          <w:b/>
        </w:rPr>
        <w:instrText>ADDIN CSL_CITATION {"citationItems":[{"id":"ITEM-1","itemData":{"DOI":"10.1093/BIOINFORMATICS/BTAC035","ISSN":"1367-4803","PMID":"35043942","abstract":"Motivation: The identification of compound-protein interactions (CPIs) is an essential step in the process of drug discovery. The experimental determination of CPIs is known for a large amount of funds and time it consumes. Computational model has therefore become a promising and efficient alternative for predicting novel interactions between compounds and proteins on a large scale. Most supervised machine learning prediction models are approached as a binary classification problem, which aim to predict whether there is an interaction between the compound and the protein or not. However, CPI is not a simple binary on-off relationship, but a continuous value reflects how tightly the compound binds to a particular target protein, also called binding affinity. Results: In this study, we propose an end-to-end neural network model, called BACPI, to predict CPI and binding affinity. We employ graph attention network and convolutional neural network (CNN) to learn the representations of compounds and proteins and develop a bi-directional attention neural network model to integrate the representations. To evaluate the performance of BACPI, we use three CPI datasets and four binding affinity datasets in our experiments. The results show that, when predicting CPIs, BACPI significantly outperforms other available machine learning methods on both balanced and unbalanced datasets. This suggests that the end-to-end neural network model that predicts CPIs directly from low-level representations is more robust than traditional machine learning-based methods. And when predicting binding affinities, BACPI achieves higher performance on large datasets compared to other state-of-the-art deep learning methods. This comparison result suggests that the proposed method with bi-directional attention neural network can capture the important regions of compounds and proteins for binding affinity prediction.","author":[{"dropping-particle":"","family":"Li","given":"Min","non-dropping-particle":"","parse-names":false,"suffix":""},{"dropping-particle":"","family":"Lu","given":"Zhangli","non-dropping-particle":"","parse-names":false,"suffix":""},{"dropping-particle":"","family":"Wu","given":"Yifan","non-dropping-particle":"","parse-names":false,"suffix":""},{"dropping-particle":"","family":"Li","given":"Yaohang","non-dropping-particle":"","parse-names":false,"suffix":""}],"container-title":"Bioinformatics","id":"ITEM-1","issue":"7","issued":{"date-parts":[["2022","3","28"]]},"page":"1995-2002","publisher":"Oxford Academic","title":"BACPI: a bi-directional attention neural network for compound–protein interaction and binding affinity prediction","type":"article-journal","volume":"38"},"uris":["http://www.mendeley.com/documents/?uuid=a970cffc-4813-3fea-8935-e322139019a0"]}],"mendeley":{"formattedCitation":"[1]","plainTextFormattedCitation":"[1]"},"properties":{"noteIndex":0},"schema":"https://github.com/citation-style-language/schema/raw/master/csl-citation.json"}</w:instrText>
      </w:r>
      <w:r w:rsidR="008B7F9E">
        <w:rPr>
          <w:rFonts w:ascii="Times New Roman" w:hAnsi="Times New Roman" w:cs="Times New Roman"/>
          <w:b/>
        </w:rPr>
        <w:fldChar w:fldCharType="separate"/>
      </w:r>
      <w:r w:rsidR="008B7F9E" w:rsidRPr="008B7F9E">
        <w:rPr>
          <w:rFonts w:ascii="Times New Roman" w:hAnsi="Times New Roman" w:cs="Times New Roman"/>
          <w:noProof/>
        </w:rPr>
        <w:t>[1]</w:t>
      </w:r>
      <w:r w:rsidR="008B7F9E">
        <w:rPr>
          <w:rFonts w:ascii="Times New Roman" w:hAnsi="Times New Roman" w:cs="Times New Roman"/>
          <w:b/>
        </w:rPr>
        <w:fldChar w:fldCharType="end"/>
      </w:r>
    </w:p>
    <w:p w14:paraId="19B8CFB4" w14:textId="77777777" w:rsidR="001C71DA" w:rsidRDefault="00733BC6" w:rsidP="00234C50">
      <w:pPr>
        <w:widowControl/>
        <w:wordWrap/>
        <w:autoSpaceDE/>
        <w:autoSpaceDN/>
        <w:spacing w:line="480" w:lineRule="auto"/>
        <w:rPr>
          <w:rFonts w:ascii="Times New Roman" w:hAnsi="Times New Roman" w:cs="Times New Roman"/>
        </w:rPr>
      </w:pPr>
      <w:r>
        <w:rPr>
          <w:rFonts w:ascii="Times New Roman" w:hAnsi="Times New Roman" w:cs="Times New Roman"/>
        </w:rPr>
        <w:t xml:space="preserve">From the drug module and protein module, the </w:t>
      </w:r>
      <w:r w:rsidR="00A841BB">
        <w:rPr>
          <w:rFonts w:ascii="Times New Roman" w:hAnsi="Times New Roman" w:cs="Times New Roman"/>
        </w:rPr>
        <w:t xml:space="preserve">embedding of </w:t>
      </w:r>
      <w:r w:rsidR="009E2564">
        <w:rPr>
          <w:rFonts w:ascii="Times New Roman" w:hAnsi="Times New Roman" w:cs="Times New Roman"/>
        </w:rPr>
        <w:t>compound</w:t>
      </w:r>
      <w:r w:rsidR="00A841BB">
        <w:rPr>
          <w:rFonts w:ascii="Times New Roman" w:hAnsi="Times New Roman" w:cs="Times New Roman"/>
        </w:rPr>
        <w:t xml:space="preserve"> with </w:t>
      </w: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a</m:t>
            </m:r>
          </m:sub>
        </m:sSub>
      </m:oMath>
      <w:r w:rsidR="00A841BB">
        <w:rPr>
          <w:rFonts w:ascii="Times New Roman" w:hAnsi="Times New Roman" w:cs="Times New Roman" w:hint="eastAsia"/>
        </w:rPr>
        <w:t xml:space="preserve"> atom</w:t>
      </w:r>
      <w:r>
        <w:rPr>
          <w:rFonts w:ascii="Times New Roman" w:hAnsi="Times New Roman" w:cs="Times New Roman"/>
        </w:rPr>
        <w:t xml:space="preserve"> </w:t>
      </w:r>
      <m:oMath>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c</m:t>
            </m:r>
          </m:sub>
        </m:sSub>
        <m:r>
          <m:rPr>
            <m:sty m:val="p"/>
          </m:rPr>
          <w:rPr>
            <w:rFonts w:ascii="Cambria Math" w:hAnsi="Cambria Math" w:cs="Times New Roman"/>
          </w:rPr>
          <m:t>∈</m:t>
        </m:r>
        <m:sSup>
          <m:sSupPr>
            <m:ctrlPr>
              <w:rPr>
                <w:rFonts w:ascii="Cambria Math" w:hAnsi="Cambria Math" w:cs="Times New Roman"/>
              </w:rPr>
            </m:ctrlPr>
          </m:sSupPr>
          <m:e>
            <m:r>
              <m:rPr>
                <m:scr m:val="double-struck"/>
                <m:sty m:val="p"/>
              </m:rPr>
              <w:rPr>
                <w:rFonts w:ascii="Cambria Math" w:hAnsi="Cambria Math" w:cs="Times New Roman"/>
              </w:rPr>
              <m:t>R</m:t>
            </m:r>
          </m:e>
          <m:sup>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a</m:t>
                </m:r>
              </m:sub>
            </m:sSub>
            <m:r>
              <w:rPr>
                <w:rFonts w:ascii="Cambria Math" w:hAnsi="Cambria Math" w:cs="Times New Roman"/>
              </w:rPr>
              <m:t>×</m:t>
            </m:r>
            <m:sSub>
              <m:sSubPr>
                <m:ctrlPr>
                  <w:rPr>
                    <w:rFonts w:ascii="Cambria Math" w:hAnsi="Cambria Math" w:cs="Times New Roman"/>
                  </w:rPr>
                </m:ctrlPr>
              </m:sSubPr>
              <m:e>
                <m:r>
                  <m:rPr>
                    <m:sty m:val="p"/>
                  </m:rPr>
                  <w:rPr>
                    <w:rFonts w:ascii="Cambria Math" w:hAnsi="Cambria Math" w:cs="Times New Roman"/>
                  </w:rPr>
                  <m:t>N</m:t>
                </m:r>
              </m:e>
              <m:sub>
                <m:r>
                  <m:rPr>
                    <m:sty m:val="p"/>
                  </m:rPr>
                  <w:rPr>
                    <w:rFonts w:ascii="Cambria Math" w:hAnsi="Cambria Math" w:cs="Times New Roman"/>
                  </w:rPr>
                  <m:t>c</m:t>
                </m:r>
              </m:sub>
            </m:sSub>
          </m:sup>
        </m:sSup>
        <m:r>
          <m:rPr>
            <m:sty m:val="p"/>
          </m:rPr>
          <w:rPr>
            <w:rFonts w:ascii="Cambria Math" w:hAnsi="Cambria Math" w:cs="Times New Roman"/>
          </w:rPr>
          <m:t xml:space="preserve"> </m:t>
        </m:r>
      </m:oMath>
      <w:r w:rsidR="002C17D7">
        <w:rPr>
          <w:rFonts w:ascii="Times New Roman" w:hAnsi="Times New Roman" w:cs="Times New Roman" w:hint="eastAsia"/>
        </w:rPr>
        <w:t>and protein embedding</w:t>
      </w:r>
      <w:r w:rsidR="00A841BB">
        <w:rPr>
          <w:rFonts w:ascii="Times New Roman" w:hAnsi="Times New Roman" w:cs="Times New Roman"/>
        </w:rPr>
        <w:t xml:space="preserve"> with </w:t>
      </w: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r</m:t>
            </m:r>
          </m:sub>
        </m:sSub>
      </m:oMath>
      <w:r w:rsidR="00A841BB">
        <w:rPr>
          <w:rFonts w:ascii="Times New Roman" w:hAnsi="Times New Roman" w:cs="Times New Roman" w:hint="eastAsia"/>
        </w:rPr>
        <w:t xml:space="preserve"> amino acid</w:t>
      </w:r>
      <w:r w:rsidR="002C17D7">
        <w:rPr>
          <w:rFonts w:ascii="Times New Roman" w:hAnsi="Times New Roman" w:cs="Times New Roman" w:hint="eastAsia"/>
        </w:rPr>
        <w:t xml:space="preserve"> </w:t>
      </w:r>
      <m:oMath>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p</m:t>
            </m:r>
          </m:sub>
        </m:sSub>
        <m:r>
          <w:rPr>
            <w:rFonts w:ascii="Cambria Math" w:hAnsi="Cambria Math" w:cs="Times New Roman"/>
          </w:rPr>
          <m:t>∈</m:t>
        </m:r>
        <m:sSup>
          <m:sSupPr>
            <m:ctrlPr>
              <w:rPr>
                <w:rFonts w:ascii="Cambria Math" w:hAnsi="Cambria Math" w:cs="Times New Roman"/>
                <w:i/>
              </w:rPr>
            </m:ctrlPr>
          </m:sSupPr>
          <m:e>
            <m:r>
              <m:rPr>
                <m:scr m:val="double-struck"/>
              </m:rPr>
              <w:rPr>
                <w:rFonts w:ascii="Cambria Math" w:hAnsi="Cambria Math" w:cs="Times New Roman"/>
              </w:rPr>
              <m:t>R</m:t>
            </m:r>
          </m:e>
          <m:sup>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r</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p</m:t>
                </m:r>
              </m:sub>
            </m:sSub>
          </m:sup>
        </m:sSup>
      </m:oMath>
      <w:r w:rsidR="002C17D7">
        <w:rPr>
          <w:rFonts w:ascii="Times New Roman" w:hAnsi="Times New Roman" w:cs="Times New Roman" w:hint="eastAsia"/>
        </w:rPr>
        <w:t xml:space="preserve"> are calculated, where </w:t>
      </w: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c</m:t>
            </m:r>
          </m:sub>
        </m:sSub>
      </m:oMath>
      <w:r w:rsidR="002C17D7">
        <w:rPr>
          <w:rFonts w:ascii="Times New Roman" w:hAnsi="Times New Roman" w:cs="Times New Roman" w:hint="eastAsia"/>
        </w:rPr>
        <w:t xml:space="preserve"> and </w:t>
      </w:r>
      <m:oMath>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p</m:t>
            </m:r>
          </m:sub>
        </m:sSub>
      </m:oMath>
      <w:r w:rsidR="002C17D7">
        <w:rPr>
          <w:rFonts w:ascii="Times New Roman" w:hAnsi="Times New Roman" w:cs="Times New Roman" w:hint="eastAsia"/>
        </w:rPr>
        <w:t xml:space="preserve"> are the </w:t>
      </w:r>
      <w:r w:rsidR="002C17D7">
        <w:rPr>
          <w:rFonts w:ascii="Times New Roman" w:hAnsi="Times New Roman" w:cs="Times New Roman"/>
        </w:rPr>
        <w:t>embedding</w:t>
      </w:r>
      <w:r w:rsidR="002C17D7">
        <w:rPr>
          <w:rFonts w:ascii="Times New Roman" w:hAnsi="Times New Roman" w:cs="Times New Roman" w:hint="eastAsia"/>
        </w:rPr>
        <w:t xml:space="preserve"> </w:t>
      </w:r>
      <w:r w:rsidR="002C17D7">
        <w:rPr>
          <w:rFonts w:ascii="Times New Roman" w:hAnsi="Times New Roman" w:cs="Times New Roman"/>
        </w:rPr>
        <w:t>dimension of the drug and protein respectively, which are hyperparameters</w:t>
      </w:r>
      <w:r w:rsidR="005D67F2">
        <w:rPr>
          <w:rFonts w:ascii="Times New Roman" w:hAnsi="Times New Roman" w:cs="Times New Roman"/>
        </w:rPr>
        <w:t>, set as 128 in this study.</w:t>
      </w:r>
      <w:r w:rsidR="00791B42">
        <w:rPr>
          <w:rFonts w:ascii="Times New Roman" w:hAnsi="Times New Roman" w:cs="Times New Roman"/>
        </w:rPr>
        <w:t xml:space="preserve"> Both are transformed by trainable fully connected layer</w:t>
      </w:r>
      <w:r w:rsidR="00EC5A4D">
        <w:rPr>
          <w:rFonts w:ascii="Times New Roman" w:hAnsi="Times New Roman" w:cs="Times New Roman"/>
        </w:rPr>
        <w:t xml:space="preserve">s, denoted as </w:t>
      </w:r>
      <m:oMath>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c</m:t>
            </m:r>
          </m:sub>
        </m:sSub>
        <m:r>
          <w:rPr>
            <w:rFonts w:ascii="Cambria Math" w:hAnsi="Cambria Math" w:cs="Times New Roman"/>
          </w:rPr>
          <m:t>∈</m:t>
        </m:r>
        <m:sSup>
          <m:sSupPr>
            <m:ctrlPr>
              <w:rPr>
                <w:rFonts w:ascii="Cambria Math" w:hAnsi="Cambria Math" w:cs="Times New Roman"/>
                <w:i/>
              </w:rPr>
            </m:ctrlPr>
          </m:sSupPr>
          <m:e>
            <m:r>
              <m:rPr>
                <m:scr m:val="double-struck"/>
              </m:rPr>
              <w:rPr>
                <w:rFonts w:ascii="Cambria Math" w:hAnsi="Cambria Math" w:cs="Times New Roman"/>
              </w:rPr>
              <m:t>R</m:t>
            </m:r>
          </m:e>
          <m:sup>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h</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c</m:t>
                </m:r>
              </m:sub>
            </m:sSub>
          </m:sup>
        </m:sSup>
      </m:oMath>
      <w:r w:rsidR="00EC5A4D">
        <w:rPr>
          <w:rFonts w:ascii="Times New Roman" w:hAnsi="Times New Roman" w:cs="Times New Roman"/>
        </w:rPr>
        <w:t xml:space="preserve"> and </w:t>
      </w:r>
      <m:oMath>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p</m:t>
            </m:r>
          </m:sub>
        </m:sSub>
        <m:r>
          <w:rPr>
            <w:rFonts w:ascii="Cambria Math" w:hAnsi="Cambria Math" w:cs="Times New Roman"/>
          </w:rPr>
          <m:t>∈</m:t>
        </m:r>
        <m:sSup>
          <m:sSupPr>
            <m:ctrlPr>
              <w:rPr>
                <w:rFonts w:ascii="Cambria Math" w:hAnsi="Cambria Math" w:cs="Times New Roman"/>
              </w:rPr>
            </m:ctrlPr>
          </m:sSupPr>
          <m:e>
            <m:r>
              <m:rPr>
                <m:scr m:val="double-struck"/>
                <m:sty m:val="p"/>
              </m:rPr>
              <w:rPr>
                <w:rFonts w:ascii="Cambria Math" w:hAnsi="Cambria Math" w:cs="Times New Roman"/>
              </w:rPr>
              <m:t>R</m:t>
            </m:r>
          </m:e>
          <m:sup>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h</m:t>
                </m:r>
              </m:sub>
            </m:sSub>
            <m:r>
              <w:rPr>
                <w:rFonts w:ascii="Cambria Math" w:hAnsi="Cambria Math" w:cs="Times New Roman"/>
              </w:rPr>
              <m:t>×</m:t>
            </m:r>
            <m:sSub>
              <m:sSubPr>
                <m:ctrlPr>
                  <w:rPr>
                    <w:rFonts w:ascii="Cambria Math" w:hAnsi="Cambria Math" w:cs="Times New Roman"/>
                  </w:rPr>
                </m:ctrlPr>
              </m:sSubPr>
              <m:e>
                <m:r>
                  <m:rPr>
                    <m:sty m:val="p"/>
                  </m:rPr>
                  <w:rPr>
                    <w:rFonts w:ascii="Cambria Math" w:hAnsi="Cambria Math" w:cs="Times New Roman"/>
                  </w:rPr>
                  <m:t>N</m:t>
                </m:r>
              </m:e>
              <m:sub>
                <m:r>
                  <m:rPr>
                    <m:sty m:val="p"/>
                  </m:rPr>
                  <w:rPr>
                    <w:rFonts w:ascii="Cambria Math" w:hAnsi="Cambria Math" w:cs="Times New Roman"/>
                  </w:rPr>
                  <m:t>d</m:t>
                </m:r>
              </m:sub>
            </m:sSub>
          </m:sup>
        </m:sSup>
      </m:oMath>
      <w:r w:rsidR="00EC5A4D">
        <w:rPr>
          <w:rFonts w:ascii="Times New Roman" w:hAnsi="Times New Roman" w:cs="Times New Roman" w:hint="eastAsia"/>
        </w:rPr>
        <w:t>,</w:t>
      </w:r>
      <w:r w:rsidR="00791B42">
        <w:rPr>
          <w:rFonts w:ascii="Times New Roman" w:hAnsi="Times New Roman" w:cs="Times New Roman"/>
        </w:rPr>
        <w:t xml:space="preserve"> as below</w:t>
      </w:r>
    </w:p>
    <w:p w14:paraId="6204FDFC" w14:textId="77777777" w:rsidR="00791B42" w:rsidRPr="006352C7" w:rsidRDefault="004B2406" w:rsidP="00234C50">
      <w:pPr>
        <w:widowControl/>
        <w:wordWrap/>
        <w:autoSpaceDE/>
        <w:autoSpaceDN/>
        <w:spacing w:line="480" w:lineRule="auto"/>
        <w:rPr>
          <w:rFonts w:ascii="Times New Roman" w:hAnsi="Times New Roman" w:cs="Times New Roman"/>
        </w:rPr>
      </w:pPr>
      <m:oMathPara>
        <m:oMath>
          <m:r>
            <w:rPr>
              <w:rFonts w:ascii="Cambria Math" w:hAnsi="Cambria Math" w:cs="Times New Roman"/>
            </w:rPr>
            <m:t>C=LeakyReLU</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c</m:t>
                  </m:r>
                </m:sub>
              </m:sSub>
              <m:sSubSup>
                <m:sSubSupPr>
                  <m:ctrlPr>
                    <w:rPr>
                      <w:rFonts w:ascii="Cambria Math" w:hAnsi="Cambria Math" w:cs="Times New Roman"/>
                      <w:i/>
                    </w:rPr>
                  </m:ctrlPr>
                </m:sSubSupPr>
                <m:e>
                  <m:r>
                    <w:rPr>
                      <w:rFonts w:ascii="Cambria Math" w:hAnsi="Cambria Math" w:cs="Times New Roman"/>
                    </w:rPr>
                    <m:t>W</m:t>
                  </m:r>
                </m:e>
                <m:sub>
                  <m:r>
                    <w:rPr>
                      <w:rFonts w:ascii="Cambria Math" w:hAnsi="Cambria Math" w:cs="Times New Roman"/>
                    </w:rPr>
                    <m:t>c</m:t>
                  </m:r>
                </m:sub>
                <m:sup>
                  <m:r>
                    <w:rPr>
                      <w:rFonts w:ascii="Cambria Math" w:hAnsi="Cambria Math" w:cs="Times New Roman"/>
                    </w:rPr>
                    <m:t>T</m:t>
                  </m:r>
                </m:sup>
              </m:sSubSup>
            </m:e>
          </m:d>
        </m:oMath>
      </m:oMathPara>
    </w:p>
    <w:p w14:paraId="7490A554" w14:textId="77777777" w:rsidR="00F71E89" w:rsidRDefault="004B2406" w:rsidP="00234C50">
      <w:pPr>
        <w:widowControl/>
        <w:wordWrap/>
        <w:autoSpaceDE/>
        <w:autoSpaceDN/>
        <w:spacing w:line="480" w:lineRule="auto"/>
        <w:rPr>
          <w:rFonts w:ascii="Times New Roman" w:hAnsi="Times New Roman" w:cs="Times New Roman"/>
        </w:rPr>
      </w:pPr>
      <m:oMathPara>
        <m:oMath>
          <m:r>
            <w:rPr>
              <w:rFonts w:ascii="Cambria Math" w:hAnsi="Cambria Math" w:cs="Times New Roman"/>
            </w:rPr>
            <m:t>P=LeakyReLU</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p</m:t>
                  </m:r>
                </m:sub>
              </m:sSub>
              <m:sSubSup>
                <m:sSubSupPr>
                  <m:ctrlPr>
                    <w:rPr>
                      <w:rFonts w:ascii="Cambria Math" w:hAnsi="Cambria Math" w:cs="Times New Roman"/>
                      <w:i/>
                    </w:rPr>
                  </m:ctrlPr>
                </m:sSubSupPr>
                <m:e>
                  <m:r>
                    <w:rPr>
                      <w:rFonts w:ascii="Cambria Math" w:hAnsi="Cambria Math" w:cs="Times New Roman"/>
                    </w:rPr>
                    <m:t>W</m:t>
                  </m:r>
                </m:e>
                <m:sub>
                  <m:r>
                    <w:rPr>
                      <w:rFonts w:ascii="Cambria Math" w:hAnsi="Cambria Math" w:cs="Times New Roman"/>
                    </w:rPr>
                    <m:t>p</m:t>
                  </m:r>
                </m:sub>
                <m:sup>
                  <m:r>
                    <w:rPr>
                      <w:rFonts w:ascii="Cambria Math" w:hAnsi="Cambria Math" w:cs="Times New Roman"/>
                    </w:rPr>
                    <m:t>T</m:t>
                  </m:r>
                </m:sup>
              </m:sSubSup>
            </m:e>
          </m:d>
        </m:oMath>
      </m:oMathPara>
    </w:p>
    <w:p w14:paraId="6C238039" w14:textId="77777777" w:rsidR="006352C7" w:rsidRDefault="009E2564" w:rsidP="00234C50">
      <w:pPr>
        <w:widowControl/>
        <w:wordWrap/>
        <w:autoSpaceDE/>
        <w:autoSpaceDN/>
        <w:spacing w:line="480" w:lineRule="auto"/>
        <w:rPr>
          <w:rFonts w:ascii="Times New Roman" w:hAnsi="Times New Roman" w:cs="Times New Roman"/>
        </w:rPr>
      </w:pPr>
      <w:r>
        <w:rPr>
          <w:rFonts w:ascii="Times New Roman" w:hAnsi="Times New Roman" w:cs="Times New Roman" w:hint="eastAsia"/>
        </w:rPr>
        <w:t xml:space="preserve">Accordingly, the soft alignment matrix </w:t>
      </w:r>
      <m:oMath>
        <m:r>
          <w:rPr>
            <w:rFonts w:ascii="Cambria Math" w:hAnsi="Cambria Math" w:cs="Times New Roman"/>
          </w:rPr>
          <m:t>A</m:t>
        </m:r>
      </m:oMath>
      <w:r w:rsidR="00DE6434">
        <w:rPr>
          <w:rFonts w:ascii="Times New Roman" w:hAnsi="Times New Roman" w:cs="Times New Roman" w:hint="eastAsia"/>
        </w:rPr>
        <w:t>, which functions as the</w:t>
      </w:r>
      <w:r w:rsidR="00DE6434">
        <w:rPr>
          <w:rFonts w:ascii="Times New Roman" w:hAnsi="Times New Roman" w:cs="Times New Roman"/>
        </w:rPr>
        <w:t xml:space="preserve"> pair-wise</w:t>
      </w:r>
      <w:r w:rsidR="00DE6434">
        <w:rPr>
          <w:rFonts w:ascii="Times New Roman" w:hAnsi="Times New Roman" w:cs="Times New Roman" w:hint="eastAsia"/>
        </w:rPr>
        <w:t xml:space="preserve"> interaction</w:t>
      </w:r>
      <w:r w:rsidR="00DE6434">
        <w:rPr>
          <w:rFonts w:ascii="Times New Roman" w:hAnsi="Times New Roman" w:cs="Times New Roman"/>
        </w:rPr>
        <w:t xml:space="preserve"> between the atom and amino acid residue</w:t>
      </w:r>
      <w:r w:rsidR="004B2406">
        <w:rPr>
          <w:rFonts w:ascii="Times New Roman" w:hAnsi="Times New Roman" w:cs="Times New Roman"/>
        </w:rPr>
        <w:t xml:space="preserve"> </w:t>
      </w:r>
      <w:r w:rsidR="002942AD">
        <w:rPr>
          <w:rFonts w:ascii="Times New Roman" w:hAnsi="Times New Roman" w:cs="Times New Roman"/>
        </w:rPr>
        <w:t xml:space="preserve">is calculated with the trainable parameter matrix </w:t>
      </w:r>
      <m:oMath>
        <m:r>
          <w:rPr>
            <w:rFonts w:ascii="Cambria Math" w:hAnsi="Cambria Math" w:cs="Times New Roman"/>
          </w:rPr>
          <m:t>U∈</m:t>
        </m:r>
        <m:sSup>
          <m:sSupPr>
            <m:ctrlPr>
              <w:rPr>
                <w:rFonts w:ascii="Cambria Math" w:hAnsi="Cambria Math" w:cs="Times New Roman"/>
              </w:rPr>
            </m:ctrlPr>
          </m:sSupPr>
          <m:e>
            <m:r>
              <m:rPr>
                <m:scr m:val="double-struck"/>
                <m:sty m:val="p"/>
              </m:rPr>
              <w:rPr>
                <w:rFonts w:ascii="Cambria Math" w:hAnsi="Cambria Math" w:cs="Times New Roman"/>
              </w:rPr>
              <m:t>R</m:t>
            </m:r>
          </m:e>
          <m:sup>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h</m:t>
                </m:r>
              </m:sub>
            </m:sSub>
            <m:r>
              <w:rPr>
                <w:rFonts w:ascii="Cambria Math" w:hAnsi="Cambria Math" w:cs="Times New Roman"/>
              </w:rPr>
              <m:t>×</m:t>
            </m:r>
            <m:sSub>
              <m:sSubPr>
                <m:ctrlPr>
                  <w:rPr>
                    <w:rFonts w:ascii="Cambria Math" w:hAnsi="Cambria Math" w:cs="Times New Roman"/>
                  </w:rPr>
                </m:ctrlPr>
              </m:sSubPr>
              <m:e>
                <m:r>
                  <m:rPr>
                    <m:sty m:val="p"/>
                  </m:rPr>
                  <w:rPr>
                    <w:rFonts w:ascii="Cambria Math" w:hAnsi="Cambria Math" w:cs="Times New Roman"/>
                  </w:rPr>
                  <m:t>N</m:t>
                </m:r>
              </m:e>
              <m:sub>
                <m:r>
                  <m:rPr>
                    <m:sty m:val="p"/>
                  </m:rPr>
                  <w:rPr>
                    <w:rFonts w:ascii="Cambria Math" w:hAnsi="Cambria Math" w:cs="Times New Roman"/>
                  </w:rPr>
                  <m:t>h</m:t>
                </m:r>
              </m:sub>
            </m:sSub>
          </m:sup>
        </m:sSup>
      </m:oMath>
      <w:r w:rsidR="00882725">
        <w:rPr>
          <w:rFonts w:ascii="Times New Roman" w:hAnsi="Times New Roman" w:cs="Times New Roman" w:hint="eastAsia"/>
        </w:rPr>
        <w:t xml:space="preserve"> as follows</w:t>
      </w:r>
    </w:p>
    <w:p w14:paraId="28FAFC86" w14:textId="77777777" w:rsidR="00EF17E6" w:rsidRPr="00B82E44" w:rsidRDefault="00B82E44" w:rsidP="00EF17E6">
      <w:pPr>
        <w:widowControl/>
        <w:wordWrap/>
        <w:autoSpaceDE/>
        <w:autoSpaceDN/>
        <w:spacing w:line="480" w:lineRule="auto"/>
        <w:rPr>
          <w:rFonts w:ascii="Times New Roman" w:hAnsi="Times New Roman" w:cs="Times New Roman"/>
          <w:i/>
        </w:rPr>
      </w:pPr>
      <m:oMathPara>
        <m:oMath>
          <m:r>
            <w:rPr>
              <w:rFonts w:ascii="Cambria Math" w:hAnsi="Cambria Math" w:cs="Times New Roman"/>
            </w:rPr>
            <m:t>A=tanh⁡(CU</m:t>
          </m:r>
          <m:sSup>
            <m:sSupPr>
              <m:ctrlPr>
                <w:rPr>
                  <w:rFonts w:ascii="Cambria Math" w:hAnsi="Cambria Math" w:cs="Times New Roman"/>
                  <w:i/>
                </w:rPr>
              </m:ctrlPr>
            </m:sSupPr>
            <m:e>
              <m:r>
                <w:rPr>
                  <w:rFonts w:ascii="Cambria Math" w:hAnsi="Cambria Math" w:cs="Times New Roman"/>
                </w:rPr>
                <m:t>P</m:t>
              </m:r>
            </m:e>
            <m:sup>
              <m:r>
                <w:rPr>
                  <w:rFonts w:ascii="Cambria Math" w:hAnsi="Cambria Math" w:cs="Times New Roman"/>
                </w:rPr>
                <m:t>T</m:t>
              </m:r>
            </m:sup>
          </m:sSup>
          <m:r>
            <w:rPr>
              <w:rFonts w:ascii="Cambria Math" w:hAnsi="Cambria Math" w:cs="Times New Roman"/>
            </w:rPr>
            <m:t>)</m:t>
          </m:r>
        </m:oMath>
      </m:oMathPara>
    </w:p>
    <w:p w14:paraId="3FB67739" w14:textId="77777777" w:rsidR="00F71E89" w:rsidRDefault="00F71E89" w:rsidP="00FB01BE">
      <w:pPr>
        <w:widowControl/>
        <w:wordWrap/>
        <w:autoSpaceDE/>
        <w:autoSpaceDN/>
        <w:spacing w:line="480" w:lineRule="auto"/>
        <w:rPr>
          <w:rFonts w:ascii="Times New Roman" w:hAnsi="Times New Roman" w:cs="Times New Roman"/>
        </w:rPr>
      </w:pPr>
      <w:r>
        <w:rPr>
          <w:rFonts w:ascii="Times New Roman" w:hAnsi="Times New Roman" w:cs="Times New Roman" w:hint="eastAsia"/>
        </w:rPr>
        <w:t>For calculation of the attention weight from atom to amino acid and vice versa, t</w:t>
      </w:r>
      <w:r>
        <w:rPr>
          <w:rFonts w:ascii="Times New Roman" w:hAnsi="Times New Roman" w:cs="Times New Roman"/>
        </w:rPr>
        <w:t>he direction</w:t>
      </w:r>
      <w:r w:rsidR="00C0158E">
        <w:rPr>
          <w:rFonts w:ascii="Times New Roman" w:hAnsi="Times New Roman" w:cs="Times New Roman"/>
        </w:rPr>
        <w:t>al</w:t>
      </w:r>
      <w:r>
        <w:rPr>
          <w:rFonts w:ascii="Times New Roman" w:hAnsi="Times New Roman" w:cs="Times New Roman"/>
        </w:rPr>
        <w:t xml:space="preserve"> information </w:t>
      </w:r>
      <m:oMath>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r2a</m:t>
            </m:r>
          </m:sub>
        </m:sSub>
      </m:oMath>
      <w:r>
        <w:rPr>
          <w:rFonts w:ascii="Times New Roman" w:hAnsi="Times New Roman" w:cs="Times New Roman" w:hint="eastAsia"/>
        </w:rPr>
        <w:t xml:space="preserve"> </w:t>
      </w:r>
      <w:r w:rsidR="00C0158E">
        <w:rPr>
          <w:rFonts w:ascii="Times New Roman" w:hAnsi="Times New Roman" w:cs="Times New Roman"/>
        </w:rPr>
        <w:t xml:space="preserve">(from amino acid to atom) </w:t>
      </w:r>
      <w:r>
        <w:rPr>
          <w:rFonts w:ascii="Times New Roman" w:hAnsi="Times New Roman" w:cs="Times New Roman" w:hint="eastAsia"/>
        </w:rPr>
        <w:t xml:space="preserve">and </w:t>
      </w:r>
      <m:oMath>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a2r</m:t>
            </m:r>
          </m:sub>
        </m:sSub>
      </m:oMath>
      <w:r w:rsidR="00C0158E">
        <w:rPr>
          <w:rFonts w:ascii="Times New Roman" w:hAnsi="Times New Roman" w:cs="Times New Roman" w:hint="eastAsia"/>
        </w:rPr>
        <w:t xml:space="preserve"> </w:t>
      </w:r>
      <w:r w:rsidR="00C0158E">
        <w:rPr>
          <w:rFonts w:ascii="Times New Roman" w:hAnsi="Times New Roman" w:cs="Times New Roman"/>
        </w:rPr>
        <w:t>(from atom to amino acid)</w:t>
      </w:r>
      <w:r>
        <w:rPr>
          <w:rFonts w:ascii="Times New Roman" w:hAnsi="Times New Roman" w:cs="Times New Roman" w:hint="eastAsia"/>
        </w:rPr>
        <w:t xml:space="preserve"> are calculated as below.</w:t>
      </w:r>
    </w:p>
    <w:p w14:paraId="560897AD" w14:textId="77777777" w:rsidR="00F71E89" w:rsidRPr="006352C7" w:rsidRDefault="002046C5" w:rsidP="00F71E89">
      <w:pPr>
        <w:widowControl/>
        <w:wordWrap/>
        <w:autoSpaceDE/>
        <w:autoSpaceDN/>
        <w:spacing w:line="480" w:lineRule="auto"/>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r2a</m:t>
              </m:r>
            </m:sub>
          </m:sSub>
          <m:r>
            <w:rPr>
              <w:rFonts w:ascii="Cambria Math" w:hAnsi="Cambria Math" w:cs="Times New Roman"/>
            </w:rPr>
            <m:t>=Atanh</m:t>
          </m:r>
          <m:d>
            <m:dPr>
              <m:ctrlPr>
                <w:rPr>
                  <w:rFonts w:ascii="Cambria Math" w:hAnsi="Cambria Math" w:cs="Times New Roman"/>
                  <w:i/>
                </w:rPr>
              </m:ctrlPr>
            </m:dPr>
            <m:e>
              <m:r>
                <w:rPr>
                  <w:rFonts w:ascii="Cambria Math" w:hAnsi="Cambria Math" w:cs="Times New Roman"/>
                </w:rPr>
                <m:t>P</m:t>
              </m:r>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r2a</m:t>
                  </m:r>
                </m:sub>
              </m:sSub>
            </m:e>
          </m:d>
        </m:oMath>
      </m:oMathPara>
    </w:p>
    <w:p w14:paraId="22AFBD1D" w14:textId="77777777" w:rsidR="00F71E89" w:rsidRPr="006352C7" w:rsidRDefault="002046C5" w:rsidP="00F71E89">
      <w:pPr>
        <w:widowControl/>
        <w:wordWrap/>
        <w:autoSpaceDE/>
        <w:autoSpaceDN/>
        <w:spacing w:line="480" w:lineRule="auto"/>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a2r</m:t>
              </m:r>
            </m:sub>
          </m:sSub>
          <m:r>
            <w:rPr>
              <w:rFonts w:ascii="Cambria Math" w:hAnsi="Cambria Math" w:cs="Times New Roman"/>
            </w:rPr>
            <m:t>=Atanh</m:t>
          </m:r>
          <m:d>
            <m:dPr>
              <m:ctrlPr>
                <w:rPr>
                  <w:rFonts w:ascii="Cambria Math" w:hAnsi="Cambria Math" w:cs="Times New Roman"/>
                  <w:i/>
                </w:rPr>
              </m:ctrlPr>
            </m:dPr>
            <m:e>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a2r</m:t>
                  </m:r>
                </m:sub>
              </m:sSub>
            </m:e>
          </m:d>
        </m:oMath>
      </m:oMathPara>
    </w:p>
    <w:p w14:paraId="4AF6BF47" w14:textId="77777777" w:rsidR="00F71E89" w:rsidRDefault="00CF0DD1" w:rsidP="00FB01BE">
      <w:pPr>
        <w:widowControl/>
        <w:wordWrap/>
        <w:autoSpaceDE/>
        <w:autoSpaceDN/>
        <w:spacing w:line="480" w:lineRule="auto"/>
        <w:rPr>
          <w:rFonts w:ascii="Times New Roman" w:hAnsi="Times New Roman" w:cs="Times New Roman"/>
        </w:rPr>
      </w:pPr>
      <w:r>
        <w:rPr>
          <w:rFonts w:ascii="Times New Roman" w:hAnsi="Times New Roman" w:cs="Times New Roman"/>
        </w:rPr>
        <w:t>W</w:t>
      </w:r>
      <w:r>
        <w:rPr>
          <w:rFonts w:ascii="Times New Roman" w:hAnsi="Times New Roman" w:cs="Times New Roman" w:hint="eastAsia"/>
        </w:rPr>
        <w:t xml:space="preserve">here </w:t>
      </w:r>
      <m:oMath>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r2a</m:t>
            </m:r>
          </m:sub>
        </m:sSub>
      </m:oMath>
      <w:r>
        <w:rPr>
          <w:rFonts w:ascii="Times New Roman" w:hAnsi="Times New Roman" w:cs="Times New Roman" w:hint="eastAsia"/>
        </w:rPr>
        <w:t xml:space="preserve">, </w:t>
      </w:r>
      <m:oMath>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a2r</m:t>
            </m:r>
          </m:sub>
        </m:sSub>
        <m:r>
          <w:rPr>
            <w:rFonts w:ascii="Cambria Math" w:hAnsi="Cambria Math" w:cs="Times New Roman"/>
          </w:rPr>
          <m:t>∈</m:t>
        </m:r>
        <m:sSup>
          <m:sSupPr>
            <m:ctrlPr>
              <w:rPr>
                <w:rFonts w:ascii="Cambria Math" w:hAnsi="Cambria Math" w:cs="Times New Roman"/>
                <w:i/>
              </w:rPr>
            </m:ctrlPr>
          </m:sSupPr>
          <m:e>
            <m:r>
              <m:rPr>
                <m:scr m:val="double-struck"/>
              </m:rPr>
              <w:rPr>
                <w:rFonts w:ascii="Cambria Math" w:hAnsi="Cambria Math" w:cs="Times New Roman"/>
              </w:rPr>
              <m:t>R</m:t>
            </m:r>
          </m:e>
          <m:sup>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h</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h</m:t>
                </m:r>
              </m:sub>
            </m:sSub>
          </m:sup>
        </m:sSup>
      </m:oMath>
      <w:r>
        <w:rPr>
          <w:rFonts w:ascii="Times New Roman" w:hAnsi="Times New Roman" w:cs="Times New Roman" w:hint="eastAsia"/>
        </w:rPr>
        <w:t xml:space="preserve"> are trainable parameter</w:t>
      </w:r>
      <w:r w:rsidR="00843A47">
        <w:rPr>
          <w:rFonts w:ascii="Times New Roman" w:hAnsi="Times New Roman" w:cs="Times New Roman"/>
        </w:rPr>
        <w:t>s</w:t>
      </w:r>
      <w:r>
        <w:rPr>
          <w:rFonts w:ascii="Times New Roman" w:hAnsi="Times New Roman" w:cs="Times New Roman" w:hint="eastAsia"/>
        </w:rPr>
        <w:t xml:space="preserve">. </w:t>
      </w:r>
      <w:r w:rsidR="00C0158E">
        <w:rPr>
          <w:rFonts w:ascii="Times New Roman" w:hAnsi="Times New Roman" w:cs="Times New Roman"/>
        </w:rPr>
        <w:t>The attention in both</w:t>
      </w:r>
      <w:r w:rsidR="00B82E44">
        <w:rPr>
          <w:rFonts w:ascii="Times New Roman" w:hAnsi="Times New Roman" w:cs="Times New Roman"/>
        </w:rPr>
        <w:t xml:space="preserve"> direction is calculated as follow.</w:t>
      </w:r>
    </w:p>
    <w:p w14:paraId="7714D40A" w14:textId="77777777" w:rsidR="00FF75BB" w:rsidRPr="006352C7" w:rsidRDefault="002046C5" w:rsidP="00FF75BB">
      <w:pPr>
        <w:widowControl/>
        <w:wordWrap/>
        <w:autoSpaceDE/>
        <w:autoSpaceDN/>
        <w:spacing w:line="480" w:lineRule="auto"/>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r2a</m:t>
              </m:r>
            </m:sub>
          </m:sSub>
          <m:r>
            <w:rPr>
              <w:rFonts w:ascii="Cambria Math" w:hAnsi="Cambria Math" w:cs="Times New Roman"/>
            </w:rPr>
            <m:t>=softmax</m:t>
          </m:r>
          <m:d>
            <m:dPr>
              <m:ctrlPr>
                <w:rPr>
                  <w:rFonts w:ascii="Cambria Math" w:hAnsi="Cambria Math" w:cs="Times New Roman"/>
                  <w:i/>
                </w:rPr>
              </m:ctrlPr>
            </m:dPr>
            <m:e>
              <m:d>
                <m:dPr>
                  <m:begChr m:val="["/>
                  <m:endChr m:val="]"/>
                  <m:ctrlPr>
                    <w:rPr>
                      <w:rFonts w:ascii="Cambria Math" w:hAnsi="Cambria Math" w:cs="Times New Roman"/>
                      <w:i/>
                    </w:rPr>
                  </m:ctrlPr>
                </m:dPr>
                <m:e>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C</m:t>
                      </m:r>
                    </m:sub>
                  </m:sSub>
                  <m:d>
                    <m:dPr>
                      <m:begChr m:val="‖"/>
                      <m:endChr m:val=""/>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r2a</m:t>
                          </m:r>
                        </m:sub>
                      </m:sSub>
                    </m:e>
                  </m:d>
                </m:e>
              </m:d>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r2a</m:t>
                  </m:r>
                </m:sub>
              </m:sSub>
            </m:e>
          </m:d>
        </m:oMath>
      </m:oMathPara>
    </w:p>
    <w:p w14:paraId="75178E3F" w14:textId="77777777" w:rsidR="00633F1F" w:rsidRPr="006352C7" w:rsidRDefault="002046C5" w:rsidP="00633F1F">
      <w:pPr>
        <w:widowControl/>
        <w:wordWrap/>
        <w:autoSpaceDE/>
        <w:autoSpaceDN/>
        <w:spacing w:line="480" w:lineRule="auto"/>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a2r</m:t>
              </m:r>
            </m:sub>
          </m:sSub>
          <m:r>
            <w:rPr>
              <w:rFonts w:ascii="Cambria Math" w:hAnsi="Cambria Math" w:cs="Times New Roman"/>
            </w:rPr>
            <m:t>=softmax</m:t>
          </m:r>
          <m:d>
            <m:dPr>
              <m:ctrlPr>
                <w:rPr>
                  <w:rFonts w:ascii="Cambria Math" w:hAnsi="Cambria Math" w:cs="Times New Roman"/>
                  <w:i/>
                </w:rPr>
              </m:ctrlPr>
            </m:dPr>
            <m:e>
              <m:d>
                <m:dPr>
                  <m:begChr m:val="["/>
                  <m:endChr m:val="]"/>
                  <m:ctrlPr>
                    <w:rPr>
                      <w:rFonts w:ascii="Cambria Math" w:hAnsi="Cambria Math" w:cs="Times New Roman"/>
                      <w:i/>
                    </w:rPr>
                  </m:ctrlPr>
                </m:dPr>
                <m:e>
                  <m:r>
                    <w:rPr>
                      <w:rFonts w:ascii="Cambria Math" w:hAnsi="Cambria Math" w:cs="Times New Roman"/>
                    </w:rPr>
                    <m:t>P</m:t>
                  </m:r>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p</m:t>
                      </m:r>
                    </m:sub>
                  </m:sSub>
                  <m:d>
                    <m:dPr>
                      <m:begChr m:val="‖"/>
                      <m:endChr m:val=""/>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I</m:t>
                          </m:r>
                        </m:e>
                        <m:sub>
                          <m:r>
                            <w:rPr>
                              <w:rFonts w:ascii="Cambria Math" w:hAnsi="Cambria Math" w:cs="Times New Roman"/>
                            </w:rPr>
                            <m:t>a2r</m:t>
                          </m:r>
                        </m:sub>
                      </m:sSub>
                    </m:e>
                  </m:d>
                </m:e>
              </m:d>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a2r</m:t>
                  </m:r>
                </m:sub>
              </m:sSub>
            </m:e>
          </m:d>
        </m:oMath>
      </m:oMathPara>
    </w:p>
    <w:p w14:paraId="23B90897" w14:textId="77777777" w:rsidR="00C70224" w:rsidRDefault="00843A47">
      <w:pPr>
        <w:widowControl/>
        <w:wordWrap/>
        <w:autoSpaceDE/>
        <w:autoSpaceDN/>
        <w:rPr>
          <w:rFonts w:ascii="Times New Roman" w:hAnsi="Times New Roman" w:cs="Times New Roman"/>
        </w:rPr>
      </w:pPr>
      <w:r>
        <w:rPr>
          <w:rFonts w:ascii="Times New Roman" w:hAnsi="Times New Roman" w:cs="Times New Roman" w:hint="eastAsia"/>
        </w:rPr>
        <w:t>Wh</w:t>
      </w:r>
      <w:r>
        <w:rPr>
          <w:rFonts w:ascii="Times New Roman" w:hAnsi="Times New Roman" w:cs="Times New Roman"/>
        </w:rPr>
        <w:t xml:space="preserve">ere </w:t>
      </w:r>
      <m:oMath>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C</m:t>
            </m:r>
          </m:sub>
        </m:sSub>
      </m:oMath>
      <w:r>
        <w:rPr>
          <w:rFonts w:ascii="Times New Roman" w:hAnsi="Times New Roman" w:cs="Times New Roman" w:hint="eastAsia"/>
        </w:rPr>
        <w:t xml:space="preserve">, </w:t>
      </w:r>
      <m:oMath>
        <m:sSub>
          <m:sSubPr>
            <m:ctrlPr>
              <w:rPr>
                <w:rFonts w:ascii="Cambria Math" w:hAnsi="Cambria Math" w:cs="Times New Roman"/>
                <w:i/>
              </w:rPr>
            </m:ctrlPr>
          </m:sSubPr>
          <m:e>
            <m:r>
              <w:rPr>
                <w:rFonts w:ascii="Cambria Math" w:hAnsi="Cambria Math" w:cs="Times New Roman"/>
              </w:rPr>
              <m:t>W</m:t>
            </m:r>
          </m:e>
          <m:sub>
            <m:r>
              <w:rPr>
                <w:rFonts w:ascii="Cambria Math" w:hAnsi="Cambria Math" w:cs="Times New Roman"/>
              </w:rPr>
              <m:t>P</m:t>
            </m:r>
          </m:sub>
        </m:sSub>
        <m:r>
          <w:rPr>
            <w:rFonts w:ascii="Cambria Math" w:hAnsi="Cambria Math" w:cs="Times New Roman"/>
          </w:rPr>
          <m:t>∈</m:t>
        </m:r>
        <m:sSup>
          <m:sSupPr>
            <m:ctrlPr>
              <w:rPr>
                <w:rFonts w:ascii="Cambria Math" w:hAnsi="Cambria Math" w:cs="Times New Roman"/>
              </w:rPr>
            </m:ctrlPr>
          </m:sSupPr>
          <m:e>
            <m:r>
              <m:rPr>
                <m:scr m:val="double-struck"/>
                <m:sty m:val="p"/>
              </m:rPr>
              <w:rPr>
                <w:rFonts w:ascii="Cambria Math" w:hAnsi="Cambria Math" w:cs="Times New Roman"/>
              </w:rPr>
              <m:t>R</m:t>
            </m:r>
          </m:e>
          <m:sup>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h</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h</m:t>
                </m:r>
              </m:sub>
            </m:sSub>
          </m:sup>
        </m:sSup>
      </m:oMath>
      <w:r>
        <w:rPr>
          <w:rFonts w:ascii="Times New Roman" w:hAnsi="Times New Roman" w:cs="Times New Roman" w:hint="eastAsia"/>
        </w:rPr>
        <w:t xml:space="preserve"> are trainable parameter</w:t>
      </w:r>
      <w:r w:rsidR="00CC1034">
        <w:rPr>
          <w:rFonts w:ascii="Times New Roman" w:hAnsi="Times New Roman" w:cs="Times New Roman"/>
        </w:rPr>
        <w:t xml:space="preserve">s and </w:t>
      </w:r>
      <m:oMath>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r2a</m:t>
            </m:r>
          </m:sub>
        </m:sSub>
      </m:oMath>
      <w:r w:rsidR="00CC1034">
        <w:rPr>
          <w:rFonts w:ascii="Times New Roman" w:hAnsi="Times New Roman" w:cs="Times New Roman" w:hint="eastAsia"/>
        </w:rPr>
        <w:t xml:space="preserve">, </w:t>
      </w:r>
      <m:oMath>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a2r</m:t>
            </m:r>
          </m:sub>
        </m:sSub>
        <m:r>
          <w:rPr>
            <w:rFonts w:ascii="Cambria Math" w:hAnsi="Cambria Math" w:cs="Times New Roman"/>
          </w:rPr>
          <m:t>∈</m:t>
        </m:r>
        <m:sSup>
          <m:sSupPr>
            <m:ctrlPr>
              <w:rPr>
                <w:rFonts w:ascii="Cambria Math" w:hAnsi="Cambria Math" w:cs="Times New Roman"/>
              </w:rPr>
            </m:ctrlPr>
          </m:sSupPr>
          <m:e>
            <m:r>
              <m:rPr>
                <m:scr m:val="double-struck"/>
                <m:sty m:val="p"/>
              </m:rPr>
              <w:rPr>
                <w:rFonts w:ascii="Cambria Math" w:hAnsi="Cambria Math" w:cs="Times New Roman"/>
              </w:rPr>
              <m:t>R</m:t>
            </m:r>
          </m:e>
          <m:sup>
            <m:r>
              <w:rPr>
                <w:rFonts w:ascii="Cambria Math" w:hAnsi="Cambria Math" w:cs="Times New Roman"/>
              </w:rPr>
              <m:t>2</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h</m:t>
                </m:r>
              </m:sub>
            </m:sSub>
          </m:sup>
        </m:sSup>
      </m:oMath>
      <w:r w:rsidR="00CC1034">
        <w:rPr>
          <w:rFonts w:ascii="Times New Roman" w:hAnsi="Times New Roman" w:cs="Times New Roman" w:hint="eastAsia"/>
        </w:rPr>
        <w:t xml:space="preserve"> ar</w:t>
      </w:r>
      <w:r w:rsidR="00CC1034">
        <w:rPr>
          <w:rFonts w:ascii="Times New Roman" w:hAnsi="Times New Roman" w:cs="Times New Roman"/>
        </w:rPr>
        <w:t>e the attention mechanism of atom to amino acid and vice versa.</w:t>
      </w:r>
    </w:p>
    <w:p w14:paraId="0C8B4C85" w14:textId="77777777" w:rsidR="00E57BE4" w:rsidRDefault="00C70224">
      <w:pPr>
        <w:widowControl/>
        <w:wordWrap/>
        <w:autoSpaceDE/>
        <w:autoSpaceDN/>
        <w:rPr>
          <w:rFonts w:ascii="Times New Roman" w:hAnsi="Times New Roman" w:cs="Times New Roman"/>
        </w:rPr>
      </w:pPr>
      <w:r>
        <w:rPr>
          <w:rFonts w:ascii="Times New Roman" w:hAnsi="Times New Roman" w:cs="Times New Roman"/>
        </w:rPr>
        <w:t xml:space="preserve">Finally, the attention-weighted compound embedding </w:t>
      </w:r>
      <m:oMath>
        <m:sSub>
          <m:sSubPr>
            <m:ctrlPr>
              <w:rPr>
                <w:rFonts w:ascii="Cambria Math" w:hAnsi="Cambria Math" w:cs="Times New Roman"/>
                <w:i/>
              </w:rPr>
            </m:ctrlPr>
          </m:sSubPr>
          <m:e>
            <m:acc>
              <m:accPr>
                <m:ctrlPr>
                  <w:rPr>
                    <w:rFonts w:ascii="Cambria Math" w:hAnsi="Cambria Math" w:cs="Times New Roman"/>
                    <w:i/>
                  </w:rPr>
                </m:ctrlPr>
              </m:accPr>
              <m:e>
                <m:r>
                  <w:rPr>
                    <w:rFonts w:ascii="Cambria Math" w:hAnsi="Cambria Math" w:cs="Times New Roman"/>
                  </w:rPr>
                  <m:t>X</m:t>
                </m:r>
              </m:e>
            </m:acc>
          </m:e>
          <m:sub>
            <m:r>
              <w:rPr>
                <w:rFonts w:ascii="Cambria Math" w:hAnsi="Cambria Math" w:cs="Times New Roman"/>
              </w:rPr>
              <m:t>c</m:t>
            </m:r>
          </m:sub>
        </m:sSub>
      </m:oMath>
      <w:r>
        <w:rPr>
          <w:rFonts w:ascii="Times New Roman" w:hAnsi="Times New Roman" w:cs="Times New Roman"/>
        </w:rPr>
        <w:t xml:space="preserve"> and protein embedding </w:t>
      </w:r>
      <m:oMath>
        <m:sSub>
          <m:sSubPr>
            <m:ctrlPr>
              <w:rPr>
                <w:rFonts w:ascii="Cambria Math" w:hAnsi="Cambria Math" w:cs="Times New Roman"/>
                <w:i/>
              </w:rPr>
            </m:ctrlPr>
          </m:sSubPr>
          <m:e>
            <m:acc>
              <m:accPr>
                <m:ctrlPr>
                  <w:rPr>
                    <w:rFonts w:ascii="Cambria Math" w:hAnsi="Cambria Math" w:cs="Times New Roman"/>
                    <w:i/>
                  </w:rPr>
                </m:ctrlPr>
              </m:accPr>
              <m:e>
                <m:r>
                  <w:rPr>
                    <w:rFonts w:ascii="Cambria Math" w:hAnsi="Cambria Math" w:cs="Times New Roman"/>
                  </w:rPr>
                  <m:t>X</m:t>
                </m:r>
              </m:e>
            </m:acc>
          </m:e>
          <m:sub>
            <m:r>
              <w:rPr>
                <w:rFonts w:ascii="Cambria Math" w:hAnsi="Cambria Math" w:cs="Times New Roman"/>
              </w:rPr>
              <m:t>p</m:t>
            </m:r>
          </m:sub>
        </m:sSub>
      </m:oMath>
      <w:r w:rsidR="00C65E95">
        <w:rPr>
          <w:rFonts w:ascii="Times New Roman" w:hAnsi="Times New Roman" w:cs="Times New Roman" w:hint="eastAsia"/>
        </w:rPr>
        <w:t xml:space="preserve"> </w:t>
      </w:r>
      <w:r w:rsidR="00C65E95">
        <w:rPr>
          <w:rFonts w:ascii="Times New Roman" w:hAnsi="Times New Roman" w:cs="Times New Roman"/>
        </w:rPr>
        <w:t>are calculated as below.</w:t>
      </w:r>
    </w:p>
    <w:p w14:paraId="57033E9E" w14:textId="77777777" w:rsidR="00E57BE4" w:rsidRPr="006352C7" w:rsidRDefault="002046C5" w:rsidP="00E57BE4">
      <w:pPr>
        <w:widowControl/>
        <w:wordWrap/>
        <w:autoSpaceDE/>
        <w:autoSpaceDN/>
        <w:spacing w:line="480" w:lineRule="auto"/>
        <w:rPr>
          <w:rFonts w:ascii="Times New Roman" w:hAnsi="Times New Roman" w:cs="Times New Roman"/>
        </w:rPr>
      </w:pPr>
      <m:oMathPara>
        <m:oMath>
          <m:sSub>
            <m:sSubPr>
              <m:ctrlPr>
                <w:rPr>
                  <w:rFonts w:ascii="Cambria Math" w:hAnsi="Cambria Math" w:cs="Times New Roman"/>
                  <w:i/>
                </w:rPr>
              </m:ctrlPr>
            </m:sSubPr>
            <m:e>
              <m:acc>
                <m:accPr>
                  <m:ctrlPr>
                    <w:rPr>
                      <w:rFonts w:ascii="Cambria Math" w:hAnsi="Cambria Math" w:cs="Times New Roman"/>
                      <w:i/>
                    </w:rPr>
                  </m:ctrlPr>
                </m:accPr>
                <m:e>
                  <m:r>
                    <w:rPr>
                      <w:rFonts w:ascii="Cambria Math" w:hAnsi="Cambria Math" w:cs="Times New Roman"/>
                    </w:rPr>
                    <m:t>X</m:t>
                  </m:r>
                </m:e>
              </m:acc>
            </m:e>
            <m:sub>
              <m:r>
                <w:rPr>
                  <w:rFonts w:ascii="Cambria Math" w:hAnsi="Cambria Math" w:cs="Times New Roman"/>
                </w:rPr>
                <m:t>c</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r2a</m:t>
              </m:r>
            </m:sub>
          </m:sSub>
          <m:r>
            <w:rPr>
              <w:rFonts w:ascii="Cambria Math" w:hAnsi="Cambria Math" w:cs="Times New Roman"/>
            </w:rPr>
            <m:t>C</m:t>
          </m:r>
        </m:oMath>
      </m:oMathPara>
    </w:p>
    <w:p w14:paraId="328604FF" w14:textId="77777777" w:rsidR="00E57BE4" w:rsidRPr="006352C7" w:rsidRDefault="002046C5" w:rsidP="00E57BE4">
      <w:pPr>
        <w:widowControl/>
        <w:wordWrap/>
        <w:autoSpaceDE/>
        <w:autoSpaceDN/>
        <w:spacing w:line="480" w:lineRule="auto"/>
        <w:rPr>
          <w:rFonts w:ascii="Times New Roman" w:hAnsi="Times New Roman" w:cs="Times New Roman"/>
        </w:rPr>
      </w:pPr>
      <m:oMathPara>
        <m:oMath>
          <m:sSub>
            <m:sSubPr>
              <m:ctrlPr>
                <w:rPr>
                  <w:rFonts w:ascii="Cambria Math" w:hAnsi="Cambria Math" w:cs="Times New Roman"/>
                  <w:i/>
                </w:rPr>
              </m:ctrlPr>
            </m:sSubPr>
            <m:e>
              <m:acc>
                <m:accPr>
                  <m:ctrlPr>
                    <w:rPr>
                      <w:rFonts w:ascii="Cambria Math" w:hAnsi="Cambria Math" w:cs="Times New Roman"/>
                      <w:i/>
                    </w:rPr>
                  </m:ctrlPr>
                </m:accPr>
                <m:e>
                  <m:r>
                    <w:rPr>
                      <w:rFonts w:ascii="Cambria Math" w:hAnsi="Cambria Math" w:cs="Times New Roman"/>
                    </w:rPr>
                    <m:t>X</m:t>
                  </m:r>
                </m:e>
              </m:acc>
            </m:e>
            <m:sub>
              <m:r>
                <w:rPr>
                  <w:rFonts w:ascii="Cambria Math" w:hAnsi="Cambria Math" w:cs="Times New Roman"/>
                </w:rPr>
                <m:t>p</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α</m:t>
              </m:r>
            </m:e>
            <m:sub>
              <m:r>
                <w:rPr>
                  <w:rFonts w:ascii="Cambria Math" w:hAnsi="Cambria Math" w:cs="Times New Roman"/>
                </w:rPr>
                <m:t>a2r</m:t>
              </m:r>
            </m:sub>
          </m:sSub>
          <m:r>
            <w:rPr>
              <w:rFonts w:ascii="Cambria Math" w:hAnsi="Cambria Math" w:cs="Times New Roman"/>
            </w:rPr>
            <m:t>P</m:t>
          </m:r>
        </m:oMath>
      </m:oMathPara>
    </w:p>
    <w:p w14:paraId="5A7A7D0E" w14:textId="77777777" w:rsidR="00790D77" w:rsidRPr="00CC1034" w:rsidRDefault="00CC1034">
      <w:pPr>
        <w:widowControl/>
        <w:wordWrap/>
        <w:autoSpaceDE/>
        <w:autoSpaceDN/>
        <w:rPr>
          <w:rFonts w:ascii="Times New Roman" w:hAnsi="Times New Roman" w:cs="Times New Roman"/>
        </w:rPr>
      </w:pPr>
      <w:r>
        <w:rPr>
          <w:rFonts w:ascii="Times New Roman" w:hAnsi="Times New Roman" w:cs="Times New Roman"/>
        </w:rPr>
        <w:br w:type="page"/>
      </w:r>
    </w:p>
    <w:p w14:paraId="281C7ACC" w14:textId="77777777" w:rsidR="0079652E" w:rsidRPr="00AE6A6A" w:rsidRDefault="00774FF3" w:rsidP="00352DCE">
      <w:pPr>
        <w:widowControl/>
        <w:wordWrap/>
        <w:autoSpaceDE/>
        <w:autoSpaceDN/>
        <w:rPr>
          <w:rFonts w:ascii="Times New Roman" w:hAnsi="Times New Roman" w:cs="Times New Roman"/>
          <w:bCs/>
        </w:rPr>
      </w:pPr>
      <w:r w:rsidRPr="00AE6A6A">
        <w:rPr>
          <w:rFonts w:ascii="Times New Roman" w:hAnsi="Times New Roman" w:cs="Times New Roman" w:hint="eastAsia"/>
          <w:bCs/>
        </w:rPr>
        <w:lastRenderedPageBreak/>
        <w:t>Table S1 The curated data for estimating the Ki of the radiolabeled compo</w:t>
      </w:r>
      <w:r w:rsidR="00534677" w:rsidRPr="00AE6A6A">
        <w:rPr>
          <w:rFonts w:ascii="Times New Roman" w:hAnsi="Times New Roman" w:cs="Times New Roman"/>
          <w:bCs/>
        </w:rPr>
        <w:t>u</w:t>
      </w:r>
      <w:r w:rsidRPr="00AE6A6A">
        <w:rPr>
          <w:rFonts w:ascii="Times New Roman" w:hAnsi="Times New Roman" w:cs="Times New Roman" w:hint="eastAsia"/>
          <w:bCs/>
        </w:rPr>
        <w:t>nds</w:t>
      </w:r>
    </w:p>
    <w:tbl>
      <w:tblPr>
        <w:tblStyle w:val="TableGrid"/>
        <w:tblW w:w="0" w:type="auto"/>
        <w:tblLook w:val="04A0" w:firstRow="1" w:lastRow="0" w:firstColumn="1" w:lastColumn="0" w:noHBand="0" w:noVBand="1"/>
      </w:tblPr>
      <w:tblGrid>
        <w:gridCol w:w="838"/>
        <w:gridCol w:w="2713"/>
        <w:gridCol w:w="1878"/>
        <w:gridCol w:w="3037"/>
        <w:gridCol w:w="550"/>
      </w:tblGrid>
      <w:tr w:rsidR="00D759BE" w:rsidRPr="00455390" w14:paraId="54D1B1E5" w14:textId="77777777" w:rsidTr="00D759BE">
        <w:trPr>
          <w:trHeight w:val="340"/>
        </w:trPr>
        <w:tc>
          <w:tcPr>
            <w:tcW w:w="838" w:type="dxa"/>
            <w:vAlign w:val="center"/>
          </w:tcPr>
          <w:p w14:paraId="679FAF7C" w14:textId="77777777" w:rsidR="00D759BE" w:rsidRPr="00D759BE" w:rsidRDefault="00D759BE" w:rsidP="00D759BE">
            <w:pPr>
              <w:widowControl/>
              <w:wordWrap/>
              <w:autoSpaceDE/>
              <w:autoSpaceDN/>
              <w:jc w:val="center"/>
              <w:rPr>
                <w:rFonts w:ascii="Times New Roman" w:hAnsi="Times New Roman" w:cs="Times New Roman"/>
                <w:b/>
                <w:bCs/>
                <w:sz w:val="22"/>
              </w:rPr>
            </w:pPr>
            <w:r w:rsidRPr="00D759BE">
              <w:rPr>
                <w:rFonts w:ascii="Times New Roman" w:hAnsi="Times New Roman" w:cs="Times New Roman" w:hint="eastAsia"/>
                <w:b/>
                <w:bCs/>
                <w:sz w:val="22"/>
              </w:rPr>
              <w:t>R</w:t>
            </w:r>
            <w:r w:rsidRPr="00D759BE">
              <w:rPr>
                <w:rFonts w:ascii="Times New Roman" w:hAnsi="Times New Roman" w:cs="Times New Roman"/>
                <w:b/>
                <w:bCs/>
                <w:sz w:val="22"/>
              </w:rPr>
              <w:t>I</w:t>
            </w:r>
          </w:p>
        </w:tc>
        <w:tc>
          <w:tcPr>
            <w:tcW w:w="2713" w:type="dxa"/>
            <w:noWrap/>
            <w:vAlign w:val="center"/>
            <w:hideMark/>
          </w:tcPr>
          <w:p w14:paraId="741C1DE8" w14:textId="77777777" w:rsidR="00D759BE" w:rsidRPr="00D759BE" w:rsidRDefault="00D759BE" w:rsidP="00D759BE">
            <w:pPr>
              <w:widowControl/>
              <w:wordWrap/>
              <w:autoSpaceDE/>
              <w:autoSpaceDN/>
              <w:jc w:val="center"/>
              <w:rPr>
                <w:rFonts w:ascii="Times New Roman" w:hAnsi="Times New Roman" w:cs="Times New Roman"/>
                <w:b/>
                <w:bCs/>
                <w:sz w:val="22"/>
              </w:rPr>
            </w:pPr>
            <w:r w:rsidRPr="00D759BE">
              <w:rPr>
                <w:rFonts w:ascii="Times New Roman" w:hAnsi="Times New Roman" w:cs="Times New Roman" w:hint="eastAsia"/>
                <w:b/>
                <w:bCs/>
                <w:sz w:val="22"/>
              </w:rPr>
              <w:t>drug</w:t>
            </w:r>
          </w:p>
        </w:tc>
        <w:tc>
          <w:tcPr>
            <w:tcW w:w="1878" w:type="dxa"/>
            <w:noWrap/>
            <w:vAlign w:val="center"/>
            <w:hideMark/>
          </w:tcPr>
          <w:p w14:paraId="75B442C4" w14:textId="77777777" w:rsidR="00D759BE" w:rsidRPr="00D759BE" w:rsidRDefault="00D759BE" w:rsidP="00D759BE">
            <w:pPr>
              <w:widowControl/>
              <w:wordWrap/>
              <w:autoSpaceDE/>
              <w:autoSpaceDN/>
              <w:jc w:val="center"/>
              <w:rPr>
                <w:rFonts w:ascii="Times New Roman" w:hAnsi="Times New Roman" w:cs="Times New Roman"/>
                <w:b/>
                <w:bCs/>
                <w:sz w:val="22"/>
              </w:rPr>
            </w:pPr>
            <w:r w:rsidRPr="00D759BE">
              <w:rPr>
                <w:rFonts w:ascii="Times New Roman" w:hAnsi="Times New Roman" w:cs="Times New Roman" w:hint="eastAsia"/>
                <w:b/>
                <w:bCs/>
                <w:sz w:val="22"/>
              </w:rPr>
              <w:t>protein</w:t>
            </w:r>
          </w:p>
        </w:tc>
        <w:tc>
          <w:tcPr>
            <w:tcW w:w="3037" w:type="dxa"/>
            <w:noWrap/>
            <w:vAlign w:val="center"/>
            <w:hideMark/>
          </w:tcPr>
          <w:p w14:paraId="1F725237" w14:textId="77777777" w:rsidR="00D759BE" w:rsidRPr="00D759BE" w:rsidRDefault="00D759BE" w:rsidP="00D759BE">
            <w:pPr>
              <w:widowControl/>
              <w:wordWrap/>
              <w:autoSpaceDE/>
              <w:autoSpaceDN/>
              <w:jc w:val="center"/>
              <w:rPr>
                <w:rFonts w:ascii="Times New Roman" w:hAnsi="Times New Roman" w:cs="Times New Roman"/>
                <w:b/>
                <w:bCs/>
                <w:sz w:val="22"/>
              </w:rPr>
            </w:pPr>
            <w:r w:rsidRPr="00D759BE">
              <w:rPr>
                <w:rFonts w:ascii="Times New Roman" w:hAnsi="Times New Roman" w:cs="Times New Roman" w:hint="eastAsia"/>
                <w:b/>
                <w:bCs/>
                <w:sz w:val="22"/>
              </w:rPr>
              <w:t>ki(nM)</w:t>
            </w:r>
          </w:p>
        </w:tc>
        <w:tc>
          <w:tcPr>
            <w:tcW w:w="550" w:type="dxa"/>
            <w:vAlign w:val="center"/>
          </w:tcPr>
          <w:p w14:paraId="7FC8C8F1" w14:textId="77777777" w:rsidR="00D759BE" w:rsidRPr="00D759BE" w:rsidRDefault="00D759BE" w:rsidP="00D759BE">
            <w:pPr>
              <w:widowControl/>
              <w:wordWrap/>
              <w:autoSpaceDE/>
              <w:autoSpaceDN/>
              <w:jc w:val="center"/>
              <w:rPr>
                <w:rFonts w:ascii="Times New Roman" w:hAnsi="Times New Roman" w:cs="Times New Roman"/>
                <w:b/>
                <w:bCs/>
                <w:sz w:val="22"/>
              </w:rPr>
            </w:pPr>
            <w:r w:rsidRPr="00D759BE">
              <w:rPr>
                <w:rFonts w:ascii="Times New Roman" w:hAnsi="Times New Roman" w:cs="Times New Roman" w:hint="eastAsia"/>
                <w:b/>
                <w:bCs/>
                <w:sz w:val="22"/>
              </w:rPr>
              <w:t>Ref</w:t>
            </w:r>
          </w:p>
        </w:tc>
      </w:tr>
      <w:tr w:rsidR="00D759BE" w:rsidRPr="00455390" w14:paraId="04D92EDF" w14:textId="77777777" w:rsidTr="00D759BE">
        <w:trPr>
          <w:trHeight w:val="340"/>
        </w:trPr>
        <w:tc>
          <w:tcPr>
            <w:tcW w:w="838" w:type="dxa"/>
            <w:vAlign w:val="center"/>
          </w:tcPr>
          <w:p w14:paraId="0BA29136" w14:textId="77777777" w:rsidR="00D759BE" w:rsidRPr="00D759BE" w:rsidRDefault="00D759BE" w:rsidP="00D759BE">
            <w:pPr>
              <w:widowControl/>
              <w:wordWrap/>
              <w:autoSpaceDE/>
              <w:autoSpaceDN/>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76A9711F"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Ga-1a</w:t>
            </w:r>
          </w:p>
        </w:tc>
        <w:tc>
          <w:tcPr>
            <w:tcW w:w="1878" w:type="dxa"/>
            <w:noWrap/>
            <w:vAlign w:val="center"/>
            <w:hideMark/>
          </w:tcPr>
          <w:p w14:paraId="5D65AE6B"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20E117F7"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69.88</w:t>
            </w:r>
            <w:r w:rsidRPr="001D5820">
              <w:rPr>
                <w:rFonts w:ascii="Times New Roman" w:hAnsi="Times New Roman" w:cs="Times New Roman" w:hint="eastAsia"/>
              </w:rPr>
              <w:t>±</w:t>
            </w:r>
            <w:r w:rsidRPr="001D5820">
              <w:rPr>
                <w:rFonts w:ascii="Times New Roman" w:hAnsi="Times New Roman" w:cs="Times New Roman" w:hint="eastAsia"/>
              </w:rPr>
              <w:t>29.78</w:t>
            </w:r>
          </w:p>
        </w:tc>
        <w:tc>
          <w:tcPr>
            <w:tcW w:w="550" w:type="dxa"/>
            <w:vMerge w:val="restart"/>
            <w:vAlign w:val="center"/>
          </w:tcPr>
          <w:p w14:paraId="76611114" w14:textId="77777777" w:rsidR="00D759BE" w:rsidRPr="001D5820" w:rsidRDefault="00D759BE" w:rsidP="00D759BE">
            <w:pPr>
              <w:widowControl/>
              <w:wordWrap/>
              <w:autoSpaceDE/>
              <w:autoSpaceDN/>
              <w:jc w:val="center"/>
              <w:rPr>
                <w:rFonts w:ascii="Times New Roman" w:hAnsi="Times New Roman" w:cs="Times New Roman"/>
              </w:rPr>
            </w:pPr>
            <w:r>
              <w:rPr>
                <w:rFonts w:ascii="Times New Roman" w:hAnsi="Times New Roman" w:cs="Times New Roman"/>
              </w:rPr>
              <w:fldChar w:fldCharType="begin" w:fldLock="1"/>
            </w:r>
            <w:r w:rsidR="008B7F9E">
              <w:rPr>
                <w:rFonts w:ascii="Times New Roman" w:hAnsi="Times New Roman" w:cs="Times New Roman"/>
              </w:rPr>
              <w:instrText>ADDIN CSL_CITATION {"citationItems":[{"id":"ITEM-1","itemData":{"DOI":"10.1158/1535-7163.MCT-21-0251/673587/P/IMPROVING-THERANOSTIC-GALLIUM-68-LUTETIUM-177","ISSN":"15388514","PMID":"34725194","abstract":"We developed a novel therapeutic radioligand, [177Lu]1h, with an albumin binding motif and evaluated it in a prostate-specific membrane antigen (PSMA)-expressing tumor xenograft mouse model. Fourteen PSMA target candidates were synthesized, and binding affinity was evaluated with an in vitro competitive binding assay. First, four compound candidates were selected depending on binding affinity results. Next, we selected four compounds ([68Ga]1e, [68Ga]1g, [68Ga]1h, and [68Ga]1k) were screened for tumor targeting efficiency by micro-positron emission tomography/computed tomography (micro-PET/CT) imaging. Finally, [177Lu]1h compound was evaluated the tumor targeting efficiency and therapeutic efficiency by micro-single-photon emission computed tomography/computed tomography (micro-SPECT/CT), biodistribution, and radiotherapy studies. Estimated human effective dose was calculated by biodistribution data. Compound 1h showed a high binding affinity (Ki value = 4.08 ± 0.08 nmol/L), and [177Lu]1h showed extended blood circulation (1 hour = 10.32 ± 0.31, 6 hours = 2.68 ± 1.07%ID/g) compared to [177Lu]PSMA-617 (1 h = 0.17 ± 0.10%ID/g). [177Lu]1h was excreted via the renal pathway and showed high tumor uptake (24.43 ± 3.36%ID/g) after 1 hour, which increased over 72 hours (72 hours = 51.39 ± 9.26%ID/g). Mice treated with 4 and 6 MBq of [177Lu]1h showed a median survival rate of &gt;61 days. In particular, all mice treated with 6 MBq of [177Lu]1h survived for the entire monitoring period. The estimated human effective dose of [177Lu]1h was 0.07 ± 0.01 and 0.03 ± 0.00 mSv/MBq in total body and kidney, respectively. The current study indicates that [177Lu]1h has the potential for further investigation of metastatic castration-resistant prostate cancer (mCRPC) therapy in clinical trials.","author":[{"dropping-particle":"","family":"Lee","given":"Byoung Se","non-dropping-particle":"","parse-names":false,"suffix":""},{"dropping-particle":"","family":"Kim","given":"Min Hwan","non-dropping-particle":"","parse-names":false,"suffix":""},{"dropping-particle":"","family":"Chu","given":"So Young","non-dropping-particle":"","parse-names":false,"suffix":""},{"dropping-particle":"","family":"Jung","given":"Woon Jung","non-dropping-particle":"","parse-names":false,"suffix":""},{"dropping-particle":"","family":"Jeong","given":"Hyeon Jin","non-dropping-particle":"","parse-names":false,"suffix":""},{"dropping-particle":"","family":"Lee","given":"Kyongkyu","non-dropping-particle":"","parse-names":false,"suffix":""},{"dropping-particle":"","family":"Kim","given":"Hyeon Seok","non-dropping-particle":"","parse-names":false,"suffix":""},{"dropping-particle":"","family":"Kim","given":"Mi Hyun","non-dropping-particle":"","parse-names":false,"suffix":""},{"dropping-particle":"","family":"Kil","given":"Hee Seup","non-dropping-particle":"","parse-names":false,"suffix":""},{"dropping-particle":"","family":"Han","given":"Sang Jin","non-dropping-particle":"","parse-names":false,"suffix":""},{"dropping-particle":"","family":"Lee","given":"Yong Jin","non-dropping-particle":"","parse-names":false,"suffix":""},{"dropping-particle":"","family":"Lee","given":"Kyo Chul","non-dropping-particle":"","parse-names":false,"suffix":""},{"dropping-particle":"","family":"Lim","given":"Sang Moo","non-dropping-particle":"","parse-names":false,"suffix":""},{"dropping-particle":"","family":"Chi","given":"Dae Yoon","non-dropping-particle":"","parse-names":false,"suffix":""}],"container-title":"Molecular Cancer Therapeutics","id":"ITEM-1","issue":"12","issued":{"date-parts":[["2021","12","1"]]},"page":"2410-2419","publisher":"American Association for Cancer Research Inc.","title":"Improving theranostic gallium-68/lutetium-177-labeled PSMA inhibitors with an albumin binder for prostate cancer","type":"article-journal","volume":"20"},"uris":["http://www.mendeley.com/documents/?uuid=4f116dfd-9aef-31fc-adea-3fa81dc789f2"]}],"mendeley":{"formattedCitation":"[2]","plainTextFormattedCitation":"[2]","previouslyFormattedCitation":"[1]"},"properties":{"noteIndex":0},"schema":"https://github.com/citation-style-language/schema/raw/master/csl-citation.json"}</w:instrText>
            </w:r>
            <w:r>
              <w:rPr>
                <w:rFonts w:ascii="Times New Roman" w:hAnsi="Times New Roman" w:cs="Times New Roman"/>
              </w:rPr>
              <w:fldChar w:fldCharType="separate"/>
            </w:r>
            <w:r w:rsidR="008B7F9E" w:rsidRPr="008B7F9E">
              <w:rPr>
                <w:rFonts w:ascii="Times New Roman" w:hAnsi="Times New Roman" w:cs="Times New Roman"/>
                <w:noProof/>
              </w:rPr>
              <w:t>[2]</w:t>
            </w:r>
            <w:r>
              <w:rPr>
                <w:rFonts w:ascii="Times New Roman" w:hAnsi="Times New Roman" w:cs="Times New Roman"/>
              </w:rPr>
              <w:fldChar w:fldCharType="end"/>
            </w:r>
          </w:p>
        </w:tc>
      </w:tr>
      <w:tr w:rsidR="00D759BE" w:rsidRPr="00455390" w14:paraId="7E8027CF" w14:textId="77777777" w:rsidTr="00D759BE">
        <w:trPr>
          <w:trHeight w:val="340"/>
        </w:trPr>
        <w:tc>
          <w:tcPr>
            <w:tcW w:w="838" w:type="dxa"/>
            <w:vAlign w:val="center"/>
          </w:tcPr>
          <w:p w14:paraId="1AE7C534" w14:textId="77777777" w:rsidR="00D759BE" w:rsidRPr="00D759BE" w:rsidRDefault="00BF52CC" w:rsidP="00D759BE">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48852B77"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Ga-1b</w:t>
            </w:r>
          </w:p>
        </w:tc>
        <w:tc>
          <w:tcPr>
            <w:tcW w:w="1878" w:type="dxa"/>
            <w:noWrap/>
            <w:vAlign w:val="center"/>
            <w:hideMark/>
          </w:tcPr>
          <w:p w14:paraId="37E14A53"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58ED20AD"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18.73</w:t>
            </w:r>
            <w:r w:rsidRPr="001D5820">
              <w:rPr>
                <w:rFonts w:ascii="Times New Roman" w:hAnsi="Times New Roman" w:cs="Times New Roman" w:hint="eastAsia"/>
              </w:rPr>
              <w:t>±</w:t>
            </w:r>
            <w:r w:rsidRPr="001D5820">
              <w:rPr>
                <w:rFonts w:ascii="Times New Roman" w:hAnsi="Times New Roman" w:cs="Times New Roman" w:hint="eastAsia"/>
              </w:rPr>
              <w:t>1.87</w:t>
            </w:r>
          </w:p>
        </w:tc>
        <w:tc>
          <w:tcPr>
            <w:tcW w:w="550" w:type="dxa"/>
            <w:vMerge/>
            <w:vAlign w:val="center"/>
          </w:tcPr>
          <w:p w14:paraId="1C0B747A" w14:textId="77777777" w:rsidR="00D759BE" w:rsidRPr="001D5820" w:rsidRDefault="00D759BE" w:rsidP="00D759BE">
            <w:pPr>
              <w:widowControl/>
              <w:wordWrap/>
              <w:autoSpaceDE/>
              <w:autoSpaceDN/>
              <w:jc w:val="center"/>
              <w:rPr>
                <w:rFonts w:ascii="Times New Roman" w:hAnsi="Times New Roman" w:cs="Times New Roman"/>
              </w:rPr>
            </w:pPr>
          </w:p>
        </w:tc>
      </w:tr>
      <w:tr w:rsidR="00D759BE" w:rsidRPr="00455390" w14:paraId="2D750B11" w14:textId="77777777" w:rsidTr="00D759BE">
        <w:trPr>
          <w:trHeight w:val="340"/>
        </w:trPr>
        <w:tc>
          <w:tcPr>
            <w:tcW w:w="838" w:type="dxa"/>
            <w:vAlign w:val="center"/>
          </w:tcPr>
          <w:p w14:paraId="158438F2" w14:textId="77777777" w:rsidR="00D759BE" w:rsidRPr="00D759BE" w:rsidRDefault="00BF52CC" w:rsidP="00D759BE">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0C89626D"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Ga-1c</w:t>
            </w:r>
          </w:p>
        </w:tc>
        <w:tc>
          <w:tcPr>
            <w:tcW w:w="1878" w:type="dxa"/>
            <w:noWrap/>
            <w:vAlign w:val="center"/>
            <w:hideMark/>
          </w:tcPr>
          <w:p w14:paraId="0D91A028"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26B9C69F"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3.76</w:t>
            </w:r>
            <w:r w:rsidRPr="001D5820">
              <w:rPr>
                <w:rFonts w:ascii="Times New Roman" w:hAnsi="Times New Roman" w:cs="Times New Roman" w:hint="eastAsia"/>
              </w:rPr>
              <w:t>±</w:t>
            </w:r>
            <w:r w:rsidRPr="001D5820">
              <w:rPr>
                <w:rFonts w:ascii="Times New Roman" w:hAnsi="Times New Roman" w:cs="Times New Roman" w:hint="eastAsia"/>
              </w:rPr>
              <w:t>0.37</w:t>
            </w:r>
          </w:p>
        </w:tc>
        <w:tc>
          <w:tcPr>
            <w:tcW w:w="550" w:type="dxa"/>
            <w:vMerge/>
            <w:vAlign w:val="center"/>
          </w:tcPr>
          <w:p w14:paraId="40057C0E" w14:textId="77777777" w:rsidR="00D759BE" w:rsidRPr="001D5820" w:rsidRDefault="00D759BE" w:rsidP="00D759BE">
            <w:pPr>
              <w:widowControl/>
              <w:wordWrap/>
              <w:autoSpaceDE/>
              <w:autoSpaceDN/>
              <w:jc w:val="center"/>
              <w:rPr>
                <w:rFonts w:ascii="Times New Roman" w:hAnsi="Times New Roman" w:cs="Times New Roman"/>
              </w:rPr>
            </w:pPr>
          </w:p>
        </w:tc>
      </w:tr>
      <w:tr w:rsidR="00BF52CC" w:rsidRPr="00455390" w14:paraId="6264BEC8" w14:textId="77777777" w:rsidTr="00D759BE">
        <w:trPr>
          <w:trHeight w:val="340"/>
        </w:trPr>
        <w:tc>
          <w:tcPr>
            <w:tcW w:w="838" w:type="dxa"/>
            <w:vAlign w:val="center"/>
          </w:tcPr>
          <w:p w14:paraId="7E3646D1" w14:textId="77777777" w:rsidR="00BF52CC" w:rsidRPr="00D759BE" w:rsidRDefault="00BF52CC" w:rsidP="00BF52CC">
            <w:pPr>
              <w:widowControl/>
              <w:wordWrap/>
              <w:autoSpaceDE/>
              <w:autoSpaceDN/>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0347B03F"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Ga-1d</w:t>
            </w:r>
          </w:p>
        </w:tc>
        <w:tc>
          <w:tcPr>
            <w:tcW w:w="1878" w:type="dxa"/>
            <w:noWrap/>
            <w:vAlign w:val="center"/>
            <w:hideMark/>
          </w:tcPr>
          <w:p w14:paraId="70411F26"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0D54F2D7"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18.62</w:t>
            </w:r>
            <w:r w:rsidRPr="001D5820">
              <w:rPr>
                <w:rFonts w:ascii="Times New Roman" w:hAnsi="Times New Roman" w:cs="Times New Roman" w:hint="eastAsia"/>
              </w:rPr>
              <w:t>±</w:t>
            </w:r>
            <w:r w:rsidRPr="001D5820">
              <w:rPr>
                <w:rFonts w:ascii="Times New Roman" w:hAnsi="Times New Roman" w:cs="Times New Roman" w:hint="eastAsia"/>
              </w:rPr>
              <w:t>4.60</w:t>
            </w:r>
          </w:p>
        </w:tc>
        <w:tc>
          <w:tcPr>
            <w:tcW w:w="550" w:type="dxa"/>
            <w:vMerge/>
            <w:vAlign w:val="center"/>
          </w:tcPr>
          <w:p w14:paraId="0EF4DA3B"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773A8EDC" w14:textId="77777777" w:rsidTr="00D759BE">
        <w:trPr>
          <w:trHeight w:val="340"/>
        </w:trPr>
        <w:tc>
          <w:tcPr>
            <w:tcW w:w="838" w:type="dxa"/>
            <w:vAlign w:val="center"/>
          </w:tcPr>
          <w:p w14:paraId="4DF7E515"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3A1C3C15"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Ga-1e</w:t>
            </w:r>
          </w:p>
        </w:tc>
        <w:tc>
          <w:tcPr>
            <w:tcW w:w="1878" w:type="dxa"/>
            <w:noWrap/>
            <w:vAlign w:val="center"/>
            <w:hideMark/>
          </w:tcPr>
          <w:p w14:paraId="6839C938"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0BE95026"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12.94</w:t>
            </w:r>
            <w:r w:rsidRPr="001D5820">
              <w:rPr>
                <w:rFonts w:ascii="Times New Roman" w:hAnsi="Times New Roman" w:cs="Times New Roman" w:hint="eastAsia"/>
              </w:rPr>
              <w:t>±</w:t>
            </w:r>
            <w:r w:rsidRPr="001D5820">
              <w:rPr>
                <w:rFonts w:ascii="Times New Roman" w:hAnsi="Times New Roman" w:cs="Times New Roman" w:hint="eastAsia"/>
              </w:rPr>
              <w:t>0.49</w:t>
            </w:r>
          </w:p>
        </w:tc>
        <w:tc>
          <w:tcPr>
            <w:tcW w:w="550" w:type="dxa"/>
            <w:vMerge/>
            <w:vAlign w:val="center"/>
          </w:tcPr>
          <w:p w14:paraId="10B47D60"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462CCF60" w14:textId="77777777" w:rsidTr="00D759BE">
        <w:trPr>
          <w:trHeight w:val="340"/>
        </w:trPr>
        <w:tc>
          <w:tcPr>
            <w:tcW w:w="838" w:type="dxa"/>
            <w:vAlign w:val="center"/>
          </w:tcPr>
          <w:p w14:paraId="1C877699"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13DD9BFC"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Ga-1f</w:t>
            </w:r>
          </w:p>
        </w:tc>
        <w:tc>
          <w:tcPr>
            <w:tcW w:w="1878" w:type="dxa"/>
            <w:noWrap/>
            <w:vAlign w:val="center"/>
            <w:hideMark/>
          </w:tcPr>
          <w:p w14:paraId="37B5C234"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52E80C72"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8.12</w:t>
            </w:r>
            <w:r w:rsidRPr="001D5820">
              <w:rPr>
                <w:rFonts w:ascii="Times New Roman" w:hAnsi="Times New Roman" w:cs="Times New Roman" w:hint="eastAsia"/>
              </w:rPr>
              <w:t>±</w:t>
            </w:r>
            <w:r w:rsidRPr="001D5820">
              <w:rPr>
                <w:rFonts w:ascii="Times New Roman" w:hAnsi="Times New Roman" w:cs="Times New Roman" w:hint="eastAsia"/>
              </w:rPr>
              <w:t>1.60</w:t>
            </w:r>
          </w:p>
        </w:tc>
        <w:tc>
          <w:tcPr>
            <w:tcW w:w="550" w:type="dxa"/>
            <w:vMerge/>
            <w:vAlign w:val="center"/>
          </w:tcPr>
          <w:p w14:paraId="2B325D2A"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076EB93C" w14:textId="77777777" w:rsidTr="00D759BE">
        <w:trPr>
          <w:trHeight w:val="340"/>
        </w:trPr>
        <w:tc>
          <w:tcPr>
            <w:tcW w:w="838" w:type="dxa"/>
            <w:vAlign w:val="center"/>
          </w:tcPr>
          <w:p w14:paraId="401C7BC7" w14:textId="77777777" w:rsidR="00BF52CC" w:rsidRPr="00D759BE" w:rsidRDefault="00BF52CC" w:rsidP="00BF52CC">
            <w:pPr>
              <w:widowControl/>
              <w:wordWrap/>
              <w:autoSpaceDE/>
              <w:autoSpaceDN/>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1FC55C55"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Ga-1g</w:t>
            </w:r>
          </w:p>
        </w:tc>
        <w:tc>
          <w:tcPr>
            <w:tcW w:w="1878" w:type="dxa"/>
            <w:noWrap/>
            <w:vAlign w:val="center"/>
            <w:hideMark/>
          </w:tcPr>
          <w:p w14:paraId="7173F6F4"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08D5D2D3"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5.82</w:t>
            </w:r>
            <w:r w:rsidRPr="001D5820">
              <w:rPr>
                <w:rFonts w:ascii="Times New Roman" w:hAnsi="Times New Roman" w:cs="Times New Roman" w:hint="eastAsia"/>
              </w:rPr>
              <w:t>±</w:t>
            </w:r>
            <w:r w:rsidRPr="001D5820">
              <w:rPr>
                <w:rFonts w:ascii="Times New Roman" w:hAnsi="Times New Roman" w:cs="Times New Roman" w:hint="eastAsia"/>
              </w:rPr>
              <w:t>0.11</w:t>
            </w:r>
          </w:p>
        </w:tc>
        <w:tc>
          <w:tcPr>
            <w:tcW w:w="550" w:type="dxa"/>
            <w:vMerge/>
            <w:vAlign w:val="center"/>
          </w:tcPr>
          <w:p w14:paraId="0E059696"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628C2ECD" w14:textId="77777777" w:rsidTr="00D759BE">
        <w:trPr>
          <w:trHeight w:val="340"/>
        </w:trPr>
        <w:tc>
          <w:tcPr>
            <w:tcW w:w="838" w:type="dxa"/>
            <w:vAlign w:val="center"/>
          </w:tcPr>
          <w:p w14:paraId="3DC4E3E0"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4566E13D"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Ga-1h</w:t>
            </w:r>
          </w:p>
        </w:tc>
        <w:tc>
          <w:tcPr>
            <w:tcW w:w="1878" w:type="dxa"/>
            <w:noWrap/>
            <w:vAlign w:val="center"/>
            <w:hideMark/>
          </w:tcPr>
          <w:p w14:paraId="16DBCB56"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0914647C"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3.00</w:t>
            </w:r>
            <w:r w:rsidRPr="001D5820">
              <w:rPr>
                <w:rFonts w:ascii="Times New Roman" w:hAnsi="Times New Roman" w:cs="Times New Roman" w:hint="eastAsia"/>
              </w:rPr>
              <w:t>±</w:t>
            </w:r>
            <w:r w:rsidRPr="001D5820">
              <w:rPr>
                <w:rFonts w:ascii="Times New Roman" w:hAnsi="Times New Roman" w:cs="Times New Roman" w:hint="eastAsia"/>
              </w:rPr>
              <w:t>0.10</w:t>
            </w:r>
          </w:p>
        </w:tc>
        <w:tc>
          <w:tcPr>
            <w:tcW w:w="550" w:type="dxa"/>
            <w:vMerge/>
            <w:vAlign w:val="center"/>
          </w:tcPr>
          <w:p w14:paraId="6E5F8C09"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31694934" w14:textId="77777777" w:rsidTr="00D759BE">
        <w:trPr>
          <w:trHeight w:val="340"/>
        </w:trPr>
        <w:tc>
          <w:tcPr>
            <w:tcW w:w="838" w:type="dxa"/>
            <w:vAlign w:val="center"/>
          </w:tcPr>
          <w:p w14:paraId="36EC604A"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2536CD5A"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Ga-1i</w:t>
            </w:r>
          </w:p>
        </w:tc>
        <w:tc>
          <w:tcPr>
            <w:tcW w:w="1878" w:type="dxa"/>
            <w:noWrap/>
            <w:vAlign w:val="center"/>
            <w:hideMark/>
          </w:tcPr>
          <w:p w14:paraId="4270C0B3"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7A9D660B"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14.36</w:t>
            </w:r>
            <w:r w:rsidRPr="001D5820">
              <w:rPr>
                <w:rFonts w:ascii="Times New Roman" w:hAnsi="Times New Roman" w:cs="Times New Roman" w:hint="eastAsia"/>
              </w:rPr>
              <w:t>±</w:t>
            </w:r>
            <w:r w:rsidRPr="001D5820">
              <w:rPr>
                <w:rFonts w:ascii="Times New Roman" w:hAnsi="Times New Roman" w:cs="Times New Roman" w:hint="eastAsia"/>
              </w:rPr>
              <w:t>0.68</w:t>
            </w:r>
          </w:p>
        </w:tc>
        <w:tc>
          <w:tcPr>
            <w:tcW w:w="550" w:type="dxa"/>
            <w:vMerge/>
            <w:vAlign w:val="center"/>
          </w:tcPr>
          <w:p w14:paraId="0360BE18"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6C249C97" w14:textId="77777777" w:rsidTr="00D759BE">
        <w:trPr>
          <w:trHeight w:val="340"/>
        </w:trPr>
        <w:tc>
          <w:tcPr>
            <w:tcW w:w="838" w:type="dxa"/>
            <w:vAlign w:val="center"/>
          </w:tcPr>
          <w:p w14:paraId="2F2A295B" w14:textId="77777777" w:rsidR="00BF52CC" w:rsidRPr="00D759BE" w:rsidRDefault="00BF52CC" w:rsidP="00BF52CC">
            <w:pPr>
              <w:widowControl/>
              <w:wordWrap/>
              <w:autoSpaceDE/>
              <w:autoSpaceDN/>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7F815D40"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Ga-1j</w:t>
            </w:r>
          </w:p>
        </w:tc>
        <w:tc>
          <w:tcPr>
            <w:tcW w:w="1878" w:type="dxa"/>
            <w:noWrap/>
            <w:vAlign w:val="center"/>
            <w:hideMark/>
          </w:tcPr>
          <w:p w14:paraId="20E34E3F"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4B3D933D"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12.57</w:t>
            </w:r>
            <w:r w:rsidRPr="001D5820">
              <w:rPr>
                <w:rFonts w:ascii="Times New Roman" w:hAnsi="Times New Roman" w:cs="Times New Roman" w:hint="eastAsia"/>
              </w:rPr>
              <w:t>±</w:t>
            </w:r>
            <w:r w:rsidRPr="001D5820">
              <w:rPr>
                <w:rFonts w:ascii="Times New Roman" w:hAnsi="Times New Roman" w:cs="Times New Roman" w:hint="eastAsia"/>
              </w:rPr>
              <w:t>0.75</w:t>
            </w:r>
          </w:p>
        </w:tc>
        <w:tc>
          <w:tcPr>
            <w:tcW w:w="550" w:type="dxa"/>
            <w:vMerge/>
            <w:vAlign w:val="center"/>
          </w:tcPr>
          <w:p w14:paraId="14466886"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9A4FA0" w14:paraId="04C235CC" w14:textId="77777777" w:rsidTr="00D759BE">
        <w:trPr>
          <w:trHeight w:val="340"/>
        </w:trPr>
        <w:tc>
          <w:tcPr>
            <w:tcW w:w="838" w:type="dxa"/>
            <w:vAlign w:val="center"/>
          </w:tcPr>
          <w:p w14:paraId="53984ABC"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1477EE22"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Ga-1k</w:t>
            </w:r>
          </w:p>
        </w:tc>
        <w:tc>
          <w:tcPr>
            <w:tcW w:w="1878" w:type="dxa"/>
            <w:noWrap/>
            <w:vAlign w:val="center"/>
            <w:hideMark/>
          </w:tcPr>
          <w:p w14:paraId="57F74E0A"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4579BE9B"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12.70</w:t>
            </w:r>
            <w:r w:rsidRPr="001D5820">
              <w:rPr>
                <w:rFonts w:ascii="Times New Roman" w:hAnsi="Times New Roman" w:cs="Times New Roman" w:hint="eastAsia"/>
              </w:rPr>
              <w:t>±</w:t>
            </w:r>
            <w:r w:rsidRPr="001D5820">
              <w:rPr>
                <w:rFonts w:ascii="Times New Roman" w:hAnsi="Times New Roman" w:cs="Times New Roman" w:hint="eastAsia"/>
              </w:rPr>
              <w:t>1.07</w:t>
            </w:r>
          </w:p>
        </w:tc>
        <w:tc>
          <w:tcPr>
            <w:tcW w:w="550" w:type="dxa"/>
            <w:vMerge/>
            <w:vAlign w:val="center"/>
          </w:tcPr>
          <w:p w14:paraId="6A922C81"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2CFE8AAF" w14:textId="77777777" w:rsidTr="00D759BE">
        <w:trPr>
          <w:trHeight w:val="340"/>
        </w:trPr>
        <w:tc>
          <w:tcPr>
            <w:tcW w:w="838" w:type="dxa"/>
            <w:vAlign w:val="center"/>
          </w:tcPr>
          <w:p w14:paraId="299679ED" w14:textId="77777777" w:rsidR="00BF52CC" w:rsidRPr="00D759BE" w:rsidRDefault="00BF52CC" w:rsidP="00BF52CC">
            <w:pPr>
              <w:widowControl/>
              <w:wordWrap/>
              <w:autoSpaceDE/>
              <w:autoSpaceDN/>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0CD03006"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Ga-1n</w:t>
            </w:r>
          </w:p>
        </w:tc>
        <w:tc>
          <w:tcPr>
            <w:tcW w:w="1878" w:type="dxa"/>
            <w:noWrap/>
            <w:vAlign w:val="center"/>
            <w:hideMark/>
          </w:tcPr>
          <w:p w14:paraId="29CF0F20"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07841A44"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32.09</w:t>
            </w:r>
            <w:r w:rsidRPr="001D5820">
              <w:rPr>
                <w:rFonts w:ascii="Times New Roman" w:hAnsi="Times New Roman" w:cs="Times New Roman" w:hint="eastAsia"/>
              </w:rPr>
              <w:t>±</w:t>
            </w:r>
            <w:r w:rsidRPr="001D5820">
              <w:rPr>
                <w:rFonts w:ascii="Times New Roman" w:hAnsi="Times New Roman" w:cs="Times New Roman" w:hint="eastAsia"/>
              </w:rPr>
              <w:t>0.71</w:t>
            </w:r>
          </w:p>
        </w:tc>
        <w:tc>
          <w:tcPr>
            <w:tcW w:w="550" w:type="dxa"/>
            <w:vMerge/>
            <w:vAlign w:val="center"/>
          </w:tcPr>
          <w:p w14:paraId="71F05BCC"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0683C737" w14:textId="77777777" w:rsidTr="00D759BE">
        <w:trPr>
          <w:trHeight w:val="340"/>
        </w:trPr>
        <w:tc>
          <w:tcPr>
            <w:tcW w:w="838" w:type="dxa"/>
            <w:vAlign w:val="center"/>
          </w:tcPr>
          <w:p w14:paraId="3C1B32DE"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7A7B3993"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Ga-1o</w:t>
            </w:r>
          </w:p>
        </w:tc>
        <w:tc>
          <w:tcPr>
            <w:tcW w:w="1878" w:type="dxa"/>
            <w:noWrap/>
            <w:vAlign w:val="center"/>
            <w:hideMark/>
          </w:tcPr>
          <w:p w14:paraId="645CAED1"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52AB6FDA"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282.09</w:t>
            </w:r>
            <w:r w:rsidRPr="001D5820">
              <w:rPr>
                <w:rFonts w:ascii="Times New Roman" w:hAnsi="Times New Roman" w:cs="Times New Roman" w:hint="eastAsia"/>
              </w:rPr>
              <w:t>±</w:t>
            </w:r>
            <w:r w:rsidRPr="001D5820">
              <w:rPr>
                <w:rFonts w:ascii="Times New Roman" w:hAnsi="Times New Roman" w:cs="Times New Roman" w:hint="eastAsia"/>
              </w:rPr>
              <w:t>20.37</w:t>
            </w:r>
          </w:p>
        </w:tc>
        <w:tc>
          <w:tcPr>
            <w:tcW w:w="550" w:type="dxa"/>
            <w:vMerge/>
            <w:vAlign w:val="center"/>
          </w:tcPr>
          <w:p w14:paraId="15EED591"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003A3678" w14:textId="77777777" w:rsidTr="00D759BE">
        <w:trPr>
          <w:trHeight w:val="340"/>
        </w:trPr>
        <w:tc>
          <w:tcPr>
            <w:tcW w:w="838" w:type="dxa"/>
            <w:vAlign w:val="center"/>
          </w:tcPr>
          <w:p w14:paraId="087E2A8D"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6B332515"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Ga-1p</w:t>
            </w:r>
          </w:p>
        </w:tc>
        <w:tc>
          <w:tcPr>
            <w:tcW w:w="1878" w:type="dxa"/>
            <w:noWrap/>
            <w:vAlign w:val="center"/>
            <w:hideMark/>
          </w:tcPr>
          <w:p w14:paraId="242289DF"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5C0FF193"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129.54</w:t>
            </w:r>
            <w:r w:rsidRPr="001D5820">
              <w:rPr>
                <w:rFonts w:ascii="Times New Roman" w:hAnsi="Times New Roman" w:cs="Times New Roman" w:hint="eastAsia"/>
              </w:rPr>
              <w:t>±</w:t>
            </w:r>
            <w:r w:rsidRPr="001D5820">
              <w:rPr>
                <w:rFonts w:ascii="Times New Roman" w:hAnsi="Times New Roman" w:cs="Times New Roman" w:hint="eastAsia"/>
              </w:rPr>
              <w:t>26.65</w:t>
            </w:r>
          </w:p>
        </w:tc>
        <w:tc>
          <w:tcPr>
            <w:tcW w:w="550" w:type="dxa"/>
            <w:vMerge/>
            <w:vAlign w:val="center"/>
          </w:tcPr>
          <w:p w14:paraId="6AB36BC4" w14:textId="77777777" w:rsidR="00BF52CC" w:rsidRPr="001D5820" w:rsidRDefault="00BF52CC" w:rsidP="00BF52CC">
            <w:pPr>
              <w:widowControl/>
              <w:wordWrap/>
              <w:autoSpaceDE/>
              <w:autoSpaceDN/>
              <w:jc w:val="center"/>
              <w:rPr>
                <w:rFonts w:ascii="Times New Roman" w:hAnsi="Times New Roman" w:cs="Times New Roman"/>
              </w:rPr>
            </w:pPr>
          </w:p>
        </w:tc>
      </w:tr>
      <w:tr w:rsidR="00D759BE" w:rsidRPr="00455390" w14:paraId="2F710ABE" w14:textId="77777777" w:rsidTr="00D759BE">
        <w:trPr>
          <w:trHeight w:val="340"/>
        </w:trPr>
        <w:tc>
          <w:tcPr>
            <w:tcW w:w="838" w:type="dxa"/>
            <w:vAlign w:val="center"/>
          </w:tcPr>
          <w:p w14:paraId="54483B29" w14:textId="77777777" w:rsidR="00D759BE" w:rsidRPr="00D759BE" w:rsidRDefault="00D759BE" w:rsidP="00D759BE">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111</w:t>
            </w:r>
            <w:r w:rsidRPr="00D759BE">
              <w:rPr>
                <w:rFonts w:ascii="Times New Roman" w:eastAsia="Malgun Gothic" w:hAnsi="Times New Roman" w:cs="Times New Roman"/>
                <w:bCs/>
                <w:color w:val="000000"/>
              </w:rPr>
              <w:t>In</w:t>
            </w:r>
          </w:p>
        </w:tc>
        <w:tc>
          <w:tcPr>
            <w:tcW w:w="2713" w:type="dxa"/>
            <w:noWrap/>
            <w:vAlign w:val="center"/>
            <w:hideMark/>
          </w:tcPr>
          <w:p w14:paraId="72127C1E"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111In-IRDye800CWLys-DOTA-Gly-ureaLys</w:t>
            </w:r>
          </w:p>
        </w:tc>
        <w:tc>
          <w:tcPr>
            <w:tcW w:w="1878" w:type="dxa"/>
            <w:noWrap/>
            <w:vAlign w:val="center"/>
            <w:hideMark/>
          </w:tcPr>
          <w:p w14:paraId="4A308C86"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438BD3CF"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1.2</w:t>
            </w:r>
            <w:r w:rsidRPr="001D5820">
              <w:rPr>
                <w:rFonts w:ascii="Times New Roman" w:hAnsi="Times New Roman" w:cs="Times New Roman" w:hint="eastAsia"/>
              </w:rPr>
              <w:t>±</w:t>
            </w:r>
            <w:r w:rsidRPr="001D5820">
              <w:rPr>
                <w:rFonts w:ascii="Times New Roman" w:hAnsi="Times New Roman" w:cs="Times New Roman" w:hint="eastAsia"/>
              </w:rPr>
              <w:t>0.1</w:t>
            </w:r>
          </w:p>
        </w:tc>
        <w:tc>
          <w:tcPr>
            <w:tcW w:w="550" w:type="dxa"/>
            <w:vAlign w:val="center"/>
          </w:tcPr>
          <w:p w14:paraId="664991F3" w14:textId="77777777" w:rsidR="00D759BE" w:rsidRPr="001D5820" w:rsidRDefault="00D759BE" w:rsidP="00D759BE">
            <w:pPr>
              <w:widowControl/>
              <w:wordWrap/>
              <w:autoSpaceDE/>
              <w:autoSpaceDN/>
              <w:jc w:val="center"/>
              <w:rPr>
                <w:rFonts w:ascii="Times New Roman" w:hAnsi="Times New Roman" w:cs="Times New Roman"/>
              </w:rPr>
            </w:pPr>
            <w:r>
              <w:rPr>
                <w:rFonts w:ascii="Times New Roman" w:hAnsi="Times New Roman" w:cs="Times New Roman"/>
              </w:rPr>
              <w:fldChar w:fldCharType="begin" w:fldLock="1"/>
            </w:r>
            <w:r w:rsidR="008B7F9E">
              <w:rPr>
                <w:rFonts w:ascii="Times New Roman" w:hAnsi="Times New Roman" w:cs="Times New Roman"/>
              </w:rPr>
              <w:instrText>ADDIN CSL_CITATION {"citationItems":[{"id":"ITEM-1","itemData":{"DOI":"10.1002/ANGE.201102872","ISSN":"1521-3757","author":[{"dropping-particle":"","family":"Banerjee","given":"Sangeeta Ray","non-dropping-particle":"","parse-names":false,"suffix":""},{"dropping-particle":"","family":"Pullambhatla","given":"Mrudula","non-dropping-particle":"","parse-names":false,"suffix":""},{"dropping-particle":"","family":"Byun","given":"Youngjoo","non-dropping-particle":"","parse-names":false,"suffix":""},{"dropping-particle":"","family":"Nimmagadda","given":"Sridhar","non-dropping-particle":"","parse-names":false,"suffix":""},{"dropping-particle":"","family":"Foss","given":"Catherine A.","non-dropping-particle":"","parse-names":false,"suffix":""},{"dropping-particle":"","family":"Green","given":"Gilbert","non-dropping-particle":"","parse-names":false,"suffix":""},{"dropping-particle":"","family":"Fox","given":"James J.","non-dropping-particle":"","parse-names":false,"suffix":""},{"dropping-particle":"","family":"Lupold","given":"Shawn E.","non-dropping-particle":"","parse-names":false,"suffix":""},{"dropping-particle":"","family":"Mease","given":"Ronnie C.","non-dropping-particle":"","parse-names":false,"suffix":""},{"dropping-particle":"","family":"Pomper","given":"Martin G.","non-dropping-particle":"","parse-names":false,"suffix":""}],"container-title":"Angewandte Chemie","id":"ITEM-1","issue":"39","issued":{"date-parts":[["2011","9","19"]]},"page":"9333-9336","publisher":"John Wiley &amp; Sons, Ltd","title":"Sequential SPECT and Optical Imaging of Experimental Models of Prostate Cancer with a Dual Modality Inhibitor of the Prostate-Specific Membrane Antigen","type":"article-journal","volume":"123"},"uris":["http://www.mendeley.com/documents/?uuid=e3f7a413-1b48-3e3b-8e19-3299e409f3c8"]}],"mendeley":{"formattedCitation":"[3]","plainTextFormattedCitation":"[3]","previouslyFormattedCitation":"[2]"},"properties":{"noteIndex":0},"schema":"https://github.com/citation-style-language/schema/raw/master/csl-citation.json"}</w:instrText>
            </w:r>
            <w:r>
              <w:rPr>
                <w:rFonts w:ascii="Times New Roman" w:hAnsi="Times New Roman" w:cs="Times New Roman"/>
              </w:rPr>
              <w:fldChar w:fldCharType="separate"/>
            </w:r>
            <w:r w:rsidR="008B7F9E" w:rsidRPr="008B7F9E">
              <w:rPr>
                <w:rFonts w:ascii="Times New Roman" w:hAnsi="Times New Roman" w:cs="Times New Roman"/>
                <w:noProof/>
              </w:rPr>
              <w:t>[3]</w:t>
            </w:r>
            <w:r>
              <w:rPr>
                <w:rFonts w:ascii="Times New Roman" w:hAnsi="Times New Roman" w:cs="Times New Roman"/>
              </w:rPr>
              <w:fldChar w:fldCharType="end"/>
            </w:r>
          </w:p>
        </w:tc>
      </w:tr>
      <w:tr w:rsidR="00D759BE" w:rsidRPr="00455390" w14:paraId="2C11A900" w14:textId="77777777" w:rsidTr="00D759BE">
        <w:trPr>
          <w:trHeight w:val="340"/>
        </w:trPr>
        <w:tc>
          <w:tcPr>
            <w:tcW w:w="838" w:type="dxa"/>
            <w:vAlign w:val="center"/>
          </w:tcPr>
          <w:p w14:paraId="1EB5F158" w14:textId="77777777" w:rsidR="00D759BE" w:rsidRPr="00D759BE" w:rsidRDefault="00D759BE" w:rsidP="00D759BE">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111</w:t>
            </w:r>
            <w:r w:rsidRPr="00D759BE">
              <w:rPr>
                <w:rFonts w:ascii="Times New Roman" w:eastAsia="Malgun Gothic" w:hAnsi="Times New Roman" w:cs="Times New Roman"/>
                <w:bCs/>
                <w:color w:val="000000"/>
              </w:rPr>
              <w:t>In</w:t>
            </w:r>
          </w:p>
        </w:tc>
        <w:tc>
          <w:tcPr>
            <w:tcW w:w="2713" w:type="dxa"/>
            <w:noWrap/>
            <w:vAlign w:val="center"/>
            <w:hideMark/>
          </w:tcPr>
          <w:p w14:paraId="44F87A09"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111In-IRDye800CWLys-DOTA-Gly-ureaLys</w:t>
            </w:r>
          </w:p>
        </w:tc>
        <w:tc>
          <w:tcPr>
            <w:tcW w:w="1878" w:type="dxa"/>
            <w:noWrap/>
            <w:vAlign w:val="center"/>
            <w:hideMark/>
          </w:tcPr>
          <w:p w14:paraId="0B6E8689"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2A2BF263"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4.12</w:t>
            </w:r>
          </w:p>
        </w:tc>
        <w:tc>
          <w:tcPr>
            <w:tcW w:w="550" w:type="dxa"/>
            <w:vAlign w:val="center"/>
          </w:tcPr>
          <w:p w14:paraId="72FE97C7" w14:textId="77777777" w:rsidR="00D759BE" w:rsidRPr="001D5820" w:rsidRDefault="00D759BE" w:rsidP="00D759BE">
            <w:pPr>
              <w:widowControl/>
              <w:wordWrap/>
              <w:autoSpaceDE/>
              <w:autoSpaceDN/>
              <w:jc w:val="center"/>
              <w:rPr>
                <w:rFonts w:ascii="Times New Roman" w:hAnsi="Times New Roman" w:cs="Times New Roman"/>
              </w:rPr>
            </w:pPr>
            <w:r>
              <w:rPr>
                <w:rFonts w:ascii="Times New Roman" w:hAnsi="Times New Roman" w:cs="Times New Roman"/>
              </w:rPr>
              <w:fldChar w:fldCharType="begin" w:fldLock="1"/>
            </w:r>
            <w:r w:rsidR="008B7F9E">
              <w:rPr>
                <w:rFonts w:ascii="Times New Roman" w:hAnsi="Times New Roman" w:cs="Times New Roman"/>
              </w:rPr>
              <w:instrText>ADDIN CSL_CITATION {"citationItems":[{"id":"ITEM-1","itemData":{"DOI":"10.1007/S00259-022-05743-7/METRICS","ISSN":"16197089","PMID":"35235005","abstract":"Purpose: Radioligand therapy (RLT) targeting prostate-specific membrane antigen (PSMA) is emerging as an effective treatment option for metastatic castration-resistant prostate cancer (mCRPC). An imaging-based method to quantify early treatment responses can help to understand and optimize RLT. Methods: We developed a self-triggered probe 2 targeting the colocalization of PSMA and caspase-3 for fluorescence imaging of RLT-induced apoptosis. Results: The probe binds to PSMA potently with a Ki of 4.12 nM, and its fluorescence can be effectively switched on by caspase-3 with a Km of 67.62 μM. Cellular and in vivo studies demonstrated its specificity for imaging radiation-induced caspase-3 upregulation in prostate cancer. To identify the detection limit of our method, we showed that probe 2 could achieve 1.79 times fluorescence enhancement in response to 177Lu-RLT in a medium PSMA-expressing 22Rv1 xenograft model. Conclusion: Probe 2 can potently bind to PSMA, and the fluorescence signal can be sensitively switched on by caspase-3 both in vitro and in vivo. This method may provide an effective tool to investigate and optimize PSMA-RLT.","author":[{"dropping-particle":"","family":"Xu","given":"Hongchuang","non-dropping-particle":"","parse-names":false,"suffix":""},{"dropping-particle":"","family":"Wang","given":"Yanpu","non-dropping-particle":"","parse-names":false,"suffix":""},{"dropping-particle":"","family":"Zhang","given":"Jingming","non-dropping-particle":"","parse-names":false,"suffix":""},{"dropping-particle":"","family":"Duan","given":"Xiaojiang","non-dropping-particle":"","parse-names":false,"suffix":""},{"dropping-particle":"","family":"Zhang","given":"Ting","non-dropping-particle":"","parse-names":false,"suffix":""},{"dropping-particle":"","family":"Cai","given":"Xuekang","non-dropping-particle":"","parse-names":false,"suffix":""},{"dropping-particle":"","family":"Ha","given":"Hyunsoo","non-dropping-particle":"","parse-names":false,"suffix":""},{"dropping-particle":"","family":"Byun","given":"Youngjoo","non-dropping-particle":"","parse-names":false,"suffix":""},{"dropping-particle":"","family":"Fan","given":"Yan","non-dropping-particle":"","parse-names":false,"suffix":""},{"dropping-particle":"","family":"Yang","given":"Zhi","non-dropping-particle":"","parse-names":false,"suffix":""},{"dropping-particle":"","family":"Wang","given":"Yiguang","non-dropping-particle":"","parse-names":false,"suffix":""},{"dropping-particle":"","family":"Liu","given":"Zhaofei","non-dropping-particle":"","parse-names":false,"suffix":""},{"dropping-particle":"","family":"Yang","given":"Xing","non-dropping-particle":"","parse-names":false,"suffix":""}],"container-title":"European Journal of Nuclear Medicine and Molecular Imaging","id":"ITEM-1","issue":"8","issued":{"date-parts":[["2022","7","1"]]},"page":"2693-2704","publisher":"Springer Science and Business Media Deutschland GmbH","title":"A self-triggered radioligand therapy agent for fluorescence imaging of the treatment response in prostate cancer","type":"article-journal","volume":"49"},"uris":["http://www.mendeley.com/documents/?uuid=3e2edb31-a7b4-3ab6-b64a-c83cfbd236f4"]}],"mendeley":{"formattedCitation":"[4]","plainTextFormattedCitation":"[4]","previouslyFormattedCitation":"[3]"},"properties":{"noteIndex":0},"schema":"https://github.com/citation-style-language/schema/raw/master/csl-citation.json"}</w:instrText>
            </w:r>
            <w:r>
              <w:rPr>
                <w:rFonts w:ascii="Times New Roman" w:hAnsi="Times New Roman" w:cs="Times New Roman"/>
              </w:rPr>
              <w:fldChar w:fldCharType="separate"/>
            </w:r>
            <w:r w:rsidR="008B7F9E" w:rsidRPr="008B7F9E">
              <w:rPr>
                <w:rFonts w:ascii="Times New Roman" w:hAnsi="Times New Roman" w:cs="Times New Roman"/>
                <w:noProof/>
              </w:rPr>
              <w:t>[4]</w:t>
            </w:r>
            <w:r>
              <w:rPr>
                <w:rFonts w:ascii="Times New Roman" w:hAnsi="Times New Roman" w:cs="Times New Roman"/>
              </w:rPr>
              <w:fldChar w:fldCharType="end"/>
            </w:r>
          </w:p>
        </w:tc>
      </w:tr>
      <w:tr w:rsidR="00D759BE" w:rsidRPr="00455390" w14:paraId="1D08634A" w14:textId="77777777" w:rsidTr="00D759BE">
        <w:trPr>
          <w:trHeight w:val="340"/>
        </w:trPr>
        <w:tc>
          <w:tcPr>
            <w:tcW w:w="838" w:type="dxa"/>
            <w:vAlign w:val="center"/>
          </w:tcPr>
          <w:p w14:paraId="3C8D3AA5" w14:textId="77777777" w:rsidR="00D759BE" w:rsidRPr="00D759BE" w:rsidRDefault="00D759BE" w:rsidP="00D759BE">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177</w:t>
            </w:r>
            <w:r w:rsidRPr="00D759BE">
              <w:rPr>
                <w:rFonts w:ascii="Times New Roman" w:eastAsia="Malgun Gothic" w:hAnsi="Times New Roman" w:cs="Times New Roman"/>
                <w:bCs/>
                <w:color w:val="000000"/>
              </w:rPr>
              <w:t>Lu</w:t>
            </w:r>
          </w:p>
        </w:tc>
        <w:tc>
          <w:tcPr>
            <w:tcW w:w="2713" w:type="dxa"/>
            <w:noWrap/>
            <w:vAlign w:val="center"/>
            <w:hideMark/>
          </w:tcPr>
          <w:p w14:paraId="110F9706"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Lu-DOTATATE</w:t>
            </w:r>
          </w:p>
        </w:tc>
        <w:tc>
          <w:tcPr>
            <w:tcW w:w="1878" w:type="dxa"/>
            <w:noWrap/>
            <w:vAlign w:val="center"/>
            <w:hideMark/>
          </w:tcPr>
          <w:p w14:paraId="1E2174CF"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SSTR2</w:t>
            </w:r>
          </w:p>
        </w:tc>
        <w:tc>
          <w:tcPr>
            <w:tcW w:w="3037" w:type="dxa"/>
            <w:noWrap/>
            <w:vAlign w:val="center"/>
            <w:hideMark/>
          </w:tcPr>
          <w:p w14:paraId="048AE273"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3.84</w:t>
            </w:r>
            <w:r w:rsidRPr="001D5820">
              <w:rPr>
                <w:rFonts w:ascii="Cambria Math" w:hAnsi="Cambria Math" w:cs="Cambria Math"/>
              </w:rPr>
              <w:t> </w:t>
            </w:r>
            <w:r w:rsidRPr="001D5820">
              <w:rPr>
                <w:rFonts w:ascii="Malgun Gothic" w:eastAsia="Malgun Gothic" w:hAnsi="Malgun Gothic" w:cs="Malgun Gothic" w:hint="eastAsia"/>
              </w:rPr>
              <w:t>±</w:t>
            </w:r>
            <w:r w:rsidRPr="001D5820">
              <w:rPr>
                <w:rFonts w:ascii="Cambria Math" w:hAnsi="Cambria Math" w:cs="Cambria Math"/>
              </w:rPr>
              <w:t> </w:t>
            </w:r>
            <w:r w:rsidRPr="001D5820">
              <w:rPr>
                <w:rFonts w:ascii="Times New Roman" w:hAnsi="Times New Roman" w:cs="Times New Roman" w:hint="eastAsia"/>
              </w:rPr>
              <w:t>0.30</w:t>
            </w:r>
            <w:r w:rsidRPr="001D5820">
              <w:rPr>
                <w:rFonts w:ascii="Cambria Math" w:hAnsi="Cambria Math" w:cs="Cambria Math"/>
              </w:rPr>
              <w:t> </w:t>
            </w:r>
          </w:p>
        </w:tc>
        <w:tc>
          <w:tcPr>
            <w:tcW w:w="550" w:type="dxa"/>
            <w:vMerge w:val="restart"/>
            <w:vAlign w:val="center"/>
          </w:tcPr>
          <w:p w14:paraId="5F1E008F" w14:textId="77777777" w:rsidR="00D759BE" w:rsidRPr="001D5820" w:rsidRDefault="00D759BE" w:rsidP="00D759BE">
            <w:pPr>
              <w:widowControl/>
              <w:wordWrap/>
              <w:autoSpaceDE/>
              <w:autoSpaceDN/>
              <w:jc w:val="center"/>
              <w:rPr>
                <w:rFonts w:ascii="Times New Roman" w:hAnsi="Times New Roman" w:cs="Times New Roman"/>
              </w:rPr>
            </w:pPr>
            <w:r>
              <w:rPr>
                <w:rFonts w:ascii="Times New Roman" w:hAnsi="Times New Roman" w:cs="Times New Roman"/>
              </w:rPr>
              <w:fldChar w:fldCharType="begin" w:fldLock="1"/>
            </w:r>
            <w:r w:rsidR="008B7F9E">
              <w:rPr>
                <w:rFonts w:ascii="Times New Roman" w:hAnsi="Times New Roman" w:cs="Times New Roman"/>
              </w:rPr>
              <w:instrText>ADDIN CSL_CITATION {"citationItems":[{"id":"ITEM-1","itemData":{"DOI":"10.1016/J.NUCMEDBIO.2018.08.001","ISSN":"0969-8051","PMID":"30170196","abstract":"Introduction: [177Lu]Lu-DOTATATE peptide receptor radionuclide therapy is used for treatment of neuroendocrine tumours. We investigated whether prolonging blood residence time of [177Lu]Lu-DOTATATE with albumin binders could increase tumour accumulation and tumour-to-kidney ratios for improved therapeutic efficacy. Methods: DOTATATE and its derivatives with an albumin-binder motif (GluAB-DOTATATE and AspAB-DOTATATE) were prepared by solid-phase peptide synthesis. Binding affinities of the Lu-labeled peptides for human somatostatin receptor 2 (SSTR2) were measured with membrane competition binding assays. Compounds were radiolabeled with [177Lu]LuCl3 and purified by HPLC. SPECT imaging and biodistribution studies (1, 4, 24, 72, and 120 h) were performed in immunodeficient mice bearing AR42J pancreatic tumour xenografts. Results: GluAB-DOTATATE and AspAB-DOTATATE were synthesized in 18.8% and 14.3% yields, while Lu-GluAB-DOTATATE and Lu-AspAB-DOTATATE were obtained in 86.5% and 50.0% yields, respectively. The compounds exhibited nanomolar binding affinity (Ki: 8.72–8.95 nM) for SSTR2. The 177Lu-labeled pept</w:instrText>
            </w:r>
            <w:r w:rsidR="008B7F9E">
              <w:rPr>
                <w:rFonts w:ascii="Times New Roman" w:hAnsi="Times New Roman" w:cs="Times New Roman" w:hint="eastAsia"/>
              </w:rPr>
              <w:instrText xml:space="preserve">ides were obtained in non-decay-corrected isolated yields of </w:instrText>
            </w:r>
            <w:r w:rsidR="008B7F9E">
              <w:rPr>
                <w:rFonts w:ascii="Times New Roman" w:hAnsi="Times New Roman" w:cs="Times New Roman" w:hint="eastAsia"/>
              </w:rPr>
              <w:instrText>≥</w:instrText>
            </w:r>
            <w:r w:rsidR="008B7F9E">
              <w:rPr>
                <w:rFonts w:ascii="Times New Roman" w:hAnsi="Times New Roman" w:cs="Times New Roman" w:hint="eastAsia"/>
              </w:rPr>
              <w:instrText>41%, with &gt;96% radiochemical purity, and molar activities in the range of 314</w:instrText>
            </w:r>
            <w:r w:rsidR="008B7F9E">
              <w:rPr>
                <w:rFonts w:ascii="Times New Roman" w:hAnsi="Times New Roman" w:cs="Times New Roman" w:hint="eastAsia"/>
              </w:rPr>
              <w:instrText>–</w:instrText>
            </w:r>
            <w:r w:rsidR="008B7F9E">
              <w:rPr>
                <w:rFonts w:ascii="Times New Roman" w:hAnsi="Times New Roman" w:cs="Times New Roman" w:hint="eastAsia"/>
              </w:rPr>
              <w:instrText>497 GBq/</w:instrText>
            </w:r>
            <w:r w:rsidR="008B7F9E">
              <w:rPr>
                <w:rFonts w:ascii="Times New Roman" w:hAnsi="Times New Roman" w:cs="Times New Roman" w:hint="eastAsia"/>
              </w:rPr>
              <w:instrText>μ</w:instrText>
            </w:r>
            <w:r w:rsidR="008B7F9E">
              <w:rPr>
                <w:rFonts w:ascii="Times New Roman" w:hAnsi="Times New Roman" w:cs="Times New Roman" w:hint="eastAsia"/>
              </w:rPr>
              <w:instrText>mol. In vivo, [177Lu]Lu-GluAB-DOTATATE and [177Lu]Lu-AspAB-DOTATATE had significantly higher blood activit</w:instrText>
            </w:r>
            <w:r w:rsidR="008B7F9E">
              <w:rPr>
                <w:rFonts w:ascii="Times New Roman" w:hAnsi="Times New Roman" w:cs="Times New Roman"/>
              </w:rPr>
              <w:instrText>y at 1, 4 and 24 h compared to [177Lu]Lu-DOTATATE. Tumour uptake of [177Lu]Lu-DOTATATE was 21.35 ± 5.90%ID/g at 1 h and decreased to 10.10 ± 5.78%ID/g at 120 h. For [177Lu]Lu-GluAB-DOTATATE tumour uptake increased from 21.89 ± 6.86%ID/g at 1 h to 24.44 ± 5.84%ID/g at 4 h, before decreasing to 12.02 ± 1.84%ID/g at 120 h. For [177Lu]Lu-AspAB-DOTATATE tumour uptake was 11.12 ± 3.18%ID/g at 1 h, 18.41 ± 4.36%ID/g at 24 h, and decreased to 16.90 ± 8.97%ID/g at 120 h. Renal uptake was 7.49 ± 1.62%ID/g for [177Lu]Lu-DOTATATE, 31.14 ± 7.06%ID/g for [177Lu]Lu-GluAB-DOTATATE, and 28.82 ± 13.82%ID/g for [177Lu]Lu-AspAB-DOTATATE at 1 h and decreased thereafter. Conclusion: The addition of albumin binder motifs to [177Lu]Lu-DOTATATE enhanced mean residence time in blood. Increased tumour uptake was observed for [177Lu]Lu-AspAB-DOTATATE compared to [177Lu]Lu-DOTATATE at later time points, but its higher kidney uptake diminished the therapeutic index.","author":[{"dropping-particle":"","family":"Rousseau","given":"Etienne","non-dropping-particle":"","parse-names":false,"suffix":""},{"dropping-particle":"","family":"Lau","given":"Joseph","non-dropping-particle":"","parse-names":false,"suffix":""},{"dropping-particle":"","family":"Zhang","given":"Zhengxing","non-dropping-particle":"","parse-names":false,"suffix":""},{"dropping-particle":"","family":"Uribe","given":"Carlos F.","non-dropping-particle":"","parse-names":false,"suffix":""},{"dropping-particle":"","family":"Kuo","given":"Hsiou Ting","non-dropping-particle":"","parse-names":false,"suffix":""},{"dropping-particle":"","family":"Zhang","given":"Chengcheng","non-dropping-particle":"","parse-names":false,"suffix":""},{"dropping-particle":"","family":"Zeisler","given":"Jutta","non-dropping-particle":"","parse-names":false,"suffix":""},{"dropping-particle":"","family":"Colpo","given":"Nadine","non-dropping-particle":"","parse-names":false,"suffix":""},{"dropping-particle":"","family":"Lin","given":"Kuo Shyan","non-dropping-particle":"","parse-names":false,"suffix":""},{"dropping-particle":"","family":"Bénard","given":"François","non-dropping-particle":"","parse-names":false,"suffix":""}],"container-title":"Nuclear Medicine and Biology","id":"ITEM-1","issued":{"date-parts":[["2018","11","1"]]},"page":"10-17","publisher":"Elsevier","title":"Effects of adding an albumin binder chain on [177Lu]Lu-DOTATATE","type":"article-journal","volume":"66"},"uris":["http://www.mendeley.com/documents/?uuid=5d901270-3ce3-3280-9792-dbe370d98a7c"]}],"mendeley":{"formattedCitation":"[5]","plainTextFormattedCitation":"[5]","previouslyFormattedCitation":"[4]"},"properties":{"noteIndex":0},"schema":"https://github.com/citation-style-language/schema/raw/master/csl-citation.json"}</w:instrText>
            </w:r>
            <w:r>
              <w:rPr>
                <w:rFonts w:ascii="Times New Roman" w:hAnsi="Times New Roman" w:cs="Times New Roman"/>
              </w:rPr>
              <w:fldChar w:fldCharType="separate"/>
            </w:r>
            <w:r w:rsidR="008B7F9E" w:rsidRPr="008B7F9E">
              <w:rPr>
                <w:rFonts w:ascii="Times New Roman" w:hAnsi="Times New Roman" w:cs="Times New Roman"/>
                <w:noProof/>
              </w:rPr>
              <w:t>[5]</w:t>
            </w:r>
            <w:r>
              <w:rPr>
                <w:rFonts w:ascii="Times New Roman" w:hAnsi="Times New Roman" w:cs="Times New Roman"/>
              </w:rPr>
              <w:fldChar w:fldCharType="end"/>
            </w:r>
          </w:p>
        </w:tc>
      </w:tr>
      <w:tr w:rsidR="00D759BE" w:rsidRPr="00455390" w14:paraId="72A7A3BB" w14:textId="77777777" w:rsidTr="00D759BE">
        <w:trPr>
          <w:trHeight w:val="340"/>
        </w:trPr>
        <w:tc>
          <w:tcPr>
            <w:tcW w:w="838" w:type="dxa"/>
            <w:vAlign w:val="center"/>
          </w:tcPr>
          <w:p w14:paraId="65D5D297" w14:textId="77777777" w:rsidR="00D759BE" w:rsidRPr="00D759BE" w:rsidRDefault="00D759BE" w:rsidP="00D759BE">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177</w:t>
            </w:r>
            <w:r w:rsidRPr="00D759BE">
              <w:rPr>
                <w:rFonts w:ascii="Times New Roman" w:eastAsia="Malgun Gothic" w:hAnsi="Times New Roman" w:cs="Times New Roman"/>
                <w:bCs/>
                <w:color w:val="000000"/>
              </w:rPr>
              <w:t>Lu</w:t>
            </w:r>
          </w:p>
        </w:tc>
        <w:tc>
          <w:tcPr>
            <w:tcW w:w="2713" w:type="dxa"/>
            <w:noWrap/>
            <w:vAlign w:val="center"/>
            <w:hideMark/>
          </w:tcPr>
          <w:p w14:paraId="56FCDA59"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Lu-</w:t>
            </w:r>
            <w:proofErr w:type="spellStart"/>
            <w:r w:rsidRPr="001D5820">
              <w:rPr>
                <w:rFonts w:ascii="Times New Roman" w:hAnsi="Times New Roman" w:cs="Times New Roman" w:hint="eastAsia"/>
              </w:rPr>
              <w:t>GluAB</w:t>
            </w:r>
            <w:proofErr w:type="spellEnd"/>
            <w:r w:rsidRPr="001D5820">
              <w:rPr>
                <w:rFonts w:ascii="Times New Roman" w:hAnsi="Times New Roman" w:cs="Times New Roman" w:hint="eastAsia"/>
              </w:rPr>
              <w:t>-DOTATATE</w:t>
            </w:r>
          </w:p>
        </w:tc>
        <w:tc>
          <w:tcPr>
            <w:tcW w:w="1878" w:type="dxa"/>
            <w:noWrap/>
            <w:vAlign w:val="center"/>
            <w:hideMark/>
          </w:tcPr>
          <w:p w14:paraId="3D516CF6"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SSTR2</w:t>
            </w:r>
          </w:p>
        </w:tc>
        <w:tc>
          <w:tcPr>
            <w:tcW w:w="3037" w:type="dxa"/>
            <w:noWrap/>
            <w:vAlign w:val="center"/>
            <w:hideMark/>
          </w:tcPr>
          <w:p w14:paraId="77CDF108"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8.95</w:t>
            </w:r>
            <w:r w:rsidRPr="001D5820">
              <w:rPr>
                <w:rFonts w:ascii="Cambria Math" w:hAnsi="Cambria Math" w:cs="Cambria Math"/>
              </w:rPr>
              <w:t> </w:t>
            </w:r>
            <w:r w:rsidRPr="001D5820">
              <w:rPr>
                <w:rFonts w:ascii="Malgun Gothic" w:eastAsia="Malgun Gothic" w:hAnsi="Malgun Gothic" w:cs="Malgun Gothic" w:hint="eastAsia"/>
              </w:rPr>
              <w:t>±</w:t>
            </w:r>
            <w:r w:rsidRPr="001D5820">
              <w:rPr>
                <w:rFonts w:ascii="Cambria Math" w:hAnsi="Cambria Math" w:cs="Cambria Math"/>
              </w:rPr>
              <w:t> </w:t>
            </w:r>
            <w:r w:rsidRPr="001D5820">
              <w:rPr>
                <w:rFonts w:ascii="Times New Roman" w:hAnsi="Times New Roman" w:cs="Times New Roman" w:hint="eastAsia"/>
              </w:rPr>
              <w:t>3.40</w:t>
            </w:r>
          </w:p>
        </w:tc>
        <w:tc>
          <w:tcPr>
            <w:tcW w:w="550" w:type="dxa"/>
            <w:vMerge/>
            <w:vAlign w:val="center"/>
          </w:tcPr>
          <w:p w14:paraId="32A4ADAD" w14:textId="77777777" w:rsidR="00D759BE" w:rsidRPr="001D5820" w:rsidRDefault="00D759BE" w:rsidP="00D759BE">
            <w:pPr>
              <w:widowControl/>
              <w:wordWrap/>
              <w:autoSpaceDE/>
              <w:autoSpaceDN/>
              <w:jc w:val="center"/>
              <w:rPr>
                <w:rFonts w:ascii="Times New Roman" w:hAnsi="Times New Roman" w:cs="Times New Roman"/>
              </w:rPr>
            </w:pPr>
          </w:p>
        </w:tc>
      </w:tr>
      <w:tr w:rsidR="00D759BE" w:rsidRPr="00455390" w14:paraId="194DFC8F" w14:textId="77777777" w:rsidTr="00D759BE">
        <w:trPr>
          <w:trHeight w:val="340"/>
        </w:trPr>
        <w:tc>
          <w:tcPr>
            <w:tcW w:w="838" w:type="dxa"/>
            <w:vAlign w:val="center"/>
          </w:tcPr>
          <w:p w14:paraId="24412DA1" w14:textId="77777777" w:rsidR="00D759BE" w:rsidRPr="00D759BE" w:rsidRDefault="00D759BE" w:rsidP="00D759BE">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177</w:t>
            </w:r>
            <w:r w:rsidRPr="00D759BE">
              <w:rPr>
                <w:rFonts w:ascii="Times New Roman" w:eastAsia="Malgun Gothic" w:hAnsi="Times New Roman" w:cs="Times New Roman"/>
                <w:bCs/>
                <w:color w:val="000000"/>
              </w:rPr>
              <w:t>Lu</w:t>
            </w:r>
          </w:p>
        </w:tc>
        <w:tc>
          <w:tcPr>
            <w:tcW w:w="2713" w:type="dxa"/>
            <w:noWrap/>
            <w:vAlign w:val="center"/>
            <w:hideMark/>
          </w:tcPr>
          <w:p w14:paraId="73803428"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Lu-</w:t>
            </w:r>
            <w:proofErr w:type="spellStart"/>
            <w:r w:rsidRPr="001D5820">
              <w:rPr>
                <w:rFonts w:ascii="Times New Roman" w:hAnsi="Times New Roman" w:cs="Times New Roman" w:hint="eastAsia"/>
              </w:rPr>
              <w:t>AspAB</w:t>
            </w:r>
            <w:proofErr w:type="spellEnd"/>
            <w:r w:rsidRPr="001D5820">
              <w:rPr>
                <w:rFonts w:ascii="Times New Roman" w:hAnsi="Times New Roman" w:cs="Times New Roman" w:hint="eastAsia"/>
              </w:rPr>
              <w:t>-DOTATATE</w:t>
            </w:r>
          </w:p>
        </w:tc>
        <w:tc>
          <w:tcPr>
            <w:tcW w:w="1878" w:type="dxa"/>
            <w:noWrap/>
            <w:vAlign w:val="center"/>
            <w:hideMark/>
          </w:tcPr>
          <w:p w14:paraId="185DC4FD"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SSTR2</w:t>
            </w:r>
          </w:p>
        </w:tc>
        <w:tc>
          <w:tcPr>
            <w:tcW w:w="3037" w:type="dxa"/>
            <w:noWrap/>
            <w:vAlign w:val="center"/>
            <w:hideMark/>
          </w:tcPr>
          <w:p w14:paraId="605AEB76" w14:textId="77777777" w:rsidR="00D759BE" w:rsidRPr="001D5820" w:rsidRDefault="00D759BE" w:rsidP="00D759BE">
            <w:pPr>
              <w:widowControl/>
              <w:wordWrap/>
              <w:autoSpaceDE/>
              <w:autoSpaceDN/>
              <w:jc w:val="center"/>
              <w:rPr>
                <w:rFonts w:ascii="Times New Roman" w:hAnsi="Times New Roman" w:cs="Times New Roman"/>
              </w:rPr>
            </w:pPr>
            <w:r w:rsidRPr="001D5820">
              <w:rPr>
                <w:rFonts w:ascii="Times New Roman" w:hAnsi="Times New Roman" w:cs="Times New Roman" w:hint="eastAsia"/>
              </w:rPr>
              <w:t>8.72</w:t>
            </w:r>
            <w:r w:rsidRPr="001D5820">
              <w:rPr>
                <w:rFonts w:ascii="Cambria Math" w:hAnsi="Cambria Math" w:cs="Cambria Math"/>
              </w:rPr>
              <w:t> </w:t>
            </w:r>
            <w:r w:rsidRPr="001D5820">
              <w:rPr>
                <w:rFonts w:ascii="Malgun Gothic" w:eastAsia="Malgun Gothic" w:hAnsi="Malgun Gothic" w:cs="Malgun Gothic" w:hint="eastAsia"/>
              </w:rPr>
              <w:t>±</w:t>
            </w:r>
            <w:r w:rsidRPr="001D5820">
              <w:rPr>
                <w:rFonts w:ascii="Cambria Math" w:hAnsi="Cambria Math" w:cs="Cambria Math"/>
              </w:rPr>
              <w:t> </w:t>
            </w:r>
            <w:r w:rsidRPr="001D5820">
              <w:rPr>
                <w:rFonts w:ascii="Times New Roman" w:hAnsi="Times New Roman" w:cs="Times New Roman" w:hint="eastAsia"/>
              </w:rPr>
              <w:t>3.35</w:t>
            </w:r>
          </w:p>
        </w:tc>
        <w:tc>
          <w:tcPr>
            <w:tcW w:w="550" w:type="dxa"/>
            <w:vMerge/>
            <w:vAlign w:val="center"/>
          </w:tcPr>
          <w:p w14:paraId="1B07E7A2" w14:textId="77777777" w:rsidR="00D759BE" w:rsidRPr="001D5820" w:rsidRDefault="00D759BE" w:rsidP="00D759BE">
            <w:pPr>
              <w:widowControl/>
              <w:wordWrap/>
              <w:autoSpaceDE/>
              <w:autoSpaceDN/>
              <w:jc w:val="center"/>
              <w:rPr>
                <w:rFonts w:ascii="Times New Roman" w:hAnsi="Times New Roman" w:cs="Times New Roman"/>
              </w:rPr>
            </w:pPr>
          </w:p>
        </w:tc>
      </w:tr>
      <w:tr w:rsidR="00BF52CC" w:rsidRPr="00455390" w14:paraId="6B14311C" w14:textId="77777777" w:rsidTr="00D759BE">
        <w:trPr>
          <w:trHeight w:val="340"/>
        </w:trPr>
        <w:tc>
          <w:tcPr>
            <w:tcW w:w="838" w:type="dxa"/>
            <w:vAlign w:val="center"/>
          </w:tcPr>
          <w:p w14:paraId="5FDEB118" w14:textId="77777777" w:rsidR="00BF52CC" w:rsidRPr="00D759BE" w:rsidRDefault="00BF52CC" w:rsidP="00BF52CC">
            <w:pPr>
              <w:widowControl/>
              <w:wordWrap/>
              <w:autoSpaceDE/>
              <w:autoSpaceDN/>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7D3CD9EE"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PSMA-Q</w:t>
            </w:r>
          </w:p>
        </w:tc>
        <w:tc>
          <w:tcPr>
            <w:tcW w:w="1878" w:type="dxa"/>
            <w:noWrap/>
            <w:vAlign w:val="center"/>
            <w:hideMark/>
          </w:tcPr>
          <w:p w14:paraId="2281751A"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5B7620D0"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8.11</w:t>
            </w:r>
            <w:r w:rsidRPr="001D5820">
              <w:rPr>
                <w:rFonts w:ascii="Times New Roman" w:hAnsi="Times New Roman" w:cs="Times New Roman" w:hint="eastAsia"/>
              </w:rPr>
              <w:t>±</w:t>
            </w:r>
            <w:r w:rsidRPr="001D5820">
              <w:rPr>
                <w:rFonts w:ascii="Times New Roman" w:hAnsi="Times New Roman" w:cs="Times New Roman" w:hint="eastAsia"/>
              </w:rPr>
              <w:t>0.49</w:t>
            </w:r>
          </w:p>
        </w:tc>
        <w:tc>
          <w:tcPr>
            <w:tcW w:w="550" w:type="dxa"/>
            <w:vMerge w:val="restart"/>
            <w:vAlign w:val="center"/>
          </w:tcPr>
          <w:p w14:paraId="5DD5B882" w14:textId="77777777" w:rsidR="00BF52CC" w:rsidRPr="001D5820" w:rsidRDefault="00BF52CC" w:rsidP="00BF52CC">
            <w:pPr>
              <w:widowControl/>
              <w:wordWrap/>
              <w:autoSpaceDE/>
              <w:autoSpaceDN/>
              <w:jc w:val="center"/>
              <w:rPr>
                <w:rFonts w:ascii="Times New Roman" w:hAnsi="Times New Roman" w:cs="Times New Roman"/>
              </w:rPr>
            </w:pPr>
            <w:r>
              <w:rPr>
                <w:rFonts w:ascii="Times New Roman" w:hAnsi="Times New Roman" w:cs="Times New Roman"/>
              </w:rPr>
              <w:fldChar w:fldCharType="begin" w:fldLock="1"/>
            </w:r>
            <w:r>
              <w:rPr>
                <w:rFonts w:ascii="Times New Roman" w:hAnsi="Times New Roman" w:cs="Times New Roman"/>
              </w:rPr>
              <w:instrText>ADDIN CSL_CITATION {"citationItems":[{"id":"ITEM-1","itemData":{"DOI":"10.3390/PH15081001/S1","ISSN":"14248247","abstract":"Prostate-specific membrane antigen (PSMA)-targeting radiopharmaceuticals have become some of the most promising tools for the diagnosis and therapy prostate cancer (PCa). The structure of existing PSMA-targeted PET tracers still needs to be optimized to improve their pharmacokinetic properties and tumor-to-background ratio. In this study, we modified the structure of a well-studied PSMA tracer, and six novel tracers with variable hydrophilicity and pharmacokinetics were developed and evaluated both in vitro and in vivo. All of the novel tracers showed high hydrophilicity (log p = −2.99 ± 0.33 to −3.49 ± 0.01), rapid clearance rates (elimination half-times = 15.55 to 35.97 min), and high affinity for PSMA (Ki = 8.11 ± 0.49 to 42.40 ± 2.11 nM) in vitro. Specific cell binding and micro-PET experiments showed that [68Ga]Ga-PSMA-Q displayed the highest specific PSMA+ cell uptake (3.75 ± 0.35 IA%/106 at 60 min), tumor uptake (SUVmax = 0.97 ± 0.24 at 60 min p.i.), and tumor-to-muscle ratio (59.33 ± 5.72 at 60 min p.i.), while the tumor-to-muscle ratio was much higher than that of [68Ga]Ga-PSMA-617. The results of this study validate the clinical potential of [68Ga]Ga-PSMA-Q for PET imaging and further targeted therapy of prostate cancer.","author":[{"dropping-particle":"","family":"Wu","given":"Yitian","non-dropping-particle":"","parse-names":false,"suffix":""},{"dropping-particle":"","family":"Zhang","given":"Xiaojun","non-dropping-particle":"","parse-names":false,"suffix":""},{"dropping-particle":"","family":"Zhang","given":"Ying","non-dropping-particle":"","parse-names":false,"suffix":""},{"dropping-particle":"","family":"Xu","given":"Baixuan","non-dropping-particle":"","parse-names":false,"suffix":""},{"dropping-particle":"","family":"Tian","given":"Jiahe","non-dropping-particle":"","parse-names":false,"suffix":""},{"dropping-particle":"","family":"Zhang","given":"Jinming","non-dropping-particle":"","parse-names":false,"suffix":""}],"container-title":"Pharmaceuticals","id":"ITEM-1","issue":"8","issued":{"date-parts":[["2022","8","1"]]},"page":"1001","publisher":"MDPI","title":"Optimized 68Ga-Labeled Urea-Based PSMA-Targeted PET Tracers for Prostate Cancer","type":"article-journal","volume":"15"},"uris":["http://www.mendeley.com/documents/?uuid=3ac47b28-29ef-3bae-855b-37f671150cd4"]}],"mendeley":{"formattedCitation":"[6]","plainTextFormattedCitation":"[6]","previouslyFormattedCitation":"[5]"},"properties":{"noteIndex":0},"schema":"https://github.com/citation-style-language/schema/raw/master/csl-citation.json"}</w:instrText>
            </w:r>
            <w:r>
              <w:rPr>
                <w:rFonts w:ascii="Times New Roman" w:hAnsi="Times New Roman" w:cs="Times New Roman"/>
              </w:rPr>
              <w:fldChar w:fldCharType="separate"/>
            </w:r>
            <w:r w:rsidRPr="008B7F9E">
              <w:rPr>
                <w:rFonts w:ascii="Times New Roman" w:hAnsi="Times New Roman" w:cs="Times New Roman"/>
                <w:noProof/>
              </w:rPr>
              <w:t>[6]</w:t>
            </w:r>
            <w:r>
              <w:rPr>
                <w:rFonts w:ascii="Times New Roman" w:hAnsi="Times New Roman" w:cs="Times New Roman"/>
              </w:rPr>
              <w:fldChar w:fldCharType="end"/>
            </w:r>
          </w:p>
        </w:tc>
      </w:tr>
      <w:tr w:rsidR="00BF52CC" w:rsidRPr="00455390" w14:paraId="09F3C4CF" w14:textId="77777777" w:rsidTr="00D759BE">
        <w:trPr>
          <w:trHeight w:val="340"/>
        </w:trPr>
        <w:tc>
          <w:tcPr>
            <w:tcW w:w="838" w:type="dxa"/>
            <w:vAlign w:val="center"/>
          </w:tcPr>
          <w:p w14:paraId="00ACEFDE"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057AD252"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PSMA-Q-1</w:t>
            </w:r>
          </w:p>
        </w:tc>
        <w:tc>
          <w:tcPr>
            <w:tcW w:w="1878" w:type="dxa"/>
            <w:noWrap/>
            <w:vAlign w:val="center"/>
            <w:hideMark/>
          </w:tcPr>
          <w:p w14:paraId="53E34FE2"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527C6A00"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10.21</w:t>
            </w:r>
            <w:r w:rsidRPr="001D5820">
              <w:rPr>
                <w:rFonts w:ascii="Times New Roman" w:hAnsi="Times New Roman" w:cs="Times New Roman" w:hint="eastAsia"/>
              </w:rPr>
              <w:t>±</w:t>
            </w:r>
            <w:r w:rsidRPr="001D5820">
              <w:rPr>
                <w:rFonts w:ascii="Times New Roman" w:hAnsi="Times New Roman" w:cs="Times New Roman" w:hint="eastAsia"/>
              </w:rPr>
              <w:t>3.51</w:t>
            </w:r>
          </w:p>
        </w:tc>
        <w:tc>
          <w:tcPr>
            <w:tcW w:w="550" w:type="dxa"/>
            <w:vMerge/>
            <w:vAlign w:val="center"/>
          </w:tcPr>
          <w:p w14:paraId="09FB54E0"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2F4110FA" w14:textId="77777777" w:rsidTr="00D759BE">
        <w:trPr>
          <w:trHeight w:val="340"/>
        </w:trPr>
        <w:tc>
          <w:tcPr>
            <w:tcW w:w="838" w:type="dxa"/>
            <w:vAlign w:val="center"/>
          </w:tcPr>
          <w:p w14:paraId="67D1EBD9"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7B51DBF0"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PSMA-Q-2</w:t>
            </w:r>
          </w:p>
        </w:tc>
        <w:tc>
          <w:tcPr>
            <w:tcW w:w="1878" w:type="dxa"/>
            <w:noWrap/>
            <w:vAlign w:val="center"/>
            <w:hideMark/>
          </w:tcPr>
          <w:p w14:paraId="0E6F8CE9"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687D90E5"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12.26</w:t>
            </w:r>
            <w:r w:rsidRPr="001D5820">
              <w:rPr>
                <w:rFonts w:ascii="Times New Roman" w:hAnsi="Times New Roman" w:cs="Times New Roman" w:hint="eastAsia"/>
              </w:rPr>
              <w:t>±</w:t>
            </w:r>
            <w:r w:rsidRPr="001D5820">
              <w:rPr>
                <w:rFonts w:ascii="Times New Roman" w:hAnsi="Times New Roman" w:cs="Times New Roman" w:hint="eastAsia"/>
              </w:rPr>
              <w:t>3.13</w:t>
            </w:r>
          </w:p>
        </w:tc>
        <w:tc>
          <w:tcPr>
            <w:tcW w:w="550" w:type="dxa"/>
            <w:vMerge/>
            <w:vAlign w:val="center"/>
          </w:tcPr>
          <w:p w14:paraId="342CA19F"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2B62ECAA" w14:textId="77777777" w:rsidTr="00D759BE">
        <w:trPr>
          <w:trHeight w:val="340"/>
        </w:trPr>
        <w:tc>
          <w:tcPr>
            <w:tcW w:w="838" w:type="dxa"/>
            <w:vAlign w:val="center"/>
          </w:tcPr>
          <w:p w14:paraId="6E3513D8" w14:textId="77777777" w:rsidR="00BF52CC" w:rsidRPr="00D759BE" w:rsidRDefault="00BF52CC" w:rsidP="00BF52CC">
            <w:pPr>
              <w:widowControl/>
              <w:wordWrap/>
              <w:autoSpaceDE/>
              <w:autoSpaceDN/>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05473B2F"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PSMA-Q-3</w:t>
            </w:r>
          </w:p>
        </w:tc>
        <w:tc>
          <w:tcPr>
            <w:tcW w:w="1878" w:type="dxa"/>
            <w:noWrap/>
            <w:vAlign w:val="center"/>
            <w:hideMark/>
          </w:tcPr>
          <w:p w14:paraId="18B63B57"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220F341A"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11.48</w:t>
            </w:r>
            <w:r w:rsidRPr="001D5820">
              <w:rPr>
                <w:rFonts w:ascii="Times New Roman" w:hAnsi="Times New Roman" w:cs="Times New Roman" w:hint="eastAsia"/>
              </w:rPr>
              <w:t>±</w:t>
            </w:r>
            <w:r w:rsidRPr="001D5820">
              <w:rPr>
                <w:rFonts w:ascii="Times New Roman" w:hAnsi="Times New Roman" w:cs="Times New Roman" w:hint="eastAsia"/>
              </w:rPr>
              <w:t>4.29</w:t>
            </w:r>
          </w:p>
        </w:tc>
        <w:tc>
          <w:tcPr>
            <w:tcW w:w="550" w:type="dxa"/>
            <w:vMerge/>
            <w:vAlign w:val="center"/>
          </w:tcPr>
          <w:p w14:paraId="3C4E8577"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33E84200" w14:textId="77777777" w:rsidTr="00D759BE">
        <w:trPr>
          <w:trHeight w:val="340"/>
        </w:trPr>
        <w:tc>
          <w:tcPr>
            <w:tcW w:w="838" w:type="dxa"/>
            <w:vAlign w:val="center"/>
          </w:tcPr>
          <w:p w14:paraId="0D1E05B6"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53CDC353"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PSMA-4PY</w:t>
            </w:r>
          </w:p>
        </w:tc>
        <w:tc>
          <w:tcPr>
            <w:tcW w:w="1878" w:type="dxa"/>
            <w:noWrap/>
            <w:vAlign w:val="center"/>
            <w:hideMark/>
          </w:tcPr>
          <w:p w14:paraId="17CB2770"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67B4B6D2"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20.0</w:t>
            </w:r>
            <w:r w:rsidRPr="001D5820">
              <w:rPr>
                <w:rFonts w:ascii="Times New Roman" w:hAnsi="Times New Roman" w:cs="Times New Roman" w:hint="eastAsia"/>
              </w:rPr>
              <w:t>±</w:t>
            </w:r>
            <w:r w:rsidRPr="001D5820">
              <w:rPr>
                <w:rFonts w:ascii="Times New Roman" w:hAnsi="Times New Roman" w:cs="Times New Roman" w:hint="eastAsia"/>
              </w:rPr>
              <w:t>0.87</w:t>
            </w:r>
          </w:p>
        </w:tc>
        <w:tc>
          <w:tcPr>
            <w:tcW w:w="550" w:type="dxa"/>
            <w:vMerge/>
            <w:vAlign w:val="center"/>
          </w:tcPr>
          <w:p w14:paraId="1AD68CE7"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2B2AB154" w14:textId="77777777" w:rsidTr="00D759BE">
        <w:trPr>
          <w:trHeight w:val="340"/>
        </w:trPr>
        <w:tc>
          <w:tcPr>
            <w:tcW w:w="838" w:type="dxa"/>
            <w:vAlign w:val="center"/>
          </w:tcPr>
          <w:p w14:paraId="7038C9CC" w14:textId="77777777" w:rsidR="00BF52CC" w:rsidRPr="00D759BE" w:rsidRDefault="00BF52CC" w:rsidP="00BF52CC">
            <w:pPr>
              <w:widowControl/>
              <w:wordWrap/>
              <w:autoSpaceDE/>
              <w:autoSpaceDN/>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4DA2821B"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PSMA-P</w:t>
            </w:r>
          </w:p>
        </w:tc>
        <w:tc>
          <w:tcPr>
            <w:tcW w:w="1878" w:type="dxa"/>
            <w:noWrap/>
            <w:vAlign w:val="center"/>
            <w:hideMark/>
          </w:tcPr>
          <w:p w14:paraId="6E662E55"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610C5BA1"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42.40</w:t>
            </w:r>
            <w:r w:rsidRPr="001D5820">
              <w:rPr>
                <w:rFonts w:ascii="Times New Roman" w:hAnsi="Times New Roman" w:cs="Times New Roman" w:hint="eastAsia"/>
              </w:rPr>
              <w:t>±</w:t>
            </w:r>
            <w:r w:rsidRPr="001D5820">
              <w:rPr>
                <w:rFonts w:ascii="Times New Roman" w:hAnsi="Times New Roman" w:cs="Times New Roman" w:hint="eastAsia"/>
              </w:rPr>
              <w:t>2.11</w:t>
            </w:r>
          </w:p>
        </w:tc>
        <w:tc>
          <w:tcPr>
            <w:tcW w:w="550" w:type="dxa"/>
            <w:vMerge/>
            <w:vAlign w:val="center"/>
          </w:tcPr>
          <w:p w14:paraId="322406EE"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51D5FF7F" w14:textId="77777777" w:rsidTr="00D759BE">
        <w:trPr>
          <w:trHeight w:val="340"/>
        </w:trPr>
        <w:tc>
          <w:tcPr>
            <w:tcW w:w="838" w:type="dxa"/>
            <w:vAlign w:val="center"/>
          </w:tcPr>
          <w:p w14:paraId="1FE1A754"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2EDD03C1"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Ga-PSMA-11</w:t>
            </w:r>
          </w:p>
        </w:tc>
        <w:tc>
          <w:tcPr>
            <w:tcW w:w="1878" w:type="dxa"/>
            <w:noWrap/>
            <w:vAlign w:val="center"/>
            <w:hideMark/>
          </w:tcPr>
          <w:p w14:paraId="6FE5CC77"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5DE1EAC3"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12.0</w:t>
            </w:r>
            <w:r w:rsidRPr="001D5820">
              <w:rPr>
                <w:rFonts w:ascii="Times New Roman" w:hAnsi="Times New Roman" w:cs="Times New Roman" w:hint="eastAsia"/>
              </w:rPr>
              <w:t>±</w:t>
            </w:r>
            <w:r w:rsidRPr="001D5820">
              <w:rPr>
                <w:rFonts w:ascii="Times New Roman" w:hAnsi="Times New Roman" w:cs="Times New Roman" w:hint="eastAsia"/>
              </w:rPr>
              <w:t>2.8</w:t>
            </w:r>
          </w:p>
        </w:tc>
        <w:tc>
          <w:tcPr>
            <w:tcW w:w="550" w:type="dxa"/>
            <w:vMerge w:val="restart"/>
            <w:vAlign w:val="center"/>
          </w:tcPr>
          <w:p w14:paraId="3EF82CA8"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1B43B913" w14:textId="77777777" w:rsidTr="00D759BE">
        <w:trPr>
          <w:trHeight w:val="340"/>
        </w:trPr>
        <w:tc>
          <w:tcPr>
            <w:tcW w:w="838" w:type="dxa"/>
            <w:vAlign w:val="center"/>
          </w:tcPr>
          <w:p w14:paraId="19B79C82"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33FBD3E3"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Ga-PSMA-617</w:t>
            </w:r>
          </w:p>
        </w:tc>
        <w:tc>
          <w:tcPr>
            <w:tcW w:w="1878" w:type="dxa"/>
            <w:noWrap/>
            <w:vAlign w:val="center"/>
            <w:hideMark/>
          </w:tcPr>
          <w:p w14:paraId="5EFC68D4"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144E8428"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2.34</w:t>
            </w:r>
            <w:r w:rsidRPr="001D5820">
              <w:rPr>
                <w:rFonts w:ascii="Times New Roman" w:hAnsi="Times New Roman" w:cs="Times New Roman" w:hint="eastAsia"/>
              </w:rPr>
              <w:t>±</w:t>
            </w:r>
            <w:r w:rsidRPr="001D5820">
              <w:rPr>
                <w:rFonts w:ascii="Times New Roman" w:hAnsi="Times New Roman" w:cs="Times New Roman" w:hint="eastAsia"/>
              </w:rPr>
              <w:t>2.94</w:t>
            </w:r>
          </w:p>
        </w:tc>
        <w:tc>
          <w:tcPr>
            <w:tcW w:w="550" w:type="dxa"/>
            <w:vMerge/>
            <w:vAlign w:val="center"/>
          </w:tcPr>
          <w:p w14:paraId="23309EAB"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5728371B" w14:textId="77777777" w:rsidTr="00D759BE">
        <w:trPr>
          <w:trHeight w:val="340"/>
        </w:trPr>
        <w:tc>
          <w:tcPr>
            <w:tcW w:w="838" w:type="dxa"/>
            <w:vAlign w:val="center"/>
          </w:tcPr>
          <w:p w14:paraId="101FD52A" w14:textId="77777777" w:rsidR="00BF52CC" w:rsidRPr="00D759BE" w:rsidRDefault="00BF52CC" w:rsidP="00BF52CC">
            <w:pPr>
              <w:widowControl/>
              <w:wordWrap/>
              <w:autoSpaceDE/>
              <w:autoSpaceDN/>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304155C5"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Ga2</w:t>
            </w:r>
          </w:p>
        </w:tc>
        <w:tc>
          <w:tcPr>
            <w:tcW w:w="1878" w:type="dxa"/>
            <w:noWrap/>
            <w:vAlign w:val="center"/>
            <w:hideMark/>
          </w:tcPr>
          <w:p w14:paraId="5584322B"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NTS1</w:t>
            </w:r>
          </w:p>
        </w:tc>
        <w:tc>
          <w:tcPr>
            <w:tcW w:w="3037" w:type="dxa"/>
            <w:noWrap/>
            <w:vAlign w:val="center"/>
            <w:hideMark/>
          </w:tcPr>
          <w:p w14:paraId="4B858006"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180</w:t>
            </w:r>
            <w:r w:rsidRPr="001D5820">
              <w:rPr>
                <w:rFonts w:ascii="Times New Roman" w:hAnsi="Times New Roman" w:cs="Times New Roman" w:hint="eastAsia"/>
              </w:rPr>
              <w:t>±</w:t>
            </w:r>
            <w:r w:rsidRPr="001D5820">
              <w:rPr>
                <w:rFonts w:ascii="Times New Roman" w:hAnsi="Times New Roman" w:cs="Times New Roman" w:hint="eastAsia"/>
              </w:rPr>
              <w:t>47</w:t>
            </w:r>
          </w:p>
        </w:tc>
        <w:tc>
          <w:tcPr>
            <w:tcW w:w="550" w:type="dxa"/>
            <w:vMerge w:val="restart"/>
            <w:vAlign w:val="center"/>
          </w:tcPr>
          <w:p w14:paraId="5B8D4F4D" w14:textId="77777777" w:rsidR="00BF52CC" w:rsidRPr="001D5820" w:rsidRDefault="00BF52CC" w:rsidP="00BF52CC">
            <w:pPr>
              <w:widowControl/>
              <w:wordWrap/>
              <w:autoSpaceDE/>
              <w:autoSpaceDN/>
              <w:jc w:val="center"/>
              <w:rPr>
                <w:rFonts w:ascii="Times New Roman" w:hAnsi="Times New Roman" w:cs="Times New Roman"/>
              </w:rPr>
            </w:pPr>
            <w:r>
              <w:rPr>
                <w:rFonts w:ascii="Times New Roman" w:hAnsi="Times New Roman" w:cs="Times New Roman"/>
              </w:rPr>
              <w:fldChar w:fldCharType="begin" w:fldLock="1"/>
            </w:r>
            <w:r>
              <w:rPr>
                <w:rFonts w:ascii="Times New Roman" w:hAnsi="Times New Roman" w:cs="Times New Roman"/>
              </w:rPr>
              <w:instrText>ADDIN CSL_CITATION {"citationItems":[{"id":"ITEM-1","itemData":{"DOI":"10.1021/ACS.JMEDCHEM.6B00675/SUPPL_FILE/JM6B00675_SI_001.CSV","ISSN":"15204804","PMID":"27336295","abstract":"The neurotensin (NT) receptor-1 (NTS1) is overexpressed in a variety of carcinomas and is therefore an interesting target for imaging with positron emission tomography (PET). The aim of this study was the development of new NT derivatives based on the metabolically stable peptide sequence NLys-Lys-Pro-Tyr-Tle-Leu suitable for PET imaging. The NT peptides were synthesized by solid-phase supported peptide synthesis and elongated with respective chelators (NODA-GA, DOTA) for 68Ga-labeling or propargylglycine for 18F-labeling via copper-catalyzed azide-alkyne cycloaddition. Receptor affinities of the peptides for NTS1 were in the range of 19-110 nM. Biodistribution studies using HT29 tumor-bearing mice showed highest tumor uptake for [68Ga]6 and [68Ga]8 and specific binding in small-animal PET studies. The tumor uptake of 68Ga-labeled peptides in vivo significantly correlated with the in vitro Ki values for NTS1. [68Ga]8 displayed an excellent tumor-to-background ratio and could therefore be considered as an appropriate molecular probe for NTS1 imaging by PET.","author":[{"dropping-particle":"","family":"Maschauer","given":"Simone","non-dropping-particle":"","parse-names":false,"suffix":""},{"dropping-particle":"","family":"Einsiedel","given":"Jürgen","non-dropping-particle":"","parse-names":false,"suffix":""},{"dropping-particle":"","family":"Hübner","given":"Harald","non-dropping-particle":"","parse-names":false,"suffix":""},{"dropping-particle":"","family":"Gmeiner","given":"Peter","non-dropping-particle":"","parse-names":false,"suffix":""},{"dropping-particle":"","family":"Prante","given":"Olaf","non-dropping-particle":"","parse-names":false,"suffix":""}],"container-title":"Journal of Medicinal Chemistry","id":"ITEM-1","issue":"13","issued":{"date-parts":[["2016","7","14"]]},"page":"6480-6492","publisher":"American Chemical Society","title":"18F- and 68Ga-Labeled Neurotensin Peptides for PET Imaging of Neurotensin Receptor 1","type":"article-journal","volume":"59"},"uris":["http://www.mendeley.com/documents/?uuid=4ba5bc6a-5f97-3ccb-bc36-e7a59c177c71"]}],"mendeley":{"formattedCitation":"[7]","plainTextFormattedCitation":"[7]","previouslyFormattedCitation":"[6]"},"properties":{"noteIndex":0},"schema":"https://github.com/citation-style-language/schema/raw/master/csl-citation.json"}</w:instrText>
            </w:r>
            <w:r>
              <w:rPr>
                <w:rFonts w:ascii="Times New Roman" w:hAnsi="Times New Roman" w:cs="Times New Roman"/>
              </w:rPr>
              <w:fldChar w:fldCharType="separate"/>
            </w:r>
            <w:r w:rsidRPr="008B7F9E">
              <w:rPr>
                <w:rFonts w:ascii="Times New Roman" w:hAnsi="Times New Roman" w:cs="Times New Roman"/>
                <w:noProof/>
              </w:rPr>
              <w:t>[7]</w:t>
            </w:r>
            <w:r>
              <w:rPr>
                <w:rFonts w:ascii="Times New Roman" w:hAnsi="Times New Roman" w:cs="Times New Roman"/>
              </w:rPr>
              <w:fldChar w:fldCharType="end"/>
            </w:r>
          </w:p>
        </w:tc>
      </w:tr>
      <w:tr w:rsidR="00BF52CC" w:rsidRPr="00455390" w14:paraId="134B84E0" w14:textId="77777777" w:rsidTr="00D759BE">
        <w:trPr>
          <w:trHeight w:val="340"/>
        </w:trPr>
        <w:tc>
          <w:tcPr>
            <w:tcW w:w="838" w:type="dxa"/>
            <w:vAlign w:val="center"/>
          </w:tcPr>
          <w:p w14:paraId="3CD6E37F"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1AE24D11"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Ga4</w:t>
            </w:r>
          </w:p>
        </w:tc>
        <w:tc>
          <w:tcPr>
            <w:tcW w:w="1878" w:type="dxa"/>
            <w:noWrap/>
            <w:vAlign w:val="center"/>
            <w:hideMark/>
          </w:tcPr>
          <w:p w14:paraId="76B3350D"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NTS1</w:t>
            </w:r>
          </w:p>
        </w:tc>
        <w:tc>
          <w:tcPr>
            <w:tcW w:w="3037" w:type="dxa"/>
            <w:noWrap/>
            <w:vAlign w:val="center"/>
            <w:hideMark/>
          </w:tcPr>
          <w:p w14:paraId="5407368C"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110</w:t>
            </w:r>
            <w:r w:rsidRPr="001D5820">
              <w:rPr>
                <w:rFonts w:ascii="Times New Roman" w:hAnsi="Times New Roman" w:cs="Times New Roman" w:hint="eastAsia"/>
              </w:rPr>
              <w:t>±</w:t>
            </w:r>
            <w:r w:rsidRPr="001D5820">
              <w:rPr>
                <w:rFonts w:ascii="Times New Roman" w:hAnsi="Times New Roman" w:cs="Times New Roman" w:hint="eastAsia"/>
              </w:rPr>
              <w:t>22</w:t>
            </w:r>
          </w:p>
        </w:tc>
        <w:tc>
          <w:tcPr>
            <w:tcW w:w="550" w:type="dxa"/>
            <w:vMerge/>
            <w:vAlign w:val="center"/>
          </w:tcPr>
          <w:p w14:paraId="33C47865"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059A2953" w14:textId="77777777" w:rsidTr="00D759BE">
        <w:trPr>
          <w:trHeight w:val="340"/>
        </w:trPr>
        <w:tc>
          <w:tcPr>
            <w:tcW w:w="838" w:type="dxa"/>
            <w:vAlign w:val="center"/>
          </w:tcPr>
          <w:p w14:paraId="5335321B" w14:textId="77777777" w:rsidR="00BF52CC" w:rsidRPr="00D759BE" w:rsidRDefault="00BF52CC" w:rsidP="00BF52CC">
            <w:pPr>
              <w:widowControl/>
              <w:wordWrap/>
              <w:autoSpaceDE/>
              <w:autoSpaceDN/>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3AD02082"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Ga6</w:t>
            </w:r>
          </w:p>
        </w:tc>
        <w:tc>
          <w:tcPr>
            <w:tcW w:w="1878" w:type="dxa"/>
            <w:noWrap/>
            <w:vAlign w:val="center"/>
            <w:hideMark/>
          </w:tcPr>
          <w:p w14:paraId="5D7BE7E0"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NTS1</w:t>
            </w:r>
          </w:p>
        </w:tc>
        <w:tc>
          <w:tcPr>
            <w:tcW w:w="3037" w:type="dxa"/>
            <w:noWrap/>
            <w:vAlign w:val="center"/>
            <w:hideMark/>
          </w:tcPr>
          <w:p w14:paraId="757B759B"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19</w:t>
            </w:r>
            <w:r w:rsidRPr="001D5820">
              <w:rPr>
                <w:rFonts w:ascii="Times New Roman" w:hAnsi="Times New Roman" w:cs="Times New Roman" w:hint="eastAsia"/>
              </w:rPr>
              <w:t>±</w:t>
            </w:r>
            <w:r w:rsidRPr="001D5820">
              <w:rPr>
                <w:rFonts w:ascii="Times New Roman" w:hAnsi="Times New Roman" w:cs="Times New Roman" w:hint="eastAsia"/>
              </w:rPr>
              <w:t>6.4</w:t>
            </w:r>
          </w:p>
        </w:tc>
        <w:tc>
          <w:tcPr>
            <w:tcW w:w="550" w:type="dxa"/>
            <w:vMerge/>
            <w:vAlign w:val="center"/>
          </w:tcPr>
          <w:p w14:paraId="1C5BB778"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3B271664" w14:textId="77777777" w:rsidTr="00D759BE">
        <w:trPr>
          <w:trHeight w:val="340"/>
        </w:trPr>
        <w:tc>
          <w:tcPr>
            <w:tcW w:w="838" w:type="dxa"/>
            <w:vAlign w:val="center"/>
          </w:tcPr>
          <w:p w14:paraId="06300782"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7B9CBC19"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Ga-NT118</w:t>
            </w:r>
          </w:p>
        </w:tc>
        <w:tc>
          <w:tcPr>
            <w:tcW w:w="1878" w:type="dxa"/>
            <w:noWrap/>
            <w:vAlign w:val="center"/>
            <w:hideMark/>
          </w:tcPr>
          <w:p w14:paraId="46E8FBED"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NTS1</w:t>
            </w:r>
          </w:p>
        </w:tc>
        <w:tc>
          <w:tcPr>
            <w:tcW w:w="3037" w:type="dxa"/>
            <w:noWrap/>
            <w:vAlign w:val="center"/>
            <w:hideMark/>
          </w:tcPr>
          <w:p w14:paraId="73157BDA"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20</w:t>
            </w:r>
            <w:r w:rsidRPr="001D5820">
              <w:rPr>
                <w:rFonts w:ascii="Times New Roman" w:hAnsi="Times New Roman" w:cs="Times New Roman" w:hint="eastAsia"/>
              </w:rPr>
              <w:t>±</w:t>
            </w:r>
            <w:r w:rsidRPr="001D5820">
              <w:rPr>
                <w:rFonts w:ascii="Times New Roman" w:hAnsi="Times New Roman" w:cs="Times New Roman" w:hint="eastAsia"/>
              </w:rPr>
              <w:t>1.2</w:t>
            </w:r>
          </w:p>
        </w:tc>
        <w:tc>
          <w:tcPr>
            <w:tcW w:w="550" w:type="dxa"/>
            <w:vMerge/>
            <w:vAlign w:val="center"/>
          </w:tcPr>
          <w:p w14:paraId="1A3D4259"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505FD4C5" w14:textId="77777777" w:rsidTr="00D759BE">
        <w:trPr>
          <w:trHeight w:val="340"/>
        </w:trPr>
        <w:tc>
          <w:tcPr>
            <w:tcW w:w="838" w:type="dxa"/>
            <w:vAlign w:val="center"/>
          </w:tcPr>
          <w:p w14:paraId="6592CDCC"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4BEDF249"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Ga2</w:t>
            </w:r>
          </w:p>
        </w:tc>
        <w:tc>
          <w:tcPr>
            <w:tcW w:w="1878" w:type="dxa"/>
            <w:noWrap/>
            <w:vAlign w:val="center"/>
            <w:hideMark/>
          </w:tcPr>
          <w:p w14:paraId="0274B8EF"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NTS2</w:t>
            </w:r>
          </w:p>
        </w:tc>
        <w:tc>
          <w:tcPr>
            <w:tcW w:w="3037" w:type="dxa"/>
            <w:noWrap/>
            <w:vAlign w:val="center"/>
            <w:hideMark/>
          </w:tcPr>
          <w:p w14:paraId="52E75734"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350</w:t>
            </w:r>
            <w:r w:rsidRPr="001D5820">
              <w:rPr>
                <w:rFonts w:ascii="Times New Roman" w:hAnsi="Times New Roman" w:cs="Times New Roman" w:hint="eastAsia"/>
              </w:rPr>
              <w:t>±</w:t>
            </w:r>
            <w:r w:rsidRPr="001D5820">
              <w:rPr>
                <w:rFonts w:ascii="Times New Roman" w:hAnsi="Times New Roman" w:cs="Times New Roman" w:hint="eastAsia"/>
              </w:rPr>
              <w:t>270</w:t>
            </w:r>
          </w:p>
        </w:tc>
        <w:tc>
          <w:tcPr>
            <w:tcW w:w="550" w:type="dxa"/>
            <w:vMerge/>
            <w:vAlign w:val="center"/>
          </w:tcPr>
          <w:p w14:paraId="10095072"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52672E04" w14:textId="77777777" w:rsidTr="00D759BE">
        <w:trPr>
          <w:trHeight w:val="340"/>
        </w:trPr>
        <w:tc>
          <w:tcPr>
            <w:tcW w:w="838" w:type="dxa"/>
            <w:vAlign w:val="center"/>
          </w:tcPr>
          <w:p w14:paraId="07725B9E" w14:textId="77777777" w:rsidR="00BF52CC" w:rsidRPr="00D759BE" w:rsidRDefault="00BF52CC" w:rsidP="00BF52CC">
            <w:pPr>
              <w:widowControl/>
              <w:wordWrap/>
              <w:autoSpaceDE/>
              <w:autoSpaceDN/>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49316BE7"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Ga4</w:t>
            </w:r>
          </w:p>
        </w:tc>
        <w:tc>
          <w:tcPr>
            <w:tcW w:w="1878" w:type="dxa"/>
            <w:noWrap/>
            <w:vAlign w:val="center"/>
            <w:hideMark/>
          </w:tcPr>
          <w:p w14:paraId="08055CE8"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NTS2</w:t>
            </w:r>
          </w:p>
        </w:tc>
        <w:tc>
          <w:tcPr>
            <w:tcW w:w="3037" w:type="dxa"/>
            <w:noWrap/>
            <w:vAlign w:val="center"/>
            <w:hideMark/>
          </w:tcPr>
          <w:p w14:paraId="50C9D78B"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3800</w:t>
            </w:r>
            <w:r w:rsidRPr="001D5820">
              <w:rPr>
                <w:rFonts w:ascii="Times New Roman" w:hAnsi="Times New Roman" w:cs="Times New Roman" w:hint="eastAsia"/>
              </w:rPr>
              <w:t>±</w:t>
            </w:r>
            <w:r w:rsidRPr="001D5820">
              <w:rPr>
                <w:rFonts w:ascii="Times New Roman" w:hAnsi="Times New Roman" w:cs="Times New Roman" w:hint="eastAsia"/>
              </w:rPr>
              <w:t>1300</w:t>
            </w:r>
          </w:p>
        </w:tc>
        <w:tc>
          <w:tcPr>
            <w:tcW w:w="550" w:type="dxa"/>
            <w:vMerge/>
            <w:vAlign w:val="center"/>
          </w:tcPr>
          <w:p w14:paraId="6A5ED03A"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3E7A6063" w14:textId="77777777" w:rsidTr="00D759BE">
        <w:trPr>
          <w:trHeight w:val="340"/>
        </w:trPr>
        <w:tc>
          <w:tcPr>
            <w:tcW w:w="838" w:type="dxa"/>
            <w:vAlign w:val="center"/>
          </w:tcPr>
          <w:p w14:paraId="5B5D2D56"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20A12CF0"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Ga6</w:t>
            </w:r>
          </w:p>
        </w:tc>
        <w:tc>
          <w:tcPr>
            <w:tcW w:w="1878" w:type="dxa"/>
            <w:noWrap/>
            <w:vAlign w:val="center"/>
            <w:hideMark/>
          </w:tcPr>
          <w:p w14:paraId="6245ADDB"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NTS2</w:t>
            </w:r>
          </w:p>
        </w:tc>
        <w:tc>
          <w:tcPr>
            <w:tcW w:w="3037" w:type="dxa"/>
            <w:noWrap/>
            <w:vAlign w:val="center"/>
            <w:hideMark/>
          </w:tcPr>
          <w:p w14:paraId="262B8D04"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22</w:t>
            </w:r>
            <w:r w:rsidRPr="001D5820">
              <w:rPr>
                <w:rFonts w:ascii="Times New Roman" w:hAnsi="Times New Roman" w:cs="Times New Roman" w:hint="eastAsia"/>
              </w:rPr>
              <w:t>±</w:t>
            </w:r>
            <w:r w:rsidRPr="001D5820">
              <w:rPr>
                <w:rFonts w:ascii="Times New Roman" w:hAnsi="Times New Roman" w:cs="Times New Roman" w:hint="eastAsia"/>
              </w:rPr>
              <w:t>5.7</w:t>
            </w:r>
          </w:p>
        </w:tc>
        <w:tc>
          <w:tcPr>
            <w:tcW w:w="550" w:type="dxa"/>
            <w:vMerge/>
            <w:vAlign w:val="center"/>
          </w:tcPr>
          <w:p w14:paraId="6FCD9FDA"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00E8F3BC" w14:textId="77777777" w:rsidTr="00D759BE">
        <w:trPr>
          <w:trHeight w:val="340"/>
        </w:trPr>
        <w:tc>
          <w:tcPr>
            <w:tcW w:w="838" w:type="dxa"/>
            <w:vAlign w:val="center"/>
          </w:tcPr>
          <w:p w14:paraId="77D088E8"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16212F69"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Ga8</w:t>
            </w:r>
          </w:p>
        </w:tc>
        <w:tc>
          <w:tcPr>
            <w:tcW w:w="1878" w:type="dxa"/>
            <w:noWrap/>
            <w:vAlign w:val="center"/>
            <w:hideMark/>
          </w:tcPr>
          <w:p w14:paraId="12247DD4"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NTS2</w:t>
            </w:r>
          </w:p>
        </w:tc>
        <w:tc>
          <w:tcPr>
            <w:tcW w:w="3037" w:type="dxa"/>
            <w:noWrap/>
            <w:vAlign w:val="center"/>
            <w:hideMark/>
          </w:tcPr>
          <w:p w14:paraId="1CFBE7B6"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87</w:t>
            </w:r>
            <w:r w:rsidRPr="001D5820">
              <w:rPr>
                <w:rFonts w:ascii="Times New Roman" w:hAnsi="Times New Roman" w:cs="Times New Roman" w:hint="eastAsia"/>
              </w:rPr>
              <w:t>±</w:t>
            </w:r>
            <w:r w:rsidRPr="001D5820">
              <w:rPr>
                <w:rFonts w:ascii="Times New Roman" w:hAnsi="Times New Roman" w:cs="Times New Roman" w:hint="eastAsia"/>
              </w:rPr>
              <w:t>23</w:t>
            </w:r>
          </w:p>
        </w:tc>
        <w:tc>
          <w:tcPr>
            <w:tcW w:w="550" w:type="dxa"/>
            <w:vMerge/>
            <w:vAlign w:val="center"/>
          </w:tcPr>
          <w:p w14:paraId="06F505B7"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0DAFE5FE" w14:textId="77777777" w:rsidTr="00D759BE">
        <w:trPr>
          <w:trHeight w:val="340"/>
        </w:trPr>
        <w:tc>
          <w:tcPr>
            <w:tcW w:w="838" w:type="dxa"/>
            <w:vAlign w:val="center"/>
          </w:tcPr>
          <w:p w14:paraId="03DB13E5"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lastRenderedPageBreak/>
              <w:t>177</w:t>
            </w:r>
            <w:r w:rsidRPr="00D759BE">
              <w:rPr>
                <w:rFonts w:ascii="Times New Roman" w:eastAsia="Malgun Gothic" w:hAnsi="Times New Roman" w:cs="Times New Roman"/>
                <w:bCs/>
                <w:color w:val="000000"/>
              </w:rPr>
              <w:t>Lu</w:t>
            </w:r>
          </w:p>
        </w:tc>
        <w:tc>
          <w:tcPr>
            <w:tcW w:w="2713" w:type="dxa"/>
            <w:noWrap/>
            <w:vAlign w:val="center"/>
            <w:hideMark/>
          </w:tcPr>
          <w:p w14:paraId="0696EC32"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Lu-FAUC 469</w:t>
            </w:r>
          </w:p>
        </w:tc>
        <w:tc>
          <w:tcPr>
            <w:tcW w:w="1878" w:type="dxa"/>
            <w:noWrap/>
            <w:vAlign w:val="center"/>
            <w:hideMark/>
          </w:tcPr>
          <w:p w14:paraId="66EFFB62"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NTS1</w:t>
            </w:r>
          </w:p>
        </w:tc>
        <w:tc>
          <w:tcPr>
            <w:tcW w:w="3037" w:type="dxa"/>
            <w:noWrap/>
            <w:vAlign w:val="center"/>
            <w:hideMark/>
          </w:tcPr>
          <w:p w14:paraId="1F8BC887"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0.19</w:t>
            </w:r>
          </w:p>
        </w:tc>
        <w:tc>
          <w:tcPr>
            <w:tcW w:w="550" w:type="dxa"/>
            <w:vMerge w:val="restart"/>
            <w:vAlign w:val="center"/>
          </w:tcPr>
          <w:p w14:paraId="5098B6F6"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11EB0D06" w14:textId="77777777" w:rsidTr="00D759BE">
        <w:trPr>
          <w:trHeight w:val="340"/>
        </w:trPr>
        <w:tc>
          <w:tcPr>
            <w:tcW w:w="838" w:type="dxa"/>
            <w:vAlign w:val="center"/>
          </w:tcPr>
          <w:p w14:paraId="301706F5"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7E72BBFE"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Ga-CL 157</w:t>
            </w:r>
          </w:p>
        </w:tc>
        <w:tc>
          <w:tcPr>
            <w:tcW w:w="1878" w:type="dxa"/>
            <w:noWrap/>
            <w:vAlign w:val="center"/>
            <w:hideMark/>
          </w:tcPr>
          <w:p w14:paraId="12A2FB0F"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NTS1</w:t>
            </w:r>
          </w:p>
        </w:tc>
        <w:tc>
          <w:tcPr>
            <w:tcW w:w="3037" w:type="dxa"/>
            <w:noWrap/>
            <w:vAlign w:val="center"/>
            <w:hideMark/>
          </w:tcPr>
          <w:p w14:paraId="118624A0"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0.46</w:t>
            </w:r>
          </w:p>
        </w:tc>
        <w:tc>
          <w:tcPr>
            <w:tcW w:w="550" w:type="dxa"/>
            <w:vMerge/>
            <w:vAlign w:val="center"/>
          </w:tcPr>
          <w:p w14:paraId="6237CE1D"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7390C378" w14:textId="77777777" w:rsidTr="00D759BE">
        <w:trPr>
          <w:trHeight w:val="340"/>
        </w:trPr>
        <w:tc>
          <w:tcPr>
            <w:tcW w:w="838" w:type="dxa"/>
            <w:vAlign w:val="center"/>
          </w:tcPr>
          <w:p w14:paraId="015F5488"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177</w:t>
            </w:r>
            <w:r w:rsidRPr="00D759BE">
              <w:rPr>
                <w:rFonts w:ascii="Times New Roman" w:eastAsia="Malgun Gothic" w:hAnsi="Times New Roman" w:cs="Times New Roman"/>
                <w:bCs/>
                <w:color w:val="000000"/>
              </w:rPr>
              <w:t>Lu</w:t>
            </w:r>
          </w:p>
        </w:tc>
        <w:tc>
          <w:tcPr>
            <w:tcW w:w="2713" w:type="dxa"/>
            <w:noWrap/>
            <w:vAlign w:val="center"/>
            <w:hideMark/>
          </w:tcPr>
          <w:p w14:paraId="413AA578"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Lu-CL 162</w:t>
            </w:r>
          </w:p>
        </w:tc>
        <w:tc>
          <w:tcPr>
            <w:tcW w:w="1878" w:type="dxa"/>
            <w:noWrap/>
            <w:vAlign w:val="center"/>
            <w:hideMark/>
          </w:tcPr>
          <w:p w14:paraId="01EAD20D"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NTS1</w:t>
            </w:r>
          </w:p>
        </w:tc>
        <w:tc>
          <w:tcPr>
            <w:tcW w:w="3037" w:type="dxa"/>
            <w:noWrap/>
            <w:vAlign w:val="center"/>
            <w:hideMark/>
          </w:tcPr>
          <w:p w14:paraId="2888F96B"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0.18</w:t>
            </w:r>
          </w:p>
        </w:tc>
        <w:tc>
          <w:tcPr>
            <w:tcW w:w="550" w:type="dxa"/>
            <w:vMerge/>
            <w:vAlign w:val="center"/>
          </w:tcPr>
          <w:p w14:paraId="29D5364C"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015663CB" w14:textId="77777777" w:rsidTr="00D759BE">
        <w:trPr>
          <w:trHeight w:val="340"/>
        </w:trPr>
        <w:tc>
          <w:tcPr>
            <w:tcW w:w="838" w:type="dxa"/>
            <w:vAlign w:val="center"/>
          </w:tcPr>
          <w:p w14:paraId="13A7C5D6"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177</w:t>
            </w:r>
            <w:r w:rsidRPr="00D759BE">
              <w:rPr>
                <w:rFonts w:ascii="Times New Roman" w:eastAsia="Malgun Gothic" w:hAnsi="Times New Roman" w:cs="Times New Roman"/>
                <w:bCs/>
                <w:color w:val="000000"/>
              </w:rPr>
              <w:t>Lu</w:t>
            </w:r>
          </w:p>
        </w:tc>
        <w:tc>
          <w:tcPr>
            <w:tcW w:w="2713" w:type="dxa"/>
            <w:noWrap/>
            <w:vAlign w:val="center"/>
            <w:hideMark/>
          </w:tcPr>
          <w:p w14:paraId="265D644E"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Lu-FAUC 469</w:t>
            </w:r>
          </w:p>
        </w:tc>
        <w:tc>
          <w:tcPr>
            <w:tcW w:w="1878" w:type="dxa"/>
            <w:noWrap/>
            <w:vAlign w:val="center"/>
            <w:hideMark/>
          </w:tcPr>
          <w:p w14:paraId="67DDDBB3"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NTS2</w:t>
            </w:r>
          </w:p>
        </w:tc>
        <w:tc>
          <w:tcPr>
            <w:tcW w:w="3037" w:type="dxa"/>
            <w:noWrap/>
            <w:vAlign w:val="center"/>
            <w:hideMark/>
          </w:tcPr>
          <w:p w14:paraId="45425A4A"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13</w:t>
            </w:r>
          </w:p>
        </w:tc>
        <w:tc>
          <w:tcPr>
            <w:tcW w:w="550" w:type="dxa"/>
            <w:vMerge/>
            <w:vAlign w:val="center"/>
          </w:tcPr>
          <w:p w14:paraId="1D8E90D1"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2D542799" w14:textId="77777777" w:rsidTr="00D759BE">
        <w:trPr>
          <w:trHeight w:val="340"/>
        </w:trPr>
        <w:tc>
          <w:tcPr>
            <w:tcW w:w="838" w:type="dxa"/>
            <w:vAlign w:val="center"/>
          </w:tcPr>
          <w:p w14:paraId="6A3F0942"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0F5310C2"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Ga-CL 157</w:t>
            </w:r>
          </w:p>
        </w:tc>
        <w:tc>
          <w:tcPr>
            <w:tcW w:w="1878" w:type="dxa"/>
            <w:noWrap/>
            <w:vAlign w:val="center"/>
            <w:hideMark/>
          </w:tcPr>
          <w:p w14:paraId="00B69103"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NTS2</w:t>
            </w:r>
          </w:p>
        </w:tc>
        <w:tc>
          <w:tcPr>
            <w:tcW w:w="3037" w:type="dxa"/>
            <w:noWrap/>
            <w:vAlign w:val="center"/>
            <w:hideMark/>
          </w:tcPr>
          <w:p w14:paraId="76E5CBD8"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25</w:t>
            </w:r>
          </w:p>
        </w:tc>
        <w:tc>
          <w:tcPr>
            <w:tcW w:w="550" w:type="dxa"/>
            <w:vMerge/>
            <w:vAlign w:val="center"/>
          </w:tcPr>
          <w:p w14:paraId="68CA20AB"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73B00D61" w14:textId="77777777" w:rsidTr="00D759BE">
        <w:trPr>
          <w:trHeight w:val="340"/>
        </w:trPr>
        <w:tc>
          <w:tcPr>
            <w:tcW w:w="838" w:type="dxa"/>
            <w:vAlign w:val="center"/>
          </w:tcPr>
          <w:p w14:paraId="107FEC81"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177</w:t>
            </w:r>
            <w:r w:rsidRPr="00D759BE">
              <w:rPr>
                <w:rFonts w:ascii="Times New Roman" w:eastAsia="Malgun Gothic" w:hAnsi="Times New Roman" w:cs="Times New Roman"/>
                <w:bCs/>
                <w:color w:val="000000"/>
              </w:rPr>
              <w:t>Lu</w:t>
            </w:r>
          </w:p>
        </w:tc>
        <w:tc>
          <w:tcPr>
            <w:tcW w:w="2713" w:type="dxa"/>
            <w:noWrap/>
            <w:vAlign w:val="center"/>
            <w:hideMark/>
          </w:tcPr>
          <w:p w14:paraId="16A0D520"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Lu-CL 162</w:t>
            </w:r>
          </w:p>
        </w:tc>
        <w:tc>
          <w:tcPr>
            <w:tcW w:w="1878" w:type="dxa"/>
            <w:noWrap/>
            <w:vAlign w:val="center"/>
            <w:hideMark/>
          </w:tcPr>
          <w:p w14:paraId="331CF24F"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NTS2</w:t>
            </w:r>
          </w:p>
        </w:tc>
        <w:tc>
          <w:tcPr>
            <w:tcW w:w="3037" w:type="dxa"/>
            <w:noWrap/>
            <w:vAlign w:val="center"/>
            <w:hideMark/>
          </w:tcPr>
          <w:p w14:paraId="788897B0"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7.7</w:t>
            </w:r>
          </w:p>
        </w:tc>
        <w:tc>
          <w:tcPr>
            <w:tcW w:w="550" w:type="dxa"/>
            <w:vMerge/>
            <w:vAlign w:val="center"/>
          </w:tcPr>
          <w:p w14:paraId="2B3036B8"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5DC9F7A2" w14:textId="77777777" w:rsidTr="00D759BE">
        <w:trPr>
          <w:trHeight w:val="340"/>
        </w:trPr>
        <w:tc>
          <w:tcPr>
            <w:tcW w:w="838" w:type="dxa"/>
            <w:vAlign w:val="center"/>
          </w:tcPr>
          <w:p w14:paraId="43FE2897"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0868077E"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Ga-FAUC 468</w:t>
            </w:r>
          </w:p>
        </w:tc>
        <w:tc>
          <w:tcPr>
            <w:tcW w:w="1878" w:type="dxa"/>
            <w:noWrap/>
            <w:vAlign w:val="center"/>
            <w:hideMark/>
          </w:tcPr>
          <w:p w14:paraId="19F43010"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NTS1</w:t>
            </w:r>
          </w:p>
        </w:tc>
        <w:tc>
          <w:tcPr>
            <w:tcW w:w="3037" w:type="dxa"/>
            <w:noWrap/>
            <w:vAlign w:val="center"/>
            <w:hideMark/>
          </w:tcPr>
          <w:p w14:paraId="47E48DA2"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1.9</w:t>
            </w:r>
          </w:p>
        </w:tc>
        <w:tc>
          <w:tcPr>
            <w:tcW w:w="550" w:type="dxa"/>
            <w:vMerge/>
            <w:vAlign w:val="center"/>
          </w:tcPr>
          <w:p w14:paraId="261A660E"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2E619C3D" w14:textId="77777777" w:rsidTr="00D759BE">
        <w:trPr>
          <w:trHeight w:val="340"/>
        </w:trPr>
        <w:tc>
          <w:tcPr>
            <w:tcW w:w="838" w:type="dxa"/>
            <w:vAlign w:val="center"/>
          </w:tcPr>
          <w:p w14:paraId="282DE5CF"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177</w:t>
            </w:r>
            <w:r w:rsidRPr="00D759BE">
              <w:rPr>
                <w:rFonts w:ascii="Times New Roman" w:eastAsia="Malgun Gothic" w:hAnsi="Times New Roman" w:cs="Times New Roman"/>
                <w:bCs/>
                <w:color w:val="000000"/>
              </w:rPr>
              <w:t>Lu</w:t>
            </w:r>
          </w:p>
        </w:tc>
        <w:tc>
          <w:tcPr>
            <w:tcW w:w="2713" w:type="dxa"/>
            <w:noWrap/>
            <w:vAlign w:val="center"/>
            <w:hideMark/>
          </w:tcPr>
          <w:p w14:paraId="03D5F585"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Lu-FAUC 468</w:t>
            </w:r>
          </w:p>
        </w:tc>
        <w:tc>
          <w:tcPr>
            <w:tcW w:w="1878" w:type="dxa"/>
            <w:noWrap/>
            <w:vAlign w:val="center"/>
            <w:hideMark/>
          </w:tcPr>
          <w:p w14:paraId="42388F16"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NTS1</w:t>
            </w:r>
          </w:p>
        </w:tc>
        <w:tc>
          <w:tcPr>
            <w:tcW w:w="3037" w:type="dxa"/>
            <w:noWrap/>
            <w:vAlign w:val="center"/>
            <w:hideMark/>
          </w:tcPr>
          <w:p w14:paraId="0ED6196F"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100</w:t>
            </w:r>
          </w:p>
        </w:tc>
        <w:tc>
          <w:tcPr>
            <w:tcW w:w="550" w:type="dxa"/>
            <w:vMerge/>
            <w:vAlign w:val="center"/>
          </w:tcPr>
          <w:p w14:paraId="469A7404"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1AE498F8" w14:textId="77777777" w:rsidTr="00D759BE">
        <w:trPr>
          <w:trHeight w:val="340"/>
        </w:trPr>
        <w:tc>
          <w:tcPr>
            <w:tcW w:w="838" w:type="dxa"/>
            <w:vAlign w:val="center"/>
          </w:tcPr>
          <w:p w14:paraId="71B3A161"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1343028C"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Ga-CL 156</w:t>
            </w:r>
          </w:p>
        </w:tc>
        <w:tc>
          <w:tcPr>
            <w:tcW w:w="1878" w:type="dxa"/>
            <w:noWrap/>
            <w:vAlign w:val="center"/>
            <w:hideMark/>
          </w:tcPr>
          <w:p w14:paraId="0CC57587"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NTS1</w:t>
            </w:r>
          </w:p>
        </w:tc>
        <w:tc>
          <w:tcPr>
            <w:tcW w:w="3037" w:type="dxa"/>
            <w:noWrap/>
            <w:vAlign w:val="center"/>
            <w:hideMark/>
          </w:tcPr>
          <w:p w14:paraId="0E3A6628"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w:t>
            </w:r>
          </w:p>
        </w:tc>
        <w:tc>
          <w:tcPr>
            <w:tcW w:w="550" w:type="dxa"/>
            <w:vMerge/>
            <w:vAlign w:val="center"/>
          </w:tcPr>
          <w:p w14:paraId="716DC327"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29C3EA58" w14:textId="77777777" w:rsidTr="00D759BE">
        <w:trPr>
          <w:trHeight w:val="340"/>
        </w:trPr>
        <w:tc>
          <w:tcPr>
            <w:tcW w:w="838" w:type="dxa"/>
            <w:vAlign w:val="center"/>
          </w:tcPr>
          <w:p w14:paraId="4ECD27DA"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177</w:t>
            </w:r>
            <w:r w:rsidRPr="00D759BE">
              <w:rPr>
                <w:rFonts w:ascii="Times New Roman" w:eastAsia="Malgun Gothic" w:hAnsi="Times New Roman" w:cs="Times New Roman"/>
                <w:bCs/>
                <w:color w:val="000000"/>
              </w:rPr>
              <w:t>Lu</w:t>
            </w:r>
          </w:p>
        </w:tc>
        <w:tc>
          <w:tcPr>
            <w:tcW w:w="2713" w:type="dxa"/>
            <w:noWrap/>
            <w:vAlign w:val="center"/>
            <w:hideMark/>
          </w:tcPr>
          <w:p w14:paraId="2F7EB428"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Lu-CL 156</w:t>
            </w:r>
          </w:p>
        </w:tc>
        <w:tc>
          <w:tcPr>
            <w:tcW w:w="1878" w:type="dxa"/>
            <w:noWrap/>
            <w:vAlign w:val="center"/>
            <w:hideMark/>
          </w:tcPr>
          <w:p w14:paraId="2AD233D4"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NTS1</w:t>
            </w:r>
          </w:p>
        </w:tc>
        <w:tc>
          <w:tcPr>
            <w:tcW w:w="3037" w:type="dxa"/>
            <w:noWrap/>
            <w:vAlign w:val="center"/>
            <w:hideMark/>
          </w:tcPr>
          <w:p w14:paraId="5D1B28ED"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160</w:t>
            </w:r>
          </w:p>
        </w:tc>
        <w:tc>
          <w:tcPr>
            <w:tcW w:w="550" w:type="dxa"/>
            <w:vMerge/>
            <w:vAlign w:val="center"/>
          </w:tcPr>
          <w:p w14:paraId="75FDEEED"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09DEAEAF" w14:textId="77777777" w:rsidTr="00D759BE">
        <w:trPr>
          <w:trHeight w:val="340"/>
        </w:trPr>
        <w:tc>
          <w:tcPr>
            <w:tcW w:w="838" w:type="dxa"/>
            <w:vAlign w:val="center"/>
          </w:tcPr>
          <w:p w14:paraId="5C01E957"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5061915C"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Ga-P03083</w:t>
            </w:r>
          </w:p>
        </w:tc>
        <w:tc>
          <w:tcPr>
            <w:tcW w:w="1878" w:type="dxa"/>
            <w:noWrap/>
            <w:vAlign w:val="center"/>
            <w:hideMark/>
          </w:tcPr>
          <w:p w14:paraId="4A125FB2"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B1R</w:t>
            </w:r>
          </w:p>
        </w:tc>
        <w:tc>
          <w:tcPr>
            <w:tcW w:w="3037" w:type="dxa"/>
            <w:noWrap/>
            <w:vAlign w:val="center"/>
            <w:hideMark/>
          </w:tcPr>
          <w:p w14:paraId="3DEE115F"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 xml:space="preserve">2.6 </w:t>
            </w:r>
            <w:r w:rsidRPr="001D5820">
              <w:rPr>
                <w:rFonts w:ascii="Times New Roman" w:hAnsi="Times New Roman" w:cs="Times New Roman" w:hint="eastAsia"/>
              </w:rPr>
              <w:t>±</w:t>
            </w:r>
            <w:r w:rsidRPr="001D5820">
              <w:rPr>
                <w:rFonts w:ascii="Times New Roman" w:hAnsi="Times New Roman" w:cs="Times New Roman" w:hint="eastAsia"/>
              </w:rPr>
              <w:t xml:space="preserve"> 0.7</w:t>
            </w:r>
          </w:p>
        </w:tc>
        <w:tc>
          <w:tcPr>
            <w:tcW w:w="550" w:type="dxa"/>
            <w:vMerge w:val="restart"/>
            <w:vAlign w:val="center"/>
          </w:tcPr>
          <w:p w14:paraId="711D3DF4" w14:textId="77777777" w:rsidR="00BF52CC" w:rsidRPr="001D5820" w:rsidRDefault="00BF52CC" w:rsidP="00BF52CC">
            <w:pPr>
              <w:widowControl/>
              <w:wordWrap/>
              <w:autoSpaceDE/>
              <w:autoSpaceDN/>
              <w:jc w:val="center"/>
              <w:rPr>
                <w:rFonts w:ascii="Times New Roman" w:hAnsi="Times New Roman" w:cs="Times New Roman"/>
              </w:rPr>
            </w:pPr>
            <w:r>
              <w:rPr>
                <w:rFonts w:ascii="Times New Roman" w:hAnsi="Times New Roman" w:cs="Times New Roman"/>
              </w:rPr>
              <w:fldChar w:fldCharType="begin" w:fldLock="1"/>
            </w:r>
            <w:r>
              <w:rPr>
                <w:rFonts w:ascii="Times New Roman" w:hAnsi="Times New Roman" w:cs="Times New Roman"/>
              </w:rPr>
              <w:instrText>ADDIN CSL_CITATION {"citationItems":[{"id":"ITEM-1","itemData":{"DOI":"10.1158/0008-5472.CAN-14-1603/651591/AM/IN-VIVO-RADIOIMAGING-OF-BRADYKININ-RECEPTOR-B1-A","ISSN":"15387445","PMID":"25488751","abstract":"The bradykinin receptor B1R is overexpressed in many human cancers where it might be used as a general target for cancer imaging. In this study, we evaluated the feasibility of using radiolabeled kallidin derivatives to visualize B1R expression in a preclinical model of B1R-positive tumors. Three synthetic derivatives were evaluated in vitro and in vivo for receptor binding and their ability to visualize tumors by PET. Enalaprilat and phosphoramidon were used to evaluate the impact of peptidases on tumor visualization. While we found that radiolabeled peptides based on the native kallidin sequence were ineffective at visualizing B1R-positive tumors, peptidase inhibition with phosphoramidon greatly enhanced B1R visualization in vivo. Two stabilized derivatives incorporating unnatural amino acids (68Ga-SH01078 and 68Ga-P03034) maintained receptor-binding affinities that were effective, allowing excellent tumor visualization, minimal accumulation in normal tissues, and rapid renal clearance. Tumor uptake was blocked in the presence of excess competitor, confirming that the specificity of tumor accumulation was receptor mediated. Our results offer a preclinical proof of concept for noninvasive B1R detection by PET imaging as a general tool to visualize many human cancers.","author":[{"dropping-particle":"","family":"Lin","given":"Kuo Shyan","non-dropping-particle":"","parse-names":false,"suffix":""},{"dropping-particle":"","family":"Pan","given":"Jinhe","non-dropping-particle":"","parse-names":false,"suffix":""},{"dropping-particle":"","family":"Amouroux","given":"Guillaume","non-dropping-particle":"","parse-names":false,"suffix":""},{"dropping-particle":"","family":"Turashvili","given":"Gulisa","non-dropping-particle":"","parse-names":false,"suffix":""},{"dropping-particle":"","family":"Mesak","given":"Felix","non-dropping-particle":"","parse-names":false,"suffix":""},{"dropping-particle":"","family":"Hundal-Jabal","given":"Navjit","non-dropping-particle":"","parse-names":false,"suffix":""},{"dropping-particle":"","family":"Pourghiasian","given":"Maral","non-dropping-particle":"","parse-names":false,"suffix":""},{"dropping-particle":"","family":"Lau","given":"Joseph","non-dropping-particle":"","parse-names":false,"suffix":""},{"dropping-particle":"","family":"Jenni","given":"Silvia","non-dropping-particle":"","parse-names":false,"suffix":""},{"dropping-particle":"","family":"Aparicio","given":"Samuel","non-dropping-particle":"","parse-names":false,"suffix":""},{"dropping-particle":"","family":"Benard","given":"Francois","non-dropping-particle":"","parse-names":false,"suffix":""}],"container-title":"Cancer Research","id":"ITEM-1","issue":"2","issued":{"date-parts":[["2015","1","15"]]},"page":"387-393","publisher":"American Association for Cancer Research Inc.","title":"In vivo radioimaging of bradykinin receptor B1, a widely overexpressed molecule in human cancer","type":"article-journal","volume":"75"},"uris":["http://www.mendeley.com/documents/?uuid=16473d3c-d8a2-3f85-8f64-283a3541ea45"]}],"mendeley":{"formattedCitation":"[8]","plainTextFormattedCitation":"[8]","previouslyFormattedCitation":"[7]"},"properties":{"noteIndex":0},"schema":"https://github.com/citation-style-language/schema/raw/master/csl-citation.json"}</w:instrText>
            </w:r>
            <w:r>
              <w:rPr>
                <w:rFonts w:ascii="Times New Roman" w:hAnsi="Times New Roman" w:cs="Times New Roman"/>
              </w:rPr>
              <w:fldChar w:fldCharType="separate"/>
            </w:r>
            <w:r w:rsidRPr="008B7F9E">
              <w:rPr>
                <w:rFonts w:ascii="Times New Roman" w:hAnsi="Times New Roman" w:cs="Times New Roman"/>
                <w:noProof/>
              </w:rPr>
              <w:t>[8]</w:t>
            </w:r>
            <w:r>
              <w:rPr>
                <w:rFonts w:ascii="Times New Roman" w:hAnsi="Times New Roman" w:cs="Times New Roman"/>
              </w:rPr>
              <w:fldChar w:fldCharType="end"/>
            </w:r>
          </w:p>
        </w:tc>
      </w:tr>
      <w:tr w:rsidR="00BF52CC" w:rsidRPr="00455390" w14:paraId="34835D24" w14:textId="77777777" w:rsidTr="00D759BE">
        <w:trPr>
          <w:trHeight w:val="340"/>
        </w:trPr>
        <w:tc>
          <w:tcPr>
            <w:tcW w:w="838" w:type="dxa"/>
            <w:vAlign w:val="center"/>
          </w:tcPr>
          <w:p w14:paraId="3EE0188F"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361B0D80"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Ga-P03034</w:t>
            </w:r>
          </w:p>
        </w:tc>
        <w:tc>
          <w:tcPr>
            <w:tcW w:w="1878" w:type="dxa"/>
            <w:noWrap/>
            <w:vAlign w:val="center"/>
            <w:hideMark/>
          </w:tcPr>
          <w:p w14:paraId="46E1C263"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B1R</w:t>
            </w:r>
          </w:p>
        </w:tc>
        <w:tc>
          <w:tcPr>
            <w:tcW w:w="3037" w:type="dxa"/>
            <w:noWrap/>
            <w:vAlign w:val="center"/>
            <w:hideMark/>
          </w:tcPr>
          <w:p w14:paraId="5DEB3677"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 xml:space="preserve">16.0 </w:t>
            </w:r>
            <w:r w:rsidRPr="001D5820">
              <w:rPr>
                <w:rFonts w:ascii="Times New Roman" w:hAnsi="Times New Roman" w:cs="Times New Roman" w:hint="eastAsia"/>
              </w:rPr>
              <w:t>±</w:t>
            </w:r>
            <w:r w:rsidRPr="001D5820">
              <w:rPr>
                <w:rFonts w:ascii="Times New Roman" w:hAnsi="Times New Roman" w:cs="Times New Roman" w:hint="eastAsia"/>
              </w:rPr>
              <w:t xml:space="preserve"> 1.9</w:t>
            </w:r>
          </w:p>
        </w:tc>
        <w:tc>
          <w:tcPr>
            <w:tcW w:w="550" w:type="dxa"/>
            <w:vMerge/>
            <w:vAlign w:val="center"/>
          </w:tcPr>
          <w:p w14:paraId="23955FA7"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7A2792CF" w14:textId="77777777" w:rsidTr="00D759BE">
        <w:trPr>
          <w:trHeight w:val="340"/>
        </w:trPr>
        <w:tc>
          <w:tcPr>
            <w:tcW w:w="838" w:type="dxa"/>
            <w:vAlign w:val="center"/>
          </w:tcPr>
          <w:p w14:paraId="2E98EEE4" w14:textId="77777777" w:rsidR="00BF52CC" w:rsidRPr="00D759BE" w:rsidRDefault="00BF52CC" w:rsidP="00BF52CC">
            <w:pPr>
              <w:widowControl/>
              <w:wordWrap/>
              <w:autoSpaceDE/>
              <w:autoSpaceDN/>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3C117F3D"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Ga-Sh01078</w:t>
            </w:r>
          </w:p>
        </w:tc>
        <w:tc>
          <w:tcPr>
            <w:tcW w:w="1878" w:type="dxa"/>
            <w:noWrap/>
            <w:vAlign w:val="center"/>
            <w:hideMark/>
          </w:tcPr>
          <w:p w14:paraId="064B1BE8"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B1R</w:t>
            </w:r>
          </w:p>
        </w:tc>
        <w:tc>
          <w:tcPr>
            <w:tcW w:w="3037" w:type="dxa"/>
            <w:noWrap/>
            <w:vAlign w:val="center"/>
            <w:hideMark/>
          </w:tcPr>
          <w:p w14:paraId="0A7A5778"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 xml:space="preserve">27.8 </w:t>
            </w:r>
            <w:r w:rsidRPr="001D5820">
              <w:rPr>
                <w:rFonts w:ascii="Times New Roman" w:hAnsi="Times New Roman" w:cs="Times New Roman" w:hint="eastAsia"/>
              </w:rPr>
              <w:t>±</w:t>
            </w:r>
            <w:r w:rsidRPr="001D5820">
              <w:rPr>
                <w:rFonts w:ascii="Times New Roman" w:hAnsi="Times New Roman" w:cs="Times New Roman" w:hint="eastAsia"/>
              </w:rPr>
              <w:t xml:space="preserve"> 4.9</w:t>
            </w:r>
          </w:p>
        </w:tc>
        <w:tc>
          <w:tcPr>
            <w:tcW w:w="550" w:type="dxa"/>
            <w:vMerge/>
            <w:vAlign w:val="center"/>
          </w:tcPr>
          <w:p w14:paraId="127A5550"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07A3F8B8" w14:textId="77777777" w:rsidTr="00D759BE">
        <w:trPr>
          <w:trHeight w:val="340"/>
        </w:trPr>
        <w:tc>
          <w:tcPr>
            <w:tcW w:w="838" w:type="dxa"/>
            <w:vAlign w:val="center"/>
          </w:tcPr>
          <w:p w14:paraId="5B380A9B"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0FFBBC72"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Ga-P014158</w:t>
            </w:r>
          </w:p>
        </w:tc>
        <w:tc>
          <w:tcPr>
            <w:tcW w:w="1878" w:type="dxa"/>
            <w:noWrap/>
            <w:vAlign w:val="center"/>
            <w:hideMark/>
          </w:tcPr>
          <w:p w14:paraId="4779169D"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B1R</w:t>
            </w:r>
          </w:p>
        </w:tc>
        <w:tc>
          <w:tcPr>
            <w:tcW w:w="3037" w:type="dxa"/>
            <w:noWrap/>
            <w:vAlign w:val="center"/>
            <w:hideMark/>
          </w:tcPr>
          <w:p w14:paraId="0B655D87"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 xml:space="preserve">1.5 </w:t>
            </w:r>
            <w:r w:rsidRPr="001D5820">
              <w:rPr>
                <w:rFonts w:ascii="Times New Roman" w:hAnsi="Times New Roman" w:cs="Times New Roman" w:hint="eastAsia"/>
              </w:rPr>
              <w:t>±</w:t>
            </w:r>
            <w:r w:rsidRPr="001D5820">
              <w:rPr>
                <w:rFonts w:ascii="Times New Roman" w:hAnsi="Times New Roman" w:cs="Times New Roman" w:hint="eastAsia"/>
              </w:rPr>
              <w:t xml:space="preserve"> 1.9</w:t>
            </w:r>
          </w:p>
        </w:tc>
        <w:tc>
          <w:tcPr>
            <w:tcW w:w="550" w:type="dxa"/>
            <w:vMerge w:val="restart"/>
            <w:vAlign w:val="center"/>
          </w:tcPr>
          <w:p w14:paraId="4AC1CB60" w14:textId="77777777" w:rsidR="00BF52CC" w:rsidRPr="001D5820" w:rsidRDefault="00BF52CC" w:rsidP="00BF52CC">
            <w:pPr>
              <w:widowControl/>
              <w:wordWrap/>
              <w:autoSpaceDE/>
              <w:autoSpaceDN/>
              <w:jc w:val="center"/>
              <w:rPr>
                <w:rFonts w:ascii="Times New Roman" w:hAnsi="Times New Roman" w:cs="Times New Roman"/>
              </w:rPr>
            </w:pPr>
            <w:r>
              <w:rPr>
                <w:rFonts w:ascii="Times New Roman" w:hAnsi="Times New Roman" w:cs="Times New Roman"/>
              </w:rPr>
              <w:fldChar w:fldCharType="begin" w:fldLock="1"/>
            </w:r>
            <w:r>
              <w:rPr>
                <w:rFonts w:ascii="Times New Roman" w:hAnsi="Times New Roman" w:cs="Times New Roman"/>
              </w:rPr>
              <w:instrText>ADDIN CSL_CITATION {"citationItems":[{"id":"ITEM-1","itemData":{"DOI":"10.2967/JNUMED.114.152132","ISSN":"0161-5505","PMID":"25745086","abstract":"Bradykinin B1 receptor (B1R) is a G-protein–coupled receptor that is overexpressed in a variety of cancers. B1R is not expressed in healthy tissues, making it an attractive cancer imaging marker. Previously, we reported selective uptake of 68Ga-P03034 (68Ga-DOTA-dPEG2-Lys-Arg-Pro-Hyp-Gly-Cha-Ser-Pro-Leu) in B1R-positive (B1R+) HEK293T::hB1R tumor xenografts in mice. In this study, we compare 68Ga-P03034 with 68Ga-labeled P04158 (68Ga-DOTA-dPEG2-Lys-Lys-Arg-Pro-Hyp-Gly-Igl-Ser-D-Igl-Oic) and Z02090 (68Ga-DOTA-dPEG2-Lys-Lys-Arg-Pro-Hyp-Gly-Cpg-Ser-D-Tic-Cpg) derived from 2 potent B1R antagonists, B9858 and B9958, respectively, for imaging B1R expression with PET. Methods: Peptide sequences were assembled on solid-phase. Cold standards were prepared by incubating DOTA-conjugated peptides with GaCl3. Binding affinity was measured via competition binding assays usin</w:instrText>
            </w:r>
            <w:r>
              <w:rPr>
                <w:rFonts w:ascii="Times New Roman" w:hAnsi="Times New Roman" w:cs="Times New Roman" w:hint="eastAsia"/>
              </w:rPr>
              <w:instrText xml:space="preserve">g hB1R-expressing Chinese hamster ovary-K1 cell membranes. 68Ga labeling was performed in N -(2-hydroxyethyl)piperazine- N </w:instrText>
            </w:r>
            <w:r>
              <w:rPr>
                <w:rFonts w:ascii="Times New Roman" w:hAnsi="Times New Roman" w:cs="Times New Roman" w:hint="eastAsia"/>
              </w:rPr>
              <w:instrText>′</w:instrText>
            </w:r>
            <w:r>
              <w:rPr>
                <w:rFonts w:ascii="Times New Roman" w:hAnsi="Times New Roman" w:cs="Times New Roman" w:hint="eastAsia"/>
              </w:rPr>
              <w:instrText>-(2-ethanesulfonic acid) buffer with microwave heating and purified by high-performance liquid chromatography. Imaging/biodistribut</w:instrText>
            </w:r>
            <w:r>
              <w:rPr>
                <w:rFonts w:ascii="Times New Roman" w:hAnsi="Times New Roman" w:cs="Times New Roman"/>
              </w:rPr>
              <w:instrText>ion studies were performed in mice bearing wild-type HEK293T (B1R−) and B1R+ HEK293T::hB1R tumors. Results: P03034, P04158, and Z02090 bound B1R with high affinity, with Ki values at 16.0 ± 2.9, 1.5 ± 1.9, and 1.1 ± 0.8 nM, respectively. 68Ga-labeled P03034, P04159, and Z02090 were obtained in greater than 50% decay-corrected radiochemical yields with more than 99% radiochemical purity. Biodistribution studies showed that all three 68Ga-labeled tracers cleared rapidly from the blood and normal tissues, with excretion mainly via the renal pathway. At 1 h after injection, only the kidneys, bladders, and B1R+ HEK293T::hB1R tumors were clearly visualized in PET images. Uptake values of 68Ga-labeled P03034, P04158, and Z02090 in B1R+ tumors were 2.17 ± 0.49, 19.6 ± 4.50, and 14.4 ± 1.63 percentage injected dose per gram, respectively. Uptake ratios of B1R+ to B1R− tumor, blood, and muscle were 6.23 ± 1.69, 5.72 ± 2.20, and 25.5 ± 13.1 for 68Ga-P03034; 34.5 ± 10.5, 19.2 ± 8.21, and 66.1 ± 17.0 for 68Ga-P04158; and 29.3 ± 9.68, 29.9 ± 5.58, and 124 ± 28.1 for 68Ga-Z02090, respectively. Conclusion: All three 68Ga-labeled B1R-targeting peptides generated specific and high-contrasted images of B1R+ tumors xenografted in mice. With significantly higher tumor uptake and target-to-nontarget ratios, 68Ga-labeled P04158 and Z02090 are superior to P03034 for imag…","author":[{"dropping-particle":"","family":"Lin","given":"Kuo Shyan","non-dropping-particle":"","parse-names":false,"suffix":""},{"dropping-particle":"","family":"Amouroux","given":"Guillaume","non-dropping-particle":"","parse-names":false,"suffix":""},{"dropping-particle":"","family":"Pan","given":"Jinhe","non-dropping-particle":"","parse-names":false,"suffix":""},{"dropping-particle":"","family":"Zhang","given":"Zhengxing","non-dropping-particle":"","parse-names":false,"suffix":""},{"dropping-particle":"","family":"Jenni","given":"Silvia","non-dropping-particle":"","parse-names":false,"suffix":""},{"dropping-particle":"","family":"Lau","given":"Joseph","non-dropping-particle":"","parse-names":false,"suffix":""},{"dropping-particle":"","family":"Liu","given":"Zhibo","non-dropping-particle":"","parse-names":false,"suffix":""},{"dropping-particle":"","family":"Hundal-Jabal","given":"Navjit","non-dropping-particle":"","parse-names":false,"suffix":""},{"dropping-particle":"","family":"Colpo","given":"Nadine","non-dropping-particle":"","parse-names":false,"suffix":""},{"dropping-particle":"","family":"Bénard","given":"François","non-dropping-particle":"","parse-names":false,"suffix":""}],"container-title":"Journal of Nuclear Medicine","id":"ITEM-1","issue":"4","issued":{"date-parts":[["2015","4","1"]]},"page":"622-627","publisher":"Society of Nuclear Medicine","title":"Comparative Studies of Three 68Ga-Labeled [Des-Arg10]Kallidin Derivatives for Imaging Bradykinin B1 Receptor Expression with PET","type":"article-journal","volume":"56"},"uris":["http://www.mendeley.com/documents/?uuid=397b5d03-9365-392e-8413-1572a5c49264"]}],"mendeley":{"formattedCitation":"[9]","plainTextFormattedCitation":"[9]","previouslyFormattedCitation":"[8]"},"properties":{"noteIndex":0},"schema":"https://github.com/citation-style-language/schema/raw/master/csl-citation.json"}</w:instrText>
            </w:r>
            <w:r>
              <w:rPr>
                <w:rFonts w:ascii="Times New Roman" w:hAnsi="Times New Roman" w:cs="Times New Roman"/>
              </w:rPr>
              <w:fldChar w:fldCharType="separate"/>
            </w:r>
            <w:r w:rsidRPr="008B7F9E">
              <w:rPr>
                <w:rFonts w:ascii="Times New Roman" w:hAnsi="Times New Roman" w:cs="Times New Roman"/>
                <w:noProof/>
              </w:rPr>
              <w:t>[9]</w:t>
            </w:r>
            <w:r>
              <w:rPr>
                <w:rFonts w:ascii="Times New Roman" w:hAnsi="Times New Roman" w:cs="Times New Roman"/>
              </w:rPr>
              <w:fldChar w:fldCharType="end"/>
            </w:r>
          </w:p>
        </w:tc>
      </w:tr>
      <w:tr w:rsidR="00BF52CC" w:rsidRPr="00455390" w14:paraId="063046F1" w14:textId="77777777" w:rsidTr="00D759BE">
        <w:trPr>
          <w:trHeight w:val="340"/>
        </w:trPr>
        <w:tc>
          <w:tcPr>
            <w:tcW w:w="838" w:type="dxa"/>
            <w:vAlign w:val="center"/>
          </w:tcPr>
          <w:p w14:paraId="38897253"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0BF3BEEF"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Ga-Z02090</w:t>
            </w:r>
          </w:p>
        </w:tc>
        <w:tc>
          <w:tcPr>
            <w:tcW w:w="1878" w:type="dxa"/>
            <w:noWrap/>
            <w:vAlign w:val="center"/>
            <w:hideMark/>
          </w:tcPr>
          <w:p w14:paraId="20F09611"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B1R</w:t>
            </w:r>
          </w:p>
        </w:tc>
        <w:tc>
          <w:tcPr>
            <w:tcW w:w="3037" w:type="dxa"/>
            <w:noWrap/>
            <w:vAlign w:val="center"/>
            <w:hideMark/>
          </w:tcPr>
          <w:p w14:paraId="48B9C957"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 xml:space="preserve">1.1 </w:t>
            </w:r>
            <w:r w:rsidRPr="001D5820">
              <w:rPr>
                <w:rFonts w:ascii="Times New Roman" w:hAnsi="Times New Roman" w:cs="Times New Roman" w:hint="eastAsia"/>
              </w:rPr>
              <w:t>±</w:t>
            </w:r>
            <w:r w:rsidRPr="001D5820">
              <w:rPr>
                <w:rFonts w:ascii="Times New Roman" w:hAnsi="Times New Roman" w:cs="Times New Roman" w:hint="eastAsia"/>
              </w:rPr>
              <w:t xml:space="preserve"> 0.8</w:t>
            </w:r>
          </w:p>
        </w:tc>
        <w:tc>
          <w:tcPr>
            <w:tcW w:w="550" w:type="dxa"/>
            <w:vMerge/>
            <w:vAlign w:val="center"/>
          </w:tcPr>
          <w:p w14:paraId="1A6DED2B"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4017CEB2" w14:textId="77777777" w:rsidTr="00D759BE">
        <w:trPr>
          <w:trHeight w:val="340"/>
        </w:trPr>
        <w:tc>
          <w:tcPr>
            <w:tcW w:w="838" w:type="dxa"/>
            <w:vAlign w:val="center"/>
          </w:tcPr>
          <w:p w14:paraId="051E477F"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123</w:t>
            </w:r>
            <w:r w:rsidRPr="00D759BE">
              <w:rPr>
                <w:rFonts w:ascii="Times New Roman" w:eastAsia="Malgun Gothic" w:hAnsi="Times New Roman" w:cs="Times New Roman"/>
                <w:bCs/>
                <w:color w:val="000000"/>
              </w:rPr>
              <w:t>I</w:t>
            </w:r>
          </w:p>
        </w:tc>
        <w:tc>
          <w:tcPr>
            <w:tcW w:w="2713" w:type="dxa"/>
            <w:vAlign w:val="center"/>
            <w:hideMark/>
          </w:tcPr>
          <w:p w14:paraId="75A99299"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4-(4-</w:t>
            </w:r>
            <w:proofErr w:type="gramStart"/>
            <w:r w:rsidRPr="001D5820">
              <w:rPr>
                <w:rFonts w:ascii="Times New Roman" w:hAnsi="Times New Roman" w:cs="Times New Roman" w:hint="eastAsia"/>
              </w:rPr>
              <w:t>Iodophenyl)</w:t>
            </w:r>
            <w:proofErr w:type="spellStart"/>
            <w:r w:rsidRPr="001D5820">
              <w:rPr>
                <w:rFonts w:ascii="Times New Roman" w:hAnsi="Times New Roman" w:cs="Times New Roman" w:hint="eastAsia"/>
              </w:rPr>
              <w:t>butanoyl</w:t>
            </w:r>
            <w:proofErr w:type="spellEnd"/>
            <w:proofErr w:type="gramEnd"/>
            <w:r w:rsidRPr="001D5820">
              <w:rPr>
                <w:rFonts w:ascii="Times New Roman" w:hAnsi="Times New Roman" w:cs="Times New Roman" w:hint="eastAsia"/>
              </w:rPr>
              <w:t>-l-prolyl-pyrrolidine</w:t>
            </w:r>
          </w:p>
        </w:tc>
        <w:tc>
          <w:tcPr>
            <w:tcW w:w="1878" w:type="dxa"/>
            <w:noWrap/>
            <w:vAlign w:val="center"/>
            <w:hideMark/>
          </w:tcPr>
          <w:p w14:paraId="0569F205"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Prolyl endopeptidase</w:t>
            </w:r>
          </w:p>
        </w:tc>
        <w:tc>
          <w:tcPr>
            <w:tcW w:w="3037" w:type="dxa"/>
            <w:noWrap/>
            <w:vAlign w:val="center"/>
            <w:hideMark/>
          </w:tcPr>
          <w:p w14:paraId="4C7655CD"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22</w:t>
            </w:r>
          </w:p>
        </w:tc>
        <w:tc>
          <w:tcPr>
            <w:tcW w:w="550" w:type="dxa"/>
            <w:vMerge w:val="restart"/>
            <w:vAlign w:val="center"/>
          </w:tcPr>
          <w:p w14:paraId="72C664D9" w14:textId="77777777" w:rsidR="00BF52CC" w:rsidRPr="001D5820" w:rsidRDefault="00BF52CC" w:rsidP="00BF52CC">
            <w:pPr>
              <w:widowControl/>
              <w:wordWrap/>
              <w:autoSpaceDE/>
              <w:autoSpaceDN/>
              <w:jc w:val="center"/>
              <w:rPr>
                <w:rFonts w:ascii="Times New Roman" w:hAnsi="Times New Roman" w:cs="Times New Roman"/>
              </w:rPr>
            </w:pPr>
            <w:r>
              <w:rPr>
                <w:rFonts w:ascii="Times New Roman" w:hAnsi="Times New Roman" w:cs="Times New Roman"/>
              </w:rPr>
              <w:fldChar w:fldCharType="begin" w:fldLock="1"/>
            </w:r>
            <w:r>
              <w:rPr>
                <w:rFonts w:ascii="Times New Roman" w:hAnsi="Times New Roman" w:cs="Times New Roman"/>
              </w:rPr>
              <w:instrText>ADDIN CSL_CITATION {"citationItems":[{"id":"ITEM-1","itemData":{"DOI":"10.1016/J.EJMECH.2014.04.014","ISSN":"0223-5234","PMID":"24763264","abstract":"Prolyl oligopeptidase (POP) may be associated with neuromodulation and development of neurodegenerative diseases and it was recently shown to participate in the inflammatory cascade along with matrix metalloproteinases. Radiotracers, which can be used for non-invasive imaging, are needed for investigating the role of POP in normal physiology and in pathophysiological conditions in vivo. We synthesized two novel POP-specific 123I- radiolabeled 4-phenylbutanoyl-l-prolyl-pyrrolidines of which 4-(4-[ 123I]iodophenyl)butanoyl-l-prolyl-2(S)-cyanopyrrolidine ([ 123I]2f, Ki = 4.2 nM) was selected. The selected compound has an electrophilic cyano group that is known to increase the dissociation time of POP inhibitors. [123I]2f was synthesized in high radiochemical yield and purity (87 ± 4%, &gt;99%, respectively) and with a specific activity of 456 ± 98 GBq/μmol. [123I]2f was evaluated in healthy mice (C57Bl/6JRccHsd) by ex vivo biodistribution studies and SPECT imaging. Pretreatment with the known inhibitor 4-phenylbutanoyl-l-prolyl-(2S)- cyanopyrrolidine (KYP-2047, 2d, Ki = 0.023 nM) showed that binding of [123I]2f was POP specific. In addition, [123I]2f was evaluated in models of neuroinflammation and acute localized inflammation. A minor increase in binding of [123I]2f was observed in the inflamed region in the acute localized inflammation model. Similar increase in binding was not observed in the neuroinflammation model. © 2014 Elsevier Masson SAS. All rights reserved.","author":[{"dropping-particle":"","family":"Kallinen","given":"Annukka","non-dropping-particle":"","parse-names":false,"suffix":""},{"dropping-particle":"","family":"Todorov","given":"Boyan","non-dropping-particle":"","parse-names":false,"suffix":""},{"dropping-particle":"","family":"Kallionpää","given":"Roope","non-dropping-particle":"","parse-names":false,"suffix":""},{"dropping-particle":"","family":"Bäck","given":"Susanne","non-dropping-particle":"","parse-names":false,"suffix":""},{"dropping-particle":"","family":"Sarparanta","given":"Mirkka","non-dropping-particle":"","parse-names":false,"suffix":""},{"dropping-particle":"","family":"Raki","given":"Mari","non-dropping-particle":"","parse-names":false,"suffix":""},{"dropping-particle":"","family":"García-Horsman","given":"Juan A.","non-dropping-particle":"","parse-names":false,"suffix":""},{"dropping-particle":"","family":"Bergström","given":"Kim A.","non-dropping-particle":"","parse-names":false,"suffix":""},{"dropping-particle":"","family":"Wallén","given":"Erik A.A.","non-dropping-particle":"","parse-names":false,"suffix":""},{"dropping-particle":"","family":"Männistö","given":"Pekka T.","non-dropping-particle":"","parse-names":false,"suffix":""},{"dropping-particle":"","family":"Airaksinen","given":"Anu J.","non-dropping-particle":"","parse-names":false,"suffix":""}],"container-title":"European Journal of Medicinal Chemistry","id":"ITEM-1","issued":{"date-parts":[["2014","5","22"]]},"page":"436-445","publisher":"Elsevier Masson","title":"Synthesis and biological evaluation of novel 123I-labeled 4-(4-iodophenyl)butanoyl-l-prolyl-(2S)-pyrrolidines for imaging prolyl oligopeptidase in vivo","type":"article-journal","volume":"79"},"uris":["http://www.mendeley.com/documents/?uuid=adf781d2-3ee9-3eb6-a833-e2a4e185f8a5"]}],"mendeley":{"formattedCitation":"[10]","plainTextFormattedCitation":"[10]","previouslyFormattedCitation":"[9]"},"properties":{"noteIndex":0},"schema":"https://github.com/citation-style-language/schema/raw/master/csl-citation.json"}</w:instrText>
            </w:r>
            <w:r>
              <w:rPr>
                <w:rFonts w:ascii="Times New Roman" w:hAnsi="Times New Roman" w:cs="Times New Roman"/>
              </w:rPr>
              <w:fldChar w:fldCharType="separate"/>
            </w:r>
            <w:r w:rsidRPr="008B7F9E">
              <w:rPr>
                <w:rFonts w:ascii="Times New Roman" w:hAnsi="Times New Roman" w:cs="Times New Roman"/>
                <w:noProof/>
              </w:rPr>
              <w:t>[10]</w:t>
            </w:r>
            <w:r>
              <w:rPr>
                <w:rFonts w:ascii="Times New Roman" w:hAnsi="Times New Roman" w:cs="Times New Roman"/>
              </w:rPr>
              <w:fldChar w:fldCharType="end"/>
            </w:r>
          </w:p>
        </w:tc>
      </w:tr>
      <w:tr w:rsidR="00BF52CC" w:rsidRPr="00455390" w14:paraId="19A8A1C2" w14:textId="77777777" w:rsidTr="00D759BE">
        <w:trPr>
          <w:trHeight w:val="340"/>
        </w:trPr>
        <w:tc>
          <w:tcPr>
            <w:tcW w:w="838" w:type="dxa"/>
            <w:vAlign w:val="center"/>
          </w:tcPr>
          <w:p w14:paraId="6C6151DC"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123</w:t>
            </w:r>
            <w:r w:rsidRPr="00D759BE">
              <w:rPr>
                <w:rFonts w:ascii="Times New Roman" w:eastAsia="Malgun Gothic" w:hAnsi="Times New Roman" w:cs="Times New Roman"/>
                <w:bCs/>
                <w:color w:val="000000"/>
              </w:rPr>
              <w:t>I</w:t>
            </w:r>
          </w:p>
        </w:tc>
        <w:tc>
          <w:tcPr>
            <w:tcW w:w="2713" w:type="dxa"/>
            <w:vAlign w:val="center"/>
            <w:hideMark/>
          </w:tcPr>
          <w:p w14:paraId="6C8E64E6"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4-(4-</w:t>
            </w:r>
            <w:proofErr w:type="gramStart"/>
            <w:r w:rsidRPr="001D5820">
              <w:rPr>
                <w:rFonts w:ascii="Times New Roman" w:hAnsi="Times New Roman" w:cs="Times New Roman" w:hint="eastAsia"/>
              </w:rPr>
              <w:t>Iodophenyl)butanoyl</w:t>
            </w:r>
            <w:proofErr w:type="gramEnd"/>
            <w:r w:rsidRPr="001D5820">
              <w:rPr>
                <w:rFonts w:ascii="Times New Roman" w:hAnsi="Times New Roman" w:cs="Times New Roman" w:hint="eastAsia"/>
              </w:rPr>
              <w:t>-l-prolyl-2(</w:t>
            </w:r>
            <w:r w:rsidRPr="001D5820">
              <w:rPr>
                <w:rFonts w:ascii="Times New Roman" w:hAnsi="Times New Roman" w:cs="Times New Roman" w:hint="eastAsia"/>
                <w:i/>
                <w:iCs/>
              </w:rPr>
              <w:t>S</w:t>
            </w:r>
            <w:r w:rsidRPr="001D5820">
              <w:rPr>
                <w:rFonts w:ascii="Times New Roman" w:hAnsi="Times New Roman" w:cs="Times New Roman" w:hint="eastAsia"/>
              </w:rPr>
              <w:t>)-</w:t>
            </w:r>
            <w:proofErr w:type="spellStart"/>
            <w:r w:rsidRPr="001D5820">
              <w:rPr>
                <w:rFonts w:ascii="Times New Roman" w:hAnsi="Times New Roman" w:cs="Times New Roman" w:hint="eastAsia"/>
              </w:rPr>
              <w:t>cyanopyrrolidine</w:t>
            </w:r>
            <w:proofErr w:type="spellEnd"/>
          </w:p>
        </w:tc>
        <w:tc>
          <w:tcPr>
            <w:tcW w:w="1878" w:type="dxa"/>
            <w:noWrap/>
            <w:vAlign w:val="center"/>
            <w:hideMark/>
          </w:tcPr>
          <w:p w14:paraId="2DC1AEB0"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Prolyl endopeptidase</w:t>
            </w:r>
          </w:p>
        </w:tc>
        <w:tc>
          <w:tcPr>
            <w:tcW w:w="3037" w:type="dxa"/>
            <w:noWrap/>
            <w:vAlign w:val="center"/>
            <w:hideMark/>
          </w:tcPr>
          <w:p w14:paraId="7A575566"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4.2</w:t>
            </w:r>
          </w:p>
        </w:tc>
        <w:tc>
          <w:tcPr>
            <w:tcW w:w="550" w:type="dxa"/>
            <w:vMerge/>
            <w:vAlign w:val="center"/>
          </w:tcPr>
          <w:p w14:paraId="0374247E"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02873A26" w14:textId="77777777" w:rsidTr="00D759BE">
        <w:trPr>
          <w:trHeight w:val="340"/>
        </w:trPr>
        <w:tc>
          <w:tcPr>
            <w:tcW w:w="838" w:type="dxa"/>
            <w:vAlign w:val="center"/>
          </w:tcPr>
          <w:p w14:paraId="75525ADA"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64</w:t>
            </w:r>
            <w:r w:rsidRPr="00D759BE">
              <w:rPr>
                <w:rFonts w:ascii="Times New Roman" w:eastAsia="Malgun Gothic" w:hAnsi="Times New Roman" w:cs="Times New Roman"/>
                <w:bCs/>
                <w:color w:val="000000"/>
              </w:rPr>
              <w:t>Cu</w:t>
            </w:r>
          </w:p>
        </w:tc>
        <w:tc>
          <w:tcPr>
            <w:tcW w:w="2713" w:type="dxa"/>
            <w:noWrap/>
            <w:vAlign w:val="center"/>
            <w:hideMark/>
          </w:tcPr>
          <w:p w14:paraId="7374530E"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64Cu-NOTA-PSMA</w:t>
            </w:r>
          </w:p>
        </w:tc>
        <w:tc>
          <w:tcPr>
            <w:tcW w:w="1878" w:type="dxa"/>
            <w:noWrap/>
            <w:vAlign w:val="center"/>
            <w:hideMark/>
          </w:tcPr>
          <w:p w14:paraId="50A335A6" w14:textId="77777777" w:rsidR="00BF52CC" w:rsidRPr="001D5820" w:rsidRDefault="00BF52CC" w:rsidP="00BF52CC">
            <w:pPr>
              <w:widowControl/>
              <w:wordWrap/>
              <w:autoSpaceDE/>
              <w:autoSpaceDN/>
              <w:jc w:val="center"/>
              <w:rPr>
                <w:rFonts w:ascii="Times New Roman" w:hAnsi="Times New Roman" w:cs="Times New Roman"/>
              </w:rPr>
            </w:pPr>
            <w:r>
              <w:rPr>
                <w:rFonts w:ascii="Times New Roman" w:hAnsi="Times New Roman" w:cs="Times New Roman"/>
              </w:rPr>
              <w:t>PSMA</w:t>
            </w:r>
          </w:p>
        </w:tc>
        <w:tc>
          <w:tcPr>
            <w:tcW w:w="3037" w:type="dxa"/>
            <w:noWrap/>
            <w:vAlign w:val="center"/>
            <w:hideMark/>
          </w:tcPr>
          <w:p w14:paraId="204DFAFF"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2.17</w:t>
            </w:r>
            <w:r w:rsidRPr="001D5820">
              <w:rPr>
                <w:rFonts w:ascii="Times New Roman" w:hAnsi="Times New Roman" w:cs="Times New Roman" w:hint="eastAsia"/>
              </w:rPr>
              <w:t>±</w:t>
            </w:r>
            <w:r w:rsidRPr="001D5820">
              <w:rPr>
                <w:rFonts w:ascii="Times New Roman" w:hAnsi="Times New Roman" w:cs="Times New Roman" w:hint="eastAsia"/>
              </w:rPr>
              <w:t>0.25</w:t>
            </w:r>
          </w:p>
        </w:tc>
        <w:tc>
          <w:tcPr>
            <w:tcW w:w="550" w:type="dxa"/>
            <w:vMerge w:val="restart"/>
            <w:vAlign w:val="center"/>
          </w:tcPr>
          <w:p w14:paraId="6AA2CC5F" w14:textId="77777777" w:rsidR="00BF52CC" w:rsidRPr="001D5820" w:rsidRDefault="00BF52CC" w:rsidP="00BF52CC">
            <w:pPr>
              <w:widowControl/>
              <w:wordWrap/>
              <w:autoSpaceDE/>
              <w:autoSpaceDN/>
              <w:jc w:val="center"/>
              <w:rPr>
                <w:rFonts w:ascii="Times New Roman" w:hAnsi="Times New Roman" w:cs="Times New Roman"/>
              </w:rPr>
            </w:pPr>
            <w:r>
              <w:rPr>
                <w:rFonts w:ascii="Times New Roman" w:hAnsi="Times New Roman" w:cs="Times New Roman"/>
              </w:rPr>
              <w:fldChar w:fldCharType="begin" w:fldLock="1"/>
            </w:r>
            <w:r>
              <w:rPr>
                <w:rFonts w:ascii="Times New Roman" w:hAnsi="Times New Roman" w:cs="Times New Roman"/>
              </w:rPr>
              <w:instrText>ADDIN CSL_CITATION {"citationItems":[{"id":"ITEM-1","itemData":{"author":[{"dropping-particle":"","family":"Lee","given":"Inki","non-dropping-particle":"","parse-names":false,"suffix":""},{"dropping-particle":"","family":"Kim","given":"Min Hwan","non-dropping-particle":"","parse-names":false,"suffix":""},{"dropping-particle":"","family":"Lee","given":"Sang Hwon","non-dropping-particle":"","parse-names":false,"suffix":""},{"dropping-particle":"","family":"Lee","given":"Kyongkyu","non-dropping-particle":"","parse-names":false,"suffix":""},{"dropping-particle":"","family":"Kim","given":"Chul Hee","non-dropping-particle":"","parse-names":false,"suffix":""},{"dropping-particle":"","family":"Lee","given":"Yong Jin","non-dropping-particle":"","parse-names":false,"suffix":""},{"dropping-particle":"","family":"Lim","given":"Ilhan","non-dropping-particle":"","parse-names":false,"suffix":""},{"dropping-particle":"","family":"Lim","given":"Sang Moo","non-dropping-particle":"","parse-names":false,"suffix":""},{"dropping-particle":"","family":"Cheon","given":"Gi Jeong","non-dropping-particle":"","parse-names":false,"suffix":""},{"dropping-particle":"","family":"Chi","given":"Dae Yoon","non-dropping-particle":"","parse-names":false,"suffix":""}],"container-title":"Journal of Nuclear Medicine","id":"ITEM-1","issue":"supplement 2","issued":{"date-parts":[["2022"]]},"title":"Preclinical Comparative Study of 64Cu-DOTA-PSMA (64Cu-FC705) and 64Cu-NOTA-PSMA (64Cu-FC707), PET Radiotracers for the Diagnosis of Prostate Cancer","type":"article-journal","volume":"63"},"uris":["http://www.mendeley.com/documents/?uuid=f1f11c74-9822-3cb5-9873-357f61f97afe"]}],"mendeley":{"formattedCitation":"[11]","plainTextFormattedCitation":"[11]","previouslyFormattedCitation":"[10]"},"properties":{"noteIndex":0},"schema":"https://github.com/citation-style-language/schema/raw/master/csl-citation.json"}</w:instrText>
            </w:r>
            <w:r>
              <w:rPr>
                <w:rFonts w:ascii="Times New Roman" w:hAnsi="Times New Roman" w:cs="Times New Roman"/>
              </w:rPr>
              <w:fldChar w:fldCharType="separate"/>
            </w:r>
            <w:r w:rsidRPr="008B7F9E">
              <w:rPr>
                <w:rFonts w:ascii="Times New Roman" w:hAnsi="Times New Roman" w:cs="Times New Roman"/>
                <w:noProof/>
              </w:rPr>
              <w:t>[11]</w:t>
            </w:r>
            <w:r>
              <w:rPr>
                <w:rFonts w:ascii="Times New Roman" w:hAnsi="Times New Roman" w:cs="Times New Roman"/>
              </w:rPr>
              <w:fldChar w:fldCharType="end"/>
            </w:r>
          </w:p>
        </w:tc>
      </w:tr>
      <w:tr w:rsidR="00BF52CC" w:rsidRPr="00455390" w14:paraId="19A4515A" w14:textId="77777777" w:rsidTr="00D759BE">
        <w:trPr>
          <w:trHeight w:val="340"/>
        </w:trPr>
        <w:tc>
          <w:tcPr>
            <w:tcW w:w="838" w:type="dxa"/>
            <w:vAlign w:val="center"/>
          </w:tcPr>
          <w:p w14:paraId="18CE6AEC"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64</w:t>
            </w:r>
            <w:r w:rsidRPr="00D759BE">
              <w:rPr>
                <w:rFonts w:ascii="Times New Roman" w:eastAsia="Malgun Gothic" w:hAnsi="Times New Roman" w:cs="Times New Roman"/>
                <w:bCs/>
                <w:color w:val="000000"/>
              </w:rPr>
              <w:t>Cu</w:t>
            </w:r>
          </w:p>
        </w:tc>
        <w:tc>
          <w:tcPr>
            <w:tcW w:w="2713" w:type="dxa"/>
            <w:noWrap/>
            <w:vAlign w:val="center"/>
            <w:hideMark/>
          </w:tcPr>
          <w:p w14:paraId="41E88C2B"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64Cu-DOTA-PSMA</w:t>
            </w:r>
          </w:p>
        </w:tc>
        <w:tc>
          <w:tcPr>
            <w:tcW w:w="1878" w:type="dxa"/>
            <w:noWrap/>
            <w:vAlign w:val="center"/>
            <w:hideMark/>
          </w:tcPr>
          <w:p w14:paraId="11563374" w14:textId="77777777" w:rsidR="00BF52CC" w:rsidRPr="001D5820" w:rsidRDefault="00BF52CC" w:rsidP="00BF52CC">
            <w:pPr>
              <w:widowControl/>
              <w:wordWrap/>
              <w:autoSpaceDE/>
              <w:autoSpaceDN/>
              <w:jc w:val="center"/>
              <w:rPr>
                <w:rFonts w:ascii="Times New Roman" w:hAnsi="Times New Roman" w:cs="Times New Roman"/>
              </w:rPr>
            </w:pPr>
            <w:r>
              <w:rPr>
                <w:rFonts w:ascii="Times New Roman" w:hAnsi="Times New Roman" w:cs="Times New Roman"/>
              </w:rPr>
              <w:t>PSMA</w:t>
            </w:r>
          </w:p>
        </w:tc>
        <w:tc>
          <w:tcPr>
            <w:tcW w:w="3037" w:type="dxa"/>
            <w:noWrap/>
            <w:vAlign w:val="center"/>
            <w:hideMark/>
          </w:tcPr>
          <w:p w14:paraId="330096D9"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6.75</w:t>
            </w:r>
            <w:r w:rsidRPr="001D5820">
              <w:rPr>
                <w:rFonts w:ascii="Times New Roman" w:hAnsi="Times New Roman" w:cs="Times New Roman" w:hint="eastAsia"/>
              </w:rPr>
              <w:t>±</w:t>
            </w:r>
            <w:r w:rsidRPr="001D5820">
              <w:rPr>
                <w:rFonts w:ascii="Times New Roman" w:hAnsi="Times New Roman" w:cs="Times New Roman" w:hint="eastAsia"/>
              </w:rPr>
              <w:t>0.42</w:t>
            </w:r>
          </w:p>
        </w:tc>
        <w:tc>
          <w:tcPr>
            <w:tcW w:w="550" w:type="dxa"/>
            <w:vMerge/>
            <w:vAlign w:val="center"/>
          </w:tcPr>
          <w:p w14:paraId="38A7D507"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468F755C" w14:textId="77777777" w:rsidTr="00D759BE">
        <w:trPr>
          <w:trHeight w:val="340"/>
        </w:trPr>
        <w:tc>
          <w:tcPr>
            <w:tcW w:w="838" w:type="dxa"/>
            <w:vAlign w:val="center"/>
          </w:tcPr>
          <w:p w14:paraId="4FD19B13"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64</w:t>
            </w:r>
            <w:r w:rsidRPr="00D759BE">
              <w:rPr>
                <w:rFonts w:ascii="Times New Roman" w:eastAsia="Malgun Gothic" w:hAnsi="Times New Roman" w:cs="Times New Roman"/>
                <w:bCs/>
                <w:color w:val="000000"/>
              </w:rPr>
              <w:t>Cu</w:t>
            </w:r>
          </w:p>
        </w:tc>
        <w:tc>
          <w:tcPr>
            <w:tcW w:w="2713" w:type="dxa"/>
            <w:noWrap/>
            <w:vAlign w:val="center"/>
            <w:hideMark/>
          </w:tcPr>
          <w:p w14:paraId="3736F647"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64Cu-NODAGA-Y3-TATE</w:t>
            </w:r>
          </w:p>
        </w:tc>
        <w:tc>
          <w:tcPr>
            <w:tcW w:w="1878" w:type="dxa"/>
            <w:noWrap/>
            <w:vAlign w:val="center"/>
            <w:hideMark/>
          </w:tcPr>
          <w:p w14:paraId="5292DB7B"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SSTR2</w:t>
            </w:r>
          </w:p>
        </w:tc>
        <w:tc>
          <w:tcPr>
            <w:tcW w:w="3037" w:type="dxa"/>
            <w:noWrap/>
            <w:vAlign w:val="center"/>
            <w:hideMark/>
          </w:tcPr>
          <w:p w14:paraId="66FAE7C8"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0.6</w:t>
            </w:r>
          </w:p>
        </w:tc>
        <w:tc>
          <w:tcPr>
            <w:tcW w:w="550" w:type="dxa"/>
            <w:vMerge w:val="restart"/>
            <w:vAlign w:val="center"/>
          </w:tcPr>
          <w:p w14:paraId="429AC54A" w14:textId="77777777" w:rsidR="00BF52CC" w:rsidRPr="001D5820" w:rsidRDefault="00BF52CC" w:rsidP="00BF52CC">
            <w:pPr>
              <w:widowControl/>
              <w:wordWrap/>
              <w:autoSpaceDE/>
              <w:autoSpaceDN/>
              <w:jc w:val="center"/>
              <w:rPr>
                <w:rFonts w:ascii="Times New Roman" w:hAnsi="Times New Roman" w:cs="Times New Roman"/>
              </w:rPr>
            </w:pPr>
            <w:r>
              <w:rPr>
                <w:rFonts w:ascii="Times New Roman" w:hAnsi="Times New Roman" w:cs="Times New Roman"/>
              </w:rPr>
              <w:fldChar w:fldCharType="begin" w:fldLock="1"/>
            </w:r>
            <w:r>
              <w:rPr>
                <w:rFonts w:ascii="Times New Roman" w:hAnsi="Times New Roman" w:cs="Times New Roman"/>
              </w:rPr>
              <w:instrText>ADDIN CSL_CITATION {"citationItems":[{"id":"ITEM-1","itemData":{"DOI":"10.2310/7290.2014.00020/ASSET/IMAGES/LARGE/10.2310_7290.2014.00020-FIG7.JPEG","ISSN":"15360121","PMID":"25060207","abstract":"The bifunctional chelator and radiometal have been shown to have a direct effect on the pharmacokinetics of somatostatin receptor (SSTR)-targeted imaging agents. We evaluated three Y3-TATE analogues conjugated to NOTA-based chelators for radiolabeling with 64Cu and 68Ga for small-animal positron emission tomographic/computed tomographic (PET/CT) imaging. Two commercially available NOTA analogues, p-SCN-Bn-NOTA and NODAGA, were evaluated. The p-SCN-Bn-NOTA analogues were conjugated to Y3-TATE through β-Ala and PEG8linkages. The NODAGA chelator was directly conjugated to Y3-TATE. The analogues labeled with 64Cu or 68Ga were analyzed in vitro for binding affinity and internalization and in vivo by PET/CT imaging, biodistribution, and Cerenkov imaging (68Ga analogues). We evaluated the effects of the radiometals, chelators, and linkers on the performance of the SSTR subtype 2 - targeted imaging agents and also compared them to a previously reported agent, 64Cu-CB-TE2A-Y3-TATE. We found that the method of conjugation, particularly the length of the linkage between the chelator and the peptide, significantly impacted tumor and nontarget tissue uptake and clearance. Among the 64Cu- and 68Ga-labeled NOTA analogues, NODAGA-Y3-TATE had the most optimal in vivo behavior and was comparable to 64Cu-CB-TE2A-Y3-TATE. An advantage of NODAGA-Y3-TATE is that it allows labeling with 64Cu and 68Ga, providing a versatile PET probe for imaging SSTr subtype 2-positive tumors.","author":[{"dropping-particle":"","family":"Nedrow","given":"Jessie R.","non-dropping-particle":"","parse-names":false,"suffix":""},{"dropping-particle":"","family":"White","given":"Alexander G.","non-dropping-particle":"","parse-names":false,"suffix":""},{"dropping-particle":"","family":"Modi","given":"Jalpa","non-dropping-particle":"","parse-names":false,"suffix":""},{"dropping-particle":"","family":"Nguyen","given":"Kim","non-dropping-particle":"","parse-names":false,"suffix":""},{"dropping-particle":"","family":"Chang","given":"Albert J.","non-dropping-particle":"","parse-names":false,"suffix":""},{"dropping-particle":"","family":"Anderson","given":"Carolyn J.","non-dropping-particle":"","parse-names":false,"suffix":""}],"container-title":"Molecular Imaging","id":"ITEM-1","issue":"7","issued":{"date-parts":[["2014","9","1"]]},"publisher":"Decker Publishing","title":"Positron emission tomographic imaging of copper 64- and gallium 68-labeled chelator conjugates of the somatostatin agonist Tyr3-octreotate","type":"article-journal","volume":"13"},"uris":["http://www.mendeley.com/documents/?uuid=1d92e00e-c091-3119-92a6-83962eab7ffe"]}],"mendeley":{"formattedCitation":"[12]","plainTextFormattedCitation":"[12]","previouslyFormattedCitation":"[11]"},"properties":{"noteIndex":0},"schema":"https://github.com/citation-style-language/schema/raw/master/csl-citation.json"}</w:instrText>
            </w:r>
            <w:r>
              <w:rPr>
                <w:rFonts w:ascii="Times New Roman" w:hAnsi="Times New Roman" w:cs="Times New Roman"/>
              </w:rPr>
              <w:fldChar w:fldCharType="separate"/>
            </w:r>
            <w:r w:rsidRPr="008B7F9E">
              <w:rPr>
                <w:rFonts w:ascii="Times New Roman" w:hAnsi="Times New Roman" w:cs="Times New Roman"/>
                <w:noProof/>
              </w:rPr>
              <w:t>[12]</w:t>
            </w:r>
            <w:r>
              <w:rPr>
                <w:rFonts w:ascii="Times New Roman" w:hAnsi="Times New Roman" w:cs="Times New Roman"/>
              </w:rPr>
              <w:fldChar w:fldCharType="end"/>
            </w:r>
          </w:p>
        </w:tc>
      </w:tr>
      <w:tr w:rsidR="00BF52CC" w:rsidRPr="00455390" w14:paraId="296CA220" w14:textId="77777777" w:rsidTr="00D759BE">
        <w:trPr>
          <w:trHeight w:val="340"/>
        </w:trPr>
        <w:tc>
          <w:tcPr>
            <w:tcW w:w="838" w:type="dxa"/>
            <w:vAlign w:val="center"/>
          </w:tcPr>
          <w:p w14:paraId="08961D39"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64</w:t>
            </w:r>
            <w:r w:rsidRPr="00D759BE">
              <w:rPr>
                <w:rFonts w:ascii="Times New Roman" w:eastAsia="Malgun Gothic" w:hAnsi="Times New Roman" w:cs="Times New Roman"/>
                <w:bCs/>
                <w:color w:val="000000"/>
              </w:rPr>
              <w:t>Cu</w:t>
            </w:r>
          </w:p>
        </w:tc>
        <w:tc>
          <w:tcPr>
            <w:tcW w:w="2713" w:type="dxa"/>
            <w:noWrap/>
            <w:vAlign w:val="center"/>
            <w:hideMark/>
          </w:tcPr>
          <w:p w14:paraId="01EBBC2C"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64Cu-NOTA-b-Ala-Y3-TATE</w:t>
            </w:r>
          </w:p>
        </w:tc>
        <w:tc>
          <w:tcPr>
            <w:tcW w:w="1878" w:type="dxa"/>
            <w:noWrap/>
            <w:vAlign w:val="center"/>
            <w:hideMark/>
          </w:tcPr>
          <w:p w14:paraId="4B9E9AC2"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SSTR2</w:t>
            </w:r>
          </w:p>
        </w:tc>
        <w:tc>
          <w:tcPr>
            <w:tcW w:w="3037" w:type="dxa"/>
            <w:noWrap/>
            <w:vAlign w:val="center"/>
            <w:hideMark/>
          </w:tcPr>
          <w:p w14:paraId="1EA3D5DA"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1.5</w:t>
            </w:r>
          </w:p>
        </w:tc>
        <w:tc>
          <w:tcPr>
            <w:tcW w:w="550" w:type="dxa"/>
            <w:vMerge/>
            <w:vAlign w:val="center"/>
          </w:tcPr>
          <w:p w14:paraId="0E4FE0B8"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52A1DD9A" w14:textId="77777777" w:rsidTr="00D759BE">
        <w:trPr>
          <w:trHeight w:val="340"/>
        </w:trPr>
        <w:tc>
          <w:tcPr>
            <w:tcW w:w="838" w:type="dxa"/>
            <w:vAlign w:val="center"/>
          </w:tcPr>
          <w:p w14:paraId="479470B4"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64</w:t>
            </w:r>
            <w:r w:rsidRPr="00D759BE">
              <w:rPr>
                <w:rFonts w:ascii="Times New Roman" w:eastAsia="Malgun Gothic" w:hAnsi="Times New Roman" w:cs="Times New Roman"/>
                <w:bCs/>
                <w:color w:val="000000"/>
              </w:rPr>
              <w:t>Cu</w:t>
            </w:r>
          </w:p>
        </w:tc>
        <w:tc>
          <w:tcPr>
            <w:tcW w:w="2713" w:type="dxa"/>
            <w:noWrap/>
            <w:vAlign w:val="center"/>
            <w:hideMark/>
          </w:tcPr>
          <w:p w14:paraId="24B48362"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64Cu-NOTA-PEG8-Y3-TATE</w:t>
            </w:r>
          </w:p>
        </w:tc>
        <w:tc>
          <w:tcPr>
            <w:tcW w:w="1878" w:type="dxa"/>
            <w:noWrap/>
            <w:vAlign w:val="center"/>
            <w:hideMark/>
          </w:tcPr>
          <w:p w14:paraId="3C20FFD9"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SSTR2</w:t>
            </w:r>
          </w:p>
        </w:tc>
        <w:tc>
          <w:tcPr>
            <w:tcW w:w="3037" w:type="dxa"/>
            <w:noWrap/>
            <w:vAlign w:val="center"/>
            <w:hideMark/>
          </w:tcPr>
          <w:p w14:paraId="5903F8FA"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2.5</w:t>
            </w:r>
          </w:p>
        </w:tc>
        <w:tc>
          <w:tcPr>
            <w:tcW w:w="550" w:type="dxa"/>
            <w:vMerge/>
            <w:vAlign w:val="center"/>
          </w:tcPr>
          <w:p w14:paraId="08738429"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29ACD10D" w14:textId="77777777" w:rsidTr="00D759BE">
        <w:trPr>
          <w:trHeight w:val="340"/>
        </w:trPr>
        <w:tc>
          <w:tcPr>
            <w:tcW w:w="838" w:type="dxa"/>
            <w:vAlign w:val="center"/>
          </w:tcPr>
          <w:p w14:paraId="26BF4C71" w14:textId="77777777" w:rsidR="00BF52CC" w:rsidRPr="00D759BE" w:rsidRDefault="00BF52CC" w:rsidP="00BF52CC">
            <w:pPr>
              <w:widowControl/>
              <w:wordWrap/>
              <w:autoSpaceDE/>
              <w:autoSpaceDN/>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13E44952"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68Ga-NODAGA-Y3-TATE</w:t>
            </w:r>
          </w:p>
        </w:tc>
        <w:tc>
          <w:tcPr>
            <w:tcW w:w="1878" w:type="dxa"/>
            <w:noWrap/>
            <w:vAlign w:val="center"/>
            <w:hideMark/>
          </w:tcPr>
          <w:p w14:paraId="37DD8018"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SSTR2</w:t>
            </w:r>
          </w:p>
        </w:tc>
        <w:tc>
          <w:tcPr>
            <w:tcW w:w="3037" w:type="dxa"/>
            <w:noWrap/>
            <w:vAlign w:val="center"/>
            <w:hideMark/>
          </w:tcPr>
          <w:p w14:paraId="4787E020"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0.6</w:t>
            </w:r>
          </w:p>
        </w:tc>
        <w:tc>
          <w:tcPr>
            <w:tcW w:w="550" w:type="dxa"/>
            <w:vMerge/>
            <w:vAlign w:val="center"/>
          </w:tcPr>
          <w:p w14:paraId="42AE096F"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5AA52617" w14:textId="77777777" w:rsidTr="00D759BE">
        <w:trPr>
          <w:trHeight w:val="340"/>
        </w:trPr>
        <w:tc>
          <w:tcPr>
            <w:tcW w:w="838" w:type="dxa"/>
            <w:vAlign w:val="center"/>
          </w:tcPr>
          <w:p w14:paraId="65DC9E83"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5BB9E9AB"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68Ga-NOTA-b-Ala-Y3-TATE</w:t>
            </w:r>
          </w:p>
        </w:tc>
        <w:tc>
          <w:tcPr>
            <w:tcW w:w="1878" w:type="dxa"/>
            <w:noWrap/>
            <w:vAlign w:val="center"/>
            <w:hideMark/>
          </w:tcPr>
          <w:p w14:paraId="06463C69"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SSTR2</w:t>
            </w:r>
          </w:p>
        </w:tc>
        <w:tc>
          <w:tcPr>
            <w:tcW w:w="3037" w:type="dxa"/>
            <w:noWrap/>
            <w:vAlign w:val="center"/>
            <w:hideMark/>
          </w:tcPr>
          <w:p w14:paraId="4F884237"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4</w:t>
            </w:r>
          </w:p>
        </w:tc>
        <w:tc>
          <w:tcPr>
            <w:tcW w:w="550" w:type="dxa"/>
            <w:vMerge/>
            <w:vAlign w:val="center"/>
          </w:tcPr>
          <w:p w14:paraId="3961090E"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403C69A1" w14:textId="77777777" w:rsidTr="00D759BE">
        <w:trPr>
          <w:trHeight w:val="340"/>
        </w:trPr>
        <w:tc>
          <w:tcPr>
            <w:tcW w:w="838" w:type="dxa"/>
            <w:vAlign w:val="center"/>
          </w:tcPr>
          <w:p w14:paraId="0CB32F8D"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68</w:t>
            </w:r>
            <w:r w:rsidRPr="00D759BE">
              <w:rPr>
                <w:rFonts w:ascii="Times New Roman" w:eastAsia="Malgun Gothic" w:hAnsi="Times New Roman" w:cs="Times New Roman"/>
                <w:bCs/>
                <w:color w:val="000000"/>
              </w:rPr>
              <w:t>Ga</w:t>
            </w:r>
          </w:p>
        </w:tc>
        <w:tc>
          <w:tcPr>
            <w:tcW w:w="2713" w:type="dxa"/>
            <w:noWrap/>
            <w:vAlign w:val="center"/>
            <w:hideMark/>
          </w:tcPr>
          <w:p w14:paraId="5133FCFA"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68Ga-NOTA-PEG8-Y3-TATE</w:t>
            </w:r>
          </w:p>
        </w:tc>
        <w:tc>
          <w:tcPr>
            <w:tcW w:w="1878" w:type="dxa"/>
            <w:noWrap/>
            <w:vAlign w:val="center"/>
            <w:hideMark/>
          </w:tcPr>
          <w:p w14:paraId="527CEAF8"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SSTR2</w:t>
            </w:r>
          </w:p>
        </w:tc>
        <w:tc>
          <w:tcPr>
            <w:tcW w:w="3037" w:type="dxa"/>
            <w:noWrap/>
            <w:vAlign w:val="center"/>
            <w:hideMark/>
          </w:tcPr>
          <w:p w14:paraId="1D4F185E"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16</w:t>
            </w:r>
          </w:p>
        </w:tc>
        <w:tc>
          <w:tcPr>
            <w:tcW w:w="550" w:type="dxa"/>
            <w:vMerge/>
            <w:vAlign w:val="center"/>
          </w:tcPr>
          <w:p w14:paraId="7E6693AE"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3C813CE8" w14:textId="77777777" w:rsidTr="00D759BE">
        <w:trPr>
          <w:trHeight w:val="340"/>
        </w:trPr>
        <w:tc>
          <w:tcPr>
            <w:tcW w:w="838" w:type="dxa"/>
            <w:vAlign w:val="center"/>
          </w:tcPr>
          <w:p w14:paraId="68AD2339"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64</w:t>
            </w:r>
            <w:r w:rsidRPr="00D759BE">
              <w:rPr>
                <w:rFonts w:ascii="Times New Roman" w:eastAsia="Malgun Gothic" w:hAnsi="Times New Roman" w:cs="Times New Roman"/>
                <w:bCs/>
                <w:color w:val="000000"/>
              </w:rPr>
              <w:t>Cu</w:t>
            </w:r>
          </w:p>
        </w:tc>
        <w:tc>
          <w:tcPr>
            <w:tcW w:w="2713" w:type="dxa"/>
            <w:noWrap/>
            <w:vAlign w:val="center"/>
            <w:hideMark/>
          </w:tcPr>
          <w:p w14:paraId="552D2476"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Cu-L1</w:t>
            </w:r>
          </w:p>
        </w:tc>
        <w:tc>
          <w:tcPr>
            <w:tcW w:w="1878" w:type="dxa"/>
            <w:noWrap/>
            <w:vAlign w:val="center"/>
            <w:hideMark/>
          </w:tcPr>
          <w:p w14:paraId="3FDCAC24"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 xml:space="preserve">amyloid </w:t>
            </w:r>
            <w:r w:rsidRPr="001D5820">
              <w:rPr>
                <w:rFonts w:ascii="Times New Roman" w:hAnsi="Times New Roman" w:cs="Times New Roman" w:hint="eastAsia"/>
              </w:rPr>
              <w:t>β</w:t>
            </w:r>
          </w:p>
        </w:tc>
        <w:tc>
          <w:tcPr>
            <w:tcW w:w="3037" w:type="dxa"/>
            <w:noWrap/>
            <w:vAlign w:val="center"/>
            <w:hideMark/>
          </w:tcPr>
          <w:p w14:paraId="0FC4C2CA"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 xml:space="preserve">765 </w:t>
            </w:r>
            <w:r w:rsidRPr="001D5820">
              <w:rPr>
                <w:rFonts w:ascii="Times New Roman" w:hAnsi="Times New Roman" w:cs="Times New Roman" w:hint="eastAsia"/>
              </w:rPr>
              <w:t>±</w:t>
            </w:r>
            <w:r w:rsidRPr="001D5820">
              <w:rPr>
                <w:rFonts w:ascii="Times New Roman" w:hAnsi="Times New Roman" w:cs="Times New Roman" w:hint="eastAsia"/>
              </w:rPr>
              <w:t xml:space="preserve"> 30</w:t>
            </w:r>
          </w:p>
        </w:tc>
        <w:tc>
          <w:tcPr>
            <w:tcW w:w="550" w:type="dxa"/>
            <w:vMerge w:val="restart"/>
            <w:vAlign w:val="center"/>
          </w:tcPr>
          <w:p w14:paraId="0A716D78" w14:textId="77777777" w:rsidR="00BF52CC" w:rsidRPr="001D5820" w:rsidRDefault="00BF52CC" w:rsidP="00BF52CC">
            <w:pPr>
              <w:widowControl/>
              <w:wordWrap/>
              <w:autoSpaceDE/>
              <w:autoSpaceDN/>
              <w:jc w:val="center"/>
              <w:rPr>
                <w:rFonts w:ascii="Times New Roman" w:hAnsi="Times New Roman" w:cs="Times New Roman"/>
              </w:rPr>
            </w:pPr>
            <w:r>
              <w:rPr>
                <w:rFonts w:ascii="Times New Roman" w:hAnsi="Times New Roman" w:cs="Times New Roman"/>
              </w:rPr>
              <w:fldChar w:fldCharType="begin" w:fldLock="1"/>
            </w:r>
            <w:r>
              <w:rPr>
                <w:rFonts w:ascii="Times New Roman" w:hAnsi="Times New Roman" w:cs="Times New Roman"/>
              </w:rPr>
              <w:instrText>ADDIN CSL_CITATION {"citationItems":[{"id":"ITEM-1","itemData":{"DOI":"10.1021/JACS.7B05937/ASSET/IMAGES/LARGE/JA-2017-059376_0009.JPEG","ISSN":"15205126","PMID":"28823165","abstract":"Positron emission tomography (PET) imaging agents that detect amyloid plaques containing amyloid beta (Aβ) peptide aggregates in the brain of Alzheimer's disease (AD) patients have been successfully developed and recently approved by the FDA for clinical use. However, the short half-lives of the currently used radionuclides 11C (20.4 min) and 18F (109.8 min) may limit the widespread use of these imaging agents. Therefore, we have begun to evaluate novel AD diagnostic agents that can be radiolabeled with 64Cu, a radionuclide with a half-life of 12.7 h, ideal for PET imaging. Described herein are a series of bifunctional chelators (BFCs), L1-L5, that were designed to tightly bind 64Cu and shown to interact with Aβ aggregates both in vitro and in transgenic AD mouse brain sections. Importantly, biodistribution studies show that these compounds exhibit promising brain uptake and rapid clearance in wild-type mice, and initial microPET imaging studies of transgenic AD mice suggest that these compounds could serve as lead compounds for the development of improved diagnostic agents for AD.","author":[{"dropping-particle":"","family":"Bandara","given":"Nilantha","non-dropping-particle":"","parse-names":false,"suffix":""},{"dropping-particle":"","family":"Sharma","given":"Anuj K.","non-dropping-particle":"","parse-names":false,"suffix":""},{"dropping-particle":"","family":"Krieger","given":"Stephanie","non-dropping-particle":"","parse-names":false,"suffix":""},{"dropping-particle":"","family":"Schultz","given":"Jason W.","non-dropping-particle":"","parse-names":false,"suffix":""},{"dropping-particle":"","family":"Han","given":"Byung Hee","non-dropping-particle":"","parse-names":false,"suffix":""},{"dropping-particle":"","family":"Rogers","given":"Buck E.","non-dropping-particle":"","parse-names":false,"suffix":""},{"dropping-particle":"","family":"Mirica","given":"Liviu M.","non-dropping-particle":"","parse-names":false,"suffix":""}],"container-title":"Journal of the American Chemical Society","id":"ITEM-1","issue":"36","issued":{"date-parts":[["2017","9","13"]]},"page":"12550-12558","publisher":"American Chemical Society","title":"Evaluation of 64Cu-Based Radiopharmaceuticals that Target Aβ Peptide Aggregates as Diagnostic Tools for Alzheimer's Disease","type":"article-journal","volume":"139"},"uris":["http://www.mendeley.com/documents/?uuid=7af13a31-a109-377f-bdf8-8eef479133fa"]}],"mendeley":{"formattedCitation":"[13]","plainTextFormattedCitation":"[13]","previouslyFormattedCitation":"[12]"},"properties":{"noteIndex":0},"schema":"https://github.com/citation-style-language/schema/raw/master/csl-citation.json"}</w:instrText>
            </w:r>
            <w:r>
              <w:rPr>
                <w:rFonts w:ascii="Times New Roman" w:hAnsi="Times New Roman" w:cs="Times New Roman"/>
              </w:rPr>
              <w:fldChar w:fldCharType="separate"/>
            </w:r>
            <w:r w:rsidRPr="008B7F9E">
              <w:rPr>
                <w:rFonts w:ascii="Times New Roman" w:hAnsi="Times New Roman" w:cs="Times New Roman"/>
                <w:noProof/>
              </w:rPr>
              <w:t>[13]</w:t>
            </w:r>
            <w:r>
              <w:rPr>
                <w:rFonts w:ascii="Times New Roman" w:hAnsi="Times New Roman" w:cs="Times New Roman"/>
              </w:rPr>
              <w:fldChar w:fldCharType="end"/>
            </w:r>
          </w:p>
        </w:tc>
      </w:tr>
      <w:tr w:rsidR="00BF52CC" w:rsidRPr="00455390" w14:paraId="4547DAFD" w14:textId="77777777" w:rsidTr="00D759BE">
        <w:trPr>
          <w:trHeight w:val="340"/>
        </w:trPr>
        <w:tc>
          <w:tcPr>
            <w:tcW w:w="838" w:type="dxa"/>
            <w:vAlign w:val="center"/>
          </w:tcPr>
          <w:p w14:paraId="450A5F7B"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64</w:t>
            </w:r>
            <w:r w:rsidRPr="00D759BE">
              <w:rPr>
                <w:rFonts w:ascii="Times New Roman" w:eastAsia="Malgun Gothic" w:hAnsi="Times New Roman" w:cs="Times New Roman"/>
                <w:bCs/>
                <w:color w:val="000000"/>
              </w:rPr>
              <w:t>Cu</w:t>
            </w:r>
          </w:p>
        </w:tc>
        <w:tc>
          <w:tcPr>
            <w:tcW w:w="2713" w:type="dxa"/>
            <w:noWrap/>
            <w:vAlign w:val="center"/>
            <w:hideMark/>
          </w:tcPr>
          <w:p w14:paraId="39FDCB4C"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Cu-L2</w:t>
            </w:r>
          </w:p>
        </w:tc>
        <w:tc>
          <w:tcPr>
            <w:tcW w:w="1878" w:type="dxa"/>
            <w:noWrap/>
            <w:vAlign w:val="center"/>
            <w:hideMark/>
          </w:tcPr>
          <w:p w14:paraId="586D05BD"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 xml:space="preserve">amyloid </w:t>
            </w:r>
            <w:r w:rsidRPr="001D5820">
              <w:rPr>
                <w:rFonts w:ascii="Times New Roman" w:hAnsi="Times New Roman" w:cs="Times New Roman" w:hint="eastAsia"/>
              </w:rPr>
              <w:t>β</w:t>
            </w:r>
          </w:p>
        </w:tc>
        <w:tc>
          <w:tcPr>
            <w:tcW w:w="3037" w:type="dxa"/>
            <w:noWrap/>
            <w:vAlign w:val="center"/>
            <w:hideMark/>
          </w:tcPr>
          <w:p w14:paraId="69820969"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 xml:space="preserve">275 </w:t>
            </w:r>
            <w:r w:rsidRPr="001D5820">
              <w:rPr>
                <w:rFonts w:ascii="Times New Roman" w:hAnsi="Times New Roman" w:cs="Times New Roman" w:hint="eastAsia"/>
              </w:rPr>
              <w:t>±</w:t>
            </w:r>
            <w:r w:rsidRPr="001D5820">
              <w:rPr>
                <w:rFonts w:ascii="Times New Roman" w:hAnsi="Times New Roman" w:cs="Times New Roman" w:hint="eastAsia"/>
              </w:rPr>
              <w:t xml:space="preserve"> 20</w:t>
            </w:r>
          </w:p>
        </w:tc>
        <w:tc>
          <w:tcPr>
            <w:tcW w:w="550" w:type="dxa"/>
            <w:vMerge/>
            <w:vAlign w:val="center"/>
          </w:tcPr>
          <w:p w14:paraId="3CAFF49C"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407A8C2F" w14:textId="77777777" w:rsidTr="00D759BE">
        <w:trPr>
          <w:trHeight w:val="340"/>
        </w:trPr>
        <w:tc>
          <w:tcPr>
            <w:tcW w:w="838" w:type="dxa"/>
            <w:vAlign w:val="center"/>
          </w:tcPr>
          <w:p w14:paraId="70A8FF56"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64</w:t>
            </w:r>
            <w:r w:rsidRPr="00D759BE">
              <w:rPr>
                <w:rFonts w:ascii="Times New Roman" w:eastAsia="Malgun Gothic" w:hAnsi="Times New Roman" w:cs="Times New Roman"/>
                <w:bCs/>
                <w:color w:val="000000"/>
              </w:rPr>
              <w:t>Cu</w:t>
            </w:r>
          </w:p>
        </w:tc>
        <w:tc>
          <w:tcPr>
            <w:tcW w:w="2713" w:type="dxa"/>
            <w:noWrap/>
            <w:vAlign w:val="center"/>
            <w:hideMark/>
          </w:tcPr>
          <w:p w14:paraId="1E5887DF"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Cu-L3</w:t>
            </w:r>
          </w:p>
        </w:tc>
        <w:tc>
          <w:tcPr>
            <w:tcW w:w="1878" w:type="dxa"/>
            <w:noWrap/>
            <w:vAlign w:val="center"/>
            <w:hideMark/>
          </w:tcPr>
          <w:p w14:paraId="456132C7"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 xml:space="preserve">amyloid </w:t>
            </w:r>
            <w:r w:rsidRPr="001D5820">
              <w:rPr>
                <w:rFonts w:ascii="Times New Roman" w:hAnsi="Times New Roman" w:cs="Times New Roman" w:hint="eastAsia"/>
              </w:rPr>
              <w:t>β</w:t>
            </w:r>
          </w:p>
        </w:tc>
        <w:tc>
          <w:tcPr>
            <w:tcW w:w="3037" w:type="dxa"/>
            <w:noWrap/>
            <w:vAlign w:val="center"/>
            <w:hideMark/>
          </w:tcPr>
          <w:p w14:paraId="3CE5E20C"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 xml:space="preserve">325 </w:t>
            </w:r>
            <w:r w:rsidRPr="001D5820">
              <w:rPr>
                <w:rFonts w:ascii="Times New Roman" w:hAnsi="Times New Roman" w:cs="Times New Roman" w:hint="eastAsia"/>
              </w:rPr>
              <w:t>±</w:t>
            </w:r>
            <w:r w:rsidRPr="001D5820">
              <w:rPr>
                <w:rFonts w:ascii="Times New Roman" w:hAnsi="Times New Roman" w:cs="Times New Roman" w:hint="eastAsia"/>
              </w:rPr>
              <w:t xml:space="preserve"> 25</w:t>
            </w:r>
          </w:p>
        </w:tc>
        <w:tc>
          <w:tcPr>
            <w:tcW w:w="550" w:type="dxa"/>
            <w:vMerge/>
            <w:vAlign w:val="center"/>
          </w:tcPr>
          <w:p w14:paraId="5A1DB376"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470E438D" w14:textId="77777777" w:rsidTr="00D759BE">
        <w:trPr>
          <w:trHeight w:val="340"/>
        </w:trPr>
        <w:tc>
          <w:tcPr>
            <w:tcW w:w="838" w:type="dxa"/>
            <w:vAlign w:val="center"/>
          </w:tcPr>
          <w:p w14:paraId="3860CA81"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64</w:t>
            </w:r>
            <w:r w:rsidRPr="00D759BE">
              <w:rPr>
                <w:rFonts w:ascii="Times New Roman" w:eastAsia="Malgun Gothic" w:hAnsi="Times New Roman" w:cs="Times New Roman"/>
                <w:bCs/>
                <w:color w:val="000000"/>
              </w:rPr>
              <w:t>Cu</w:t>
            </w:r>
          </w:p>
        </w:tc>
        <w:tc>
          <w:tcPr>
            <w:tcW w:w="2713" w:type="dxa"/>
            <w:noWrap/>
            <w:vAlign w:val="center"/>
            <w:hideMark/>
          </w:tcPr>
          <w:p w14:paraId="74459220"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Cu-L4</w:t>
            </w:r>
          </w:p>
        </w:tc>
        <w:tc>
          <w:tcPr>
            <w:tcW w:w="1878" w:type="dxa"/>
            <w:noWrap/>
            <w:vAlign w:val="center"/>
            <w:hideMark/>
          </w:tcPr>
          <w:p w14:paraId="2C03B89B"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 xml:space="preserve">amyloid </w:t>
            </w:r>
            <w:r w:rsidRPr="001D5820">
              <w:rPr>
                <w:rFonts w:ascii="Times New Roman" w:hAnsi="Times New Roman" w:cs="Times New Roman" w:hint="eastAsia"/>
              </w:rPr>
              <w:t>β</w:t>
            </w:r>
          </w:p>
        </w:tc>
        <w:tc>
          <w:tcPr>
            <w:tcW w:w="3037" w:type="dxa"/>
            <w:noWrap/>
            <w:vAlign w:val="center"/>
            <w:hideMark/>
          </w:tcPr>
          <w:p w14:paraId="25CDEA34"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 xml:space="preserve">2350 </w:t>
            </w:r>
            <w:r w:rsidRPr="001D5820">
              <w:rPr>
                <w:rFonts w:ascii="Times New Roman" w:hAnsi="Times New Roman" w:cs="Times New Roman" w:hint="eastAsia"/>
              </w:rPr>
              <w:t>±</w:t>
            </w:r>
            <w:r w:rsidRPr="001D5820">
              <w:rPr>
                <w:rFonts w:ascii="Times New Roman" w:hAnsi="Times New Roman" w:cs="Times New Roman" w:hint="eastAsia"/>
              </w:rPr>
              <w:t xml:space="preserve"> 250</w:t>
            </w:r>
          </w:p>
        </w:tc>
        <w:tc>
          <w:tcPr>
            <w:tcW w:w="550" w:type="dxa"/>
            <w:vMerge/>
            <w:vAlign w:val="center"/>
          </w:tcPr>
          <w:p w14:paraId="679E82D6"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2D930195" w14:textId="77777777" w:rsidTr="00D759BE">
        <w:trPr>
          <w:trHeight w:val="340"/>
        </w:trPr>
        <w:tc>
          <w:tcPr>
            <w:tcW w:w="838" w:type="dxa"/>
            <w:vAlign w:val="center"/>
          </w:tcPr>
          <w:p w14:paraId="09426313"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64</w:t>
            </w:r>
            <w:r w:rsidRPr="00D759BE">
              <w:rPr>
                <w:rFonts w:ascii="Times New Roman" w:eastAsia="Malgun Gothic" w:hAnsi="Times New Roman" w:cs="Times New Roman"/>
                <w:bCs/>
                <w:color w:val="000000"/>
              </w:rPr>
              <w:t>Cu</w:t>
            </w:r>
          </w:p>
        </w:tc>
        <w:tc>
          <w:tcPr>
            <w:tcW w:w="2713" w:type="dxa"/>
            <w:noWrap/>
            <w:vAlign w:val="center"/>
            <w:hideMark/>
          </w:tcPr>
          <w:p w14:paraId="52DF8420"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Cu-L5</w:t>
            </w:r>
          </w:p>
        </w:tc>
        <w:tc>
          <w:tcPr>
            <w:tcW w:w="1878" w:type="dxa"/>
            <w:noWrap/>
            <w:vAlign w:val="center"/>
            <w:hideMark/>
          </w:tcPr>
          <w:p w14:paraId="63DCB09D"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 xml:space="preserve">amyloid </w:t>
            </w:r>
            <w:r w:rsidRPr="001D5820">
              <w:rPr>
                <w:rFonts w:ascii="Times New Roman" w:hAnsi="Times New Roman" w:cs="Times New Roman" w:hint="eastAsia"/>
              </w:rPr>
              <w:t>β</w:t>
            </w:r>
          </w:p>
        </w:tc>
        <w:tc>
          <w:tcPr>
            <w:tcW w:w="3037" w:type="dxa"/>
            <w:noWrap/>
            <w:vAlign w:val="center"/>
            <w:hideMark/>
          </w:tcPr>
          <w:p w14:paraId="247073F1"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 xml:space="preserve">142 </w:t>
            </w:r>
            <w:r w:rsidRPr="001D5820">
              <w:rPr>
                <w:rFonts w:ascii="Times New Roman" w:hAnsi="Times New Roman" w:cs="Times New Roman" w:hint="eastAsia"/>
              </w:rPr>
              <w:t>±</w:t>
            </w:r>
            <w:r w:rsidRPr="001D5820">
              <w:rPr>
                <w:rFonts w:ascii="Times New Roman" w:hAnsi="Times New Roman" w:cs="Times New Roman" w:hint="eastAsia"/>
              </w:rPr>
              <w:t xml:space="preserve"> 55</w:t>
            </w:r>
          </w:p>
        </w:tc>
        <w:tc>
          <w:tcPr>
            <w:tcW w:w="550" w:type="dxa"/>
            <w:vMerge/>
            <w:vAlign w:val="center"/>
          </w:tcPr>
          <w:p w14:paraId="091CB687"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67EB0AE3" w14:textId="77777777" w:rsidTr="00D759BE">
        <w:trPr>
          <w:trHeight w:val="340"/>
        </w:trPr>
        <w:tc>
          <w:tcPr>
            <w:tcW w:w="838" w:type="dxa"/>
            <w:vAlign w:val="center"/>
          </w:tcPr>
          <w:p w14:paraId="7BB06EDE"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124</w:t>
            </w:r>
            <w:r w:rsidRPr="00D759BE">
              <w:rPr>
                <w:rFonts w:ascii="Times New Roman" w:eastAsia="Malgun Gothic" w:hAnsi="Times New Roman" w:cs="Times New Roman"/>
                <w:bCs/>
                <w:color w:val="000000"/>
              </w:rPr>
              <w:t>I</w:t>
            </w:r>
          </w:p>
        </w:tc>
        <w:tc>
          <w:tcPr>
            <w:tcW w:w="2713" w:type="dxa"/>
            <w:noWrap/>
            <w:vAlign w:val="center"/>
            <w:hideMark/>
          </w:tcPr>
          <w:p w14:paraId="3A9A2E43"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 xml:space="preserve">iodine-124 </w:t>
            </w:r>
            <w:proofErr w:type="spellStart"/>
            <w:r w:rsidRPr="001D5820">
              <w:rPr>
                <w:rFonts w:ascii="Times New Roman" w:hAnsi="Times New Roman" w:cs="Times New Roman" w:hint="eastAsia"/>
              </w:rPr>
              <w:t>radioiodinated</w:t>
            </w:r>
            <w:proofErr w:type="spellEnd"/>
            <w:r w:rsidRPr="001D5820">
              <w:rPr>
                <w:rFonts w:ascii="Times New Roman" w:hAnsi="Times New Roman" w:cs="Times New Roman" w:hint="eastAsia"/>
              </w:rPr>
              <w:t xml:space="preserve"> pyridyl benzofuran derivative 5-(5-[124</w:t>
            </w:r>
            <w:proofErr w:type="gramStart"/>
            <w:r w:rsidRPr="001D5820">
              <w:rPr>
                <w:rFonts w:ascii="Times New Roman" w:hAnsi="Times New Roman" w:cs="Times New Roman" w:hint="eastAsia"/>
              </w:rPr>
              <w:t>I]iodobenzofuran</w:t>
            </w:r>
            <w:proofErr w:type="gramEnd"/>
            <w:r w:rsidRPr="001D5820">
              <w:rPr>
                <w:rFonts w:ascii="Times New Roman" w:hAnsi="Times New Roman" w:cs="Times New Roman" w:hint="eastAsia"/>
              </w:rPr>
              <w:t>2-yl)-N,N-dimethylpyridin-2-amine ([124I]IBETA)</w:t>
            </w:r>
          </w:p>
        </w:tc>
        <w:tc>
          <w:tcPr>
            <w:tcW w:w="1878" w:type="dxa"/>
            <w:noWrap/>
            <w:vAlign w:val="center"/>
            <w:hideMark/>
          </w:tcPr>
          <w:p w14:paraId="47EDA4AB"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 xml:space="preserve">amyloid </w:t>
            </w:r>
            <w:r w:rsidRPr="001D5820">
              <w:rPr>
                <w:rFonts w:ascii="Times New Roman" w:hAnsi="Times New Roman" w:cs="Times New Roman" w:hint="eastAsia"/>
              </w:rPr>
              <w:t>β</w:t>
            </w:r>
          </w:p>
        </w:tc>
        <w:tc>
          <w:tcPr>
            <w:tcW w:w="3037" w:type="dxa"/>
            <w:noWrap/>
            <w:vAlign w:val="center"/>
            <w:hideMark/>
          </w:tcPr>
          <w:p w14:paraId="02D31648"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2.36</w:t>
            </w:r>
          </w:p>
        </w:tc>
        <w:tc>
          <w:tcPr>
            <w:tcW w:w="550" w:type="dxa"/>
            <w:vMerge/>
            <w:vAlign w:val="center"/>
          </w:tcPr>
          <w:p w14:paraId="770A79AE"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18643EE1" w14:textId="77777777" w:rsidTr="00D759BE">
        <w:trPr>
          <w:trHeight w:val="340"/>
        </w:trPr>
        <w:tc>
          <w:tcPr>
            <w:tcW w:w="838" w:type="dxa"/>
            <w:vAlign w:val="center"/>
          </w:tcPr>
          <w:p w14:paraId="3F0D8EFD"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212</w:t>
            </w:r>
            <w:r w:rsidRPr="00D759BE">
              <w:rPr>
                <w:rFonts w:ascii="Times New Roman" w:eastAsia="Malgun Gothic" w:hAnsi="Times New Roman" w:cs="Times New Roman"/>
                <w:bCs/>
                <w:color w:val="000000"/>
              </w:rPr>
              <w:t>Pb</w:t>
            </w:r>
          </w:p>
        </w:tc>
        <w:tc>
          <w:tcPr>
            <w:tcW w:w="2713" w:type="dxa"/>
            <w:noWrap/>
            <w:vAlign w:val="center"/>
            <w:hideMark/>
          </w:tcPr>
          <w:p w14:paraId="063368AA"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(15S,19S)-6,9,17-Trioxo-1-((4-((1,4,7,10-tetrakis(2-amino-2-oxoethyl)-1,4,7,10- tetraazacyclododecan-2-</w:t>
            </w:r>
            <w:proofErr w:type="gramStart"/>
            <w:r w:rsidRPr="001D5820">
              <w:rPr>
                <w:rFonts w:ascii="Times New Roman" w:hAnsi="Times New Roman" w:cs="Times New Roman" w:hint="eastAsia"/>
              </w:rPr>
              <w:t>yl)methyl</w:t>
            </w:r>
            <w:proofErr w:type="gramEnd"/>
            <w:r w:rsidRPr="001D5820">
              <w:rPr>
                <w:rFonts w:ascii="Times New Roman" w:hAnsi="Times New Roman" w:cs="Times New Roman" w:hint="eastAsia"/>
              </w:rPr>
              <w:t xml:space="preserve">)phenyl)amino)-1-thioxo-2,5,10,16,18- </w:t>
            </w:r>
            <w:r w:rsidRPr="001D5820">
              <w:rPr>
                <w:rFonts w:ascii="Times New Roman" w:hAnsi="Times New Roman" w:cs="Times New Roman" w:hint="eastAsia"/>
              </w:rPr>
              <w:lastRenderedPageBreak/>
              <w:t>pentaazahenicosane-15,19,21-tricarboxylic acid (L2)</w:t>
            </w:r>
          </w:p>
        </w:tc>
        <w:tc>
          <w:tcPr>
            <w:tcW w:w="1878" w:type="dxa"/>
            <w:noWrap/>
            <w:vAlign w:val="center"/>
            <w:hideMark/>
          </w:tcPr>
          <w:p w14:paraId="7D42F2AF"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lastRenderedPageBreak/>
              <w:t>PSMA</w:t>
            </w:r>
          </w:p>
        </w:tc>
        <w:tc>
          <w:tcPr>
            <w:tcW w:w="3037" w:type="dxa"/>
            <w:noWrap/>
            <w:vAlign w:val="center"/>
            <w:hideMark/>
          </w:tcPr>
          <w:p w14:paraId="0C6514DF"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12.7</w:t>
            </w:r>
          </w:p>
        </w:tc>
        <w:tc>
          <w:tcPr>
            <w:tcW w:w="550" w:type="dxa"/>
            <w:vMerge w:val="restart"/>
            <w:vAlign w:val="center"/>
          </w:tcPr>
          <w:p w14:paraId="1CDE54B4" w14:textId="77777777" w:rsidR="00BF52CC" w:rsidRPr="001D5820" w:rsidRDefault="00BF52CC" w:rsidP="00BF52CC">
            <w:pPr>
              <w:widowControl/>
              <w:wordWrap/>
              <w:autoSpaceDE/>
              <w:autoSpaceDN/>
              <w:jc w:val="center"/>
              <w:rPr>
                <w:rFonts w:ascii="Times New Roman" w:hAnsi="Times New Roman" w:cs="Times New Roman"/>
              </w:rPr>
            </w:pPr>
            <w:r>
              <w:rPr>
                <w:rFonts w:ascii="Times New Roman" w:hAnsi="Times New Roman" w:cs="Times New Roman"/>
              </w:rPr>
              <w:fldChar w:fldCharType="begin" w:fldLock="1"/>
            </w:r>
            <w:r>
              <w:rPr>
                <w:rFonts w:ascii="Times New Roman" w:hAnsi="Times New Roman" w:cs="Times New Roman"/>
              </w:rPr>
              <w:instrText>ADDIN CSL_CITATION {"citationItems":[{"id":"ITEM-1","itemData":{"DOI":"10.2967/JNUMED.119.229393","ISSN":"1535-5667","PMID":"31253744","abstract":"Targeted radiopharmaceutical therapy (TRT) using α-particle radiation is a promising approach for treating both large and micrometastatic lesions. We developed prostate-specific membrane antigen (PSMA)–targeted low-molecular-weight agents for 212Pb-based TRT of patients with prostate cancer (PC) by evaluating the matching γ-emitting surrogate, 203Pb. Methods: Five rationally designed low-molecular-weight ligands (L1-L5) were synthesized using the lysine-urea-glutamate scaffold, and PSMA inhibition constants were determined. Tissue biodistribution and SPECT/CT imaging of 203Pb-L1–203Pb-L5 were performed on mice bearing PSMA(+) PC3 PIP and PSMA(−) PC3 flu flank xenografts. The absorbed radiation dose of the corresponding 212Pb-labeled analogs was determined using the biodistribution data. Antitumor efficacy of 212Pb-L2 was evaluated in PSMA(+) PC3 PIP and PSMA(−) PC3 flu tumor models and in the PSMA(+) luciferase-expressing micrometastatic model. 212Pb-L2 was also evaluated for dose-escalated, long-term toxicity. Results: All new ligands were obtained in high yield and purity. PSMA inhibitory activities ranged from 0.10 to 17 nM. 203Pb-L1–203Pb-L5 were synthesized in high radiochemical yield and specific activity. Whole-body clearance of 203Pb-L1–203Pb-L5 was fast. The absorbed dose coefficients (mGy/kBq) of the tumor and kidneys were highest for 203Pb-L5 (31.0, 15.2) and lowest for 203Pb-L2 (8.0, 4.2). The tumor-to-kidney absorbed dose ratio was higher for 203Pb-L3 (3.2) and 203Pb-L4 (3.6) than for the other agents, but with lower tumor-to-blood ratios. PSMA(+) tumor lesions were visualized through SPECT/CT as early as 0.5 h after injection. A proof-of-concept therapy study with a single administration of 212Pb-L2 demonstrated dose-dependent inhibition of tumor growth in the PSMA(+) flank tumor model. 212Pb-L2 also demonstrated an increased survival benefit in the micrometastatic model compared with 177Lu-PSMA-617. Long-term toxicity studies in healthy, immunocompetent CD-1 mice revealed kidney as the dose-limiting organ. Conclusion: 203Pb-L1–203Pb-L5 demonstrated favorable pharmacokinetics for 212Pb-based TRT. The antitumor efficacy of 212Pb-L2 supports the corresponding 203Pb/212Pb theranostic pair for PSMA-based α-particle TRT in advanced PC.","author":[{"dropping-particle":"","family":"Banerjee","given":"Sangeeta Ray","non-dropping-particle":"","parse-names":false,"suffix":""},{"dropping-particle":"","family":"Minn","given":"Il","non-dropping-particle":"","parse-names":false,"suffix":""},{"dropping-particle":"","family":"Kumar","given":"Vivek","non-dropping-particle":"","parse-names":false,"suffix":""},{"dropping-particle":"","family":"Josefsson","given":"Anders","non-dropping-particle":"","parse-names":false,"suffix":""},{"dropping-particle":"","family":"Lisok","given":"Ala","non-dropping-particle":"","parse-names":false,"suffix":""},{"dropping-particle":"","family":"Brummet","given":"Mary","non-dropping-particle":"","parse-names":false,"suffix":""},{"dropping-particle":"","family":"Chen","given":"Jian","non-dropping-particle":"","parse-names":false,"suffix":""},{"dropping-particle":"","family":"Kiess","given":"Ana P.","non-dropping-particle":"","parse-names":false,"suffix":""},{"dropping-particle":"","family":"Baidoo","given":"Kwamena","non-dropping-particle":"","parse-names":false,"suffix":""},{"dropping-particle":"","family":"Brayton","given":"Cory","non-dropping-particle":"","parse-names":false,"suffix":""},{"dropping-particle":"","family":"Mease","given":"Ronnie C.","non-dropping-particle":"","parse-names":false,"suffix":""},{"dropping-particle":"","family":"Brechbiel","given":"Martin","non-dropping-particle":"","parse-names":false,"suffix":""},{"dropping-particle":"","family":"Sgouros","given":"George","non-dropping-particle":"","parse-names":false,"suffix":""},{"dropping-particle":"","family":"Hobbs","given":"Robert F.","non-dropping-particle":"","parse-names":false,"suffix":""},{"dropping-particle":"","family":"Pomper","given":"Martin G.","non-dropping-particle":"","parse-names":false,"suffix":""}],"container-title":"Journal of nuclear medicine : official publication, Society of Nuclear Medicine","id":"ITEM-1","issue":"1","issued":{"date-parts":[["2020","1","1"]]},"page":"80-88","publisher":"J Nucl Med","title":"Preclinical Evaluation of 203/212Pb-Labeled Low-Molecular-Weight Compounds for Targeted Radiopharmaceutical Therapy of Prostate Cancer","type":"article-journal","volume":"61"},"uris":["http://www.mendeley.com/documents/?uuid=a74bd7a9-7f2a-32e3-ab90-461f1a7a6a9e"]}],"mendeley":{"formattedCitation":"[14]","plainTextFormattedCitation":"[14]","previouslyFormattedCitation":"[13]"},"properties":{"noteIndex":0},"schema":"https://github.com/citation-style-language/schema/raw/master/csl-citation.json"}</w:instrText>
            </w:r>
            <w:r>
              <w:rPr>
                <w:rFonts w:ascii="Times New Roman" w:hAnsi="Times New Roman" w:cs="Times New Roman"/>
              </w:rPr>
              <w:fldChar w:fldCharType="separate"/>
            </w:r>
            <w:r w:rsidRPr="008B7F9E">
              <w:rPr>
                <w:rFonts w:ascii="Times New Roman" w:hAnsi="Times New Roman" w:cs="Times New Roman"/>
                <w:noProof/>
              </w:rPr>
              <w:t>[14]</w:t>
            </w:r>
            <w:r>
              <w:rPr>
                <w:rFonts w:ascii="Times New Roman" w:hAnsi="Times New Roman" w:cs="Times New Roman"/>
              </w:rPr>
              <w:fldChar w:fldCharType="end"/>
            </w:r>
          </w:p>
        </w:tc>
      </w:tr>
      <w:tr w:rsidR="00BF52CC" w:rsidRPr="00455390" w14:paraId="28CE8ACF" w14:textId="77777777" w:rsidTr="00D759BE">
        <w:trPr>
          <w:trHeight w:val="340"/>
        </w:trPr>
        <w:tc>
          <w:tcPr>
            <w:tcW w:w="838" w:type="dxa"/>
            <w:vAlign w:val="center"/>
          </w:tcPr>
          <w:p w14:paraId="58CD0E23"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212</w:t>
            </w:r>
            <w:r w:rsidRPr="00D759BE">
              <w:rPr>
                <w:rFonts w:ascii="Times New Roman" w:eastAsia="Malgun Gothic" w:hAnsi="Times New Roman" w:cs="Times New Roman"/>
                <w:bCs/>
                <w:color w:val="000000"/>
              </w:rPr>
              <w:t>Pb</w:t>
            </w:r>
          </w:p>
        </w:tc>
        <w:tc>
          <w:tcPr>
            <w:tcW w:w="2713" w:type="dxa"/>
            <w:noWrap/>
            <w:vAlign w:val="center"/>
            <w:hideMark/>
          </w:tcPr>
          <w:p w14:paraId="4DA42ABB"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(21S,25S)-16-(4-Bromobenzyl)-8,15,23-trioxo-1-((4-((1,4,7,10-tetrakis(2-amino-2-oxoethyl)- 1,4,7,10-tetraazacyclododecan-2-</w:t>
            </w:r>
            <w:proofErr w:type="gramStart"/>
            <w:r w:rsidRPr="001D5820">
              <w:rPr>
                <w:rFonts w:ascii="Times New Roman" w:hAnsi="Times New Roman" w:cs="Times New Roman" w:hint="eastAsia"/>
              </w:rPr>
              <w:t>yl)methyl</w:t>
            </w:r>
            <w:proofErr w:type="gramEnd"/>
            <w:r w:rsidRPr="001D5820">
              <w:rPr>
                <w:rFonts w:ascii="Times New Roman" w:hAnsi="Times New Roman" w:cs="Times New Roman" w:hint="eastAsia"/>
              </w:rPr>
              <w:t>)phenyl)amino)-1-thioxo-2,7,16,22,24- pentaazaheptacosane-21,25,27-tricarboxylic acid</w:t>
            </w:r>
          </w:p>
        </w:tc>
        <w:tc>
          <w:tcPr>
            <w:tcW w:w="1878" w:type="dxa"/>
            <w:noWrap/>
            <w:vAlign w:val="center"/>
            <w:hideMark/>
          </w:tcPr>
          <w:p w14:paraId="2E0835DB"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0C06D7F2"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14.1</w:t>
            </w:r>
          </w:p>
        </w:tc>
        <w:tc>
          <w:tcPr>
            <w:tcW w:w="550" w:type="dxa"/>
            <w:vMerge/>
            <w:vAlign w:val="center"/>
          </w:tcPr>
          <w:p w14:paraId="7D971A07"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5289BB87" w14:textId="77777777" w:rsidTr="00D759BE">
        <w:trPr>
          <w:trHeight w:val="340"/>
        </w:trPr>
        <w:tc>
          <w:tcPr>
            <w:tcW w:w="838" w:type="dxa"/>
            <w:vAlign w:val="center"/>
          </w:tcPr>
          <w:p w14:paraId="16B0023D"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212</w:t>
            </w:r>
            <w:r w:rsidRPr="00D759BE">
              <w:rPr>
                <w:rFonts w:ascii="Times New Roman" w:eastAsia="Malgun Gothic" w:hAnsi="Times New Roman" w:cs="Times New Roman"/>
                <w:bCs/>
                <w:color w:val="000000"/>
              </w:rPr>
              <w:t>Pb</w:t>
            </w:r>
          </w:p>
        </w:tc>
        <w:tc>
          <w:tcPr>
            <w:tcW w:w="2713" w:type="dxa"/>
            <w:noWrap/>
            <w:vAlign w:val="center"/>
            <w:hideMark/>
          </w:tcPr>
          <w:p w14:paraId="7952AC3B"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(14S,18S)-9-(4-Bromobenzyl)-2,8,16-trioxo-1-(4,7,10-tris(carboxymethyl)-1,4,7,10- tetraazacyclododecan-1-yl)-3,9,15,17-tetraazaicosane-14,18,20-tricarboxylic acid</w:t>
            </w:r>
          </w:p>
        </w:tc>
        <w:tc>
          <w:tcPr>
            <w:tcW w:w="1878" w:type="dxa"/>
            <w:noWrap/>
            <w:vAlign w:val="center"/>
            <w:hideMark/>
          </w:tcPr>
          <w:p w14:paraId="73A65DF9"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5070141D"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0.7</w:t>
            </w:r>
          </w:p>
        </w:tc>
        <w:tc>
          <w:tcPr>
            <w:tcW w:w="550" w:type="dxa"/>
            <w:vMerge/>
            <w:vAlign w:val="center"/>
          </w:tcPr>
          <w:p w14:paraId="76C083B5" w14:textId="77777777" w:rsidR="00BF52CC" w:rsidRPr="001D5820" w:rsidRDefault="00BF52CC" w:rsidP="00BF52CC">
            <w:pPr>
              <w:widowControl/>
              <w:wordWrap/>
              <w:autoSpaceDE/>
              <w:autoSpaceDN/>
              <w:jc w:val="center"/>
              <w:rPr>
                <w:rFonts w:ascii="Times New Roman" w:hAnsi="Times New Roman" w:cs="Times New Roman"/>
              </w:rPr>
            </w:pPr>
          </w:p>
        </w:tc>
      </w:tr>
      <w:tr w:rsidR="00BF52CC" w:rsidRPr="00455390" w14:paraId="3D27BF98" w14:textId="77777777" w:rsidTr="00D759BE">
        <w:trPr>
          <w:trHeight w:val="340"/>
        </w:trPr>
        <w:tc>
          <w:tcPr>
            <w:tcW w:w="838" w:type="dxa"/>
            <w:vAlign w:val="center"/>
          </w:tcPr>
          <w:p w14:paraId="08EBFECA" w14:textId="77777777" w:rsidR="00BF52CC" w:rsidRPr="00D759BE" w:rsidRDefault="00BF52CC" w:rsidP="00BF52CC">
            <w:pPr>
              <w:jc w:val="center"/>
              <w:rPr>
                <w:rFonts w:ascii="Times New Roman" w:eastAsia="Malgun Gothic" w:hAnsi="Times New Roman" w:cs="Times New Roman"/>
                <w:bCs/>
                <w:color w:val="000000"/>
              </w:rPr>
            </w:pPr>
            <w:r w:rsidRPr="00BF52CC">
              <w:rPr>
                <w:rFonts w:ascii="Times New Roman" w:eastAsia="Malgun Gothic" w:hAnsi="Times New Roman" w:cs="Times New Roman"/>
                <w:bCs/>
                <w:color w:val="000000"/>
                <w:vertAlign w:val="superscript"/>
              </w:rPr>
              <w:t>177</w:t>
            </w:r>
            <w:r w:rsidRPr="00D759BE">
              <w:rPr>
                <w:rFonts w:ascii="Times New Roman" w:eastAsia="Malgun Gothic" w:hAnsi="Times New Roman" w:cs="Times New Roman"/>
                <w:bCs/>
                <w:color w:val="000000"/>
              </w:rPr>
              <w:t>Lu</w:t>
            </w:r>
          </w:p>
        </w:tc>
        <w:tc>
          <w:tcPr>
            <w:tcW w:w="2713" w:type="dxa"/>
            <w:noWrap/>
            <w:vAlign w:val="center"/>
            <w:hideMark/>
          </w:tcPr>
          <w:p w14:paraId="609A4F91"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[177</w:t>
            </w:r>
            <w:proofErr w:type="gramStart"/>
            <w:r w:rsidRPr="001D5820">
              <w:rPr>
                <w:rFonts w:ascii="Times New Roman" w:hAnsi="Times New Roman" w:cs="Times New Roman" w:hint="eastAsia"/>
              </w:rPr>
              <w:t>Lu]Lu</w:t>
            </w:r>
            <w:proofErr w:type="gramEnd"/>
            <w:r w:rsidRPr="001D5820">
              <w:rPr>
                <w:rFonts w:ascii="Times New Roman" w:hAnsi="Times New Roman" w:cs="Times New Roman" w:hint="eastAsia"/>
              </w:rPr>
              <w:t>-PSMA-617</w:t>
            </w:r>
          </w:p>
        </w:tc>
        <w:tc>
          <w:tcPr>
            <w:tcW w:w="1878" w:type="dxa"/>
            <w:noWrap/>
            <w:vAlign w:val="center"/>
            <w:hideMark/>
          </w:tcPr>
          <w:p w14:paraId="1AEB52C2"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PSMA</w:t>
            </w:r>
          </w:p>
        </w:tc>
        <w:tc>
          <w:tcPr>
            <w:tcW w:w="3037" w:type="dxa"/>
            <w:noWrap/>
            <w:vAlign w:val="center"/>
            <w:hideMark/>
          </w:tcPr>
          <w:p w14:paraId="50D2913A" w14:textId="77777777" w:rsidR="00BF52CC" w:rsidRPr="001D5820" w:rsidRDefault="00BF52CC" w:rsidP="00BF52CC">
            <w:pPr>
              <w:widowControl/>
              <w:wordWrap/>
              <w:autoSpaceDE/>
              <w:autoSpaceDN/>
              <w:jc w:val="center"/>
              <w:rPr>
                <w:rFonts w:ascii="Times New Roman" w:hAnsi="Times New Roman" w:cs="Times New Roman"/>
              </w:rPr>
            </w:pPr>
            <w:r w:rsidRPr="001D5820">
              <w:rPr>
                <w:rFonts w:ascii="Times New Roman" w:hAnsi="Times New Roman" w:cs="Times New Roman" w:hint="eastAsia"/>
              </w:rPr>
              <w:t>42.3</w:t>
            </w:r>
          </w:p>
        </w:tc>
        <w:tc>
          <w:tcPr>
            <w:tcW w:w="550" w:type="dxa"/>
            <w:vAlign w:val="center"/>
          </w:tcPr>
          <w:p w14:paraId="391A331D" w14:textId="77777777" w:rsidR="00BF52CC" w:rsidRPr="001D5820" w:rsidRDefault="00BF52CC" w:rsidP="00BF52CC">
            <w:pPr>
              <w:widowControl/>
              <w:wordWrap/>
              <w:autoSpaceDE/>
              <w:autoSpaceDN/>
              <w:jc w:val="center"/>
              <w:rPr>
                <w:rFonts w:ascii="Times New Roman" w:hAnsi="Times New Roman" w:cs="Times New Roman"/>
              </w:rPr>
            </w:pPr>
            <w:r>
              <w:rPr>
                <w:rFonts w:ascii="Times New Roman" w:hAnsi="Times New Roman" w:cs="Times New Roman"/>
              </w:rPr>
              <w:fldChar w:fldCharType="begin" w:fldLock="1"/>
            </w:r>
            <w:r>
              <w:rPr>
                <w:rFonts w:ascii="Times New Roman" w:hAnsi="Times New Roman" w:cs="Times New Roman"/>
              </w:rPr>
              <w:instrText>ADDIN CSL_CITATION {"citationItems":[{"id":"ITEM-1","itemData":{"DOI":"10.3389/FNUME.2022.892147","ISSN":"2673-8880","abstract":"Prostate cancer (PCa) is one of the most common cancer types worldwide. 90% of men with late stage PCa will develop bone metastases. Since the expression level of PSMA (prostate-specific membrane antigen) in bone metastases can vary significantly, a compound is being searched for which accumulates in bone metastases independently of PSMA level. With DOTA L Lys(SA.Pam)-PSMA-617, we present a compound that, in addition to a PSMA inhibitor as a target vector, also contains a bisphosphonate that is established as a bone tracer and thus combines the advantages of PSMA targeting and bone targeting. This is a class of small molecules combining targeting of two different targets with the potential advantages for treatment of biologically heterogeneous bone metastasis from prostate cancer. The molecule can be labelled with lutetium-177 and used for the therapy of PCa-related bone metastases. DOTA-L-Lys(SA.Pam)-PSMA-617 was synthesized and radiolabelled in 1 M ammonium acetate buffer pH 5.5 at 95 °C. Different amounts of precursor were evaluated. Complex stability was evaluated in three different media. LogD7.4 value was evaluated via the determination of the equilibrium distribution in a PBS/n-octanol mixture. A hydroxyapatite binding assay was used to evaluate the potential binding to bone metastases. In vitro affinity was determined and Ki value was evaluated. To evaluate the binding potential in mice, ex vivo biodistribution studies were carried out in LNCaP tumor-bearing Balb/c mice. [177Lu]Lu-labelling of DOTA-L-Lys(SA.Pam)-PSMA-617 showed quantitative RCY within 10 minutes and high complex stability over 14 days. The lipophilicity of the labelled compound was similar to the lipophilicity of the reference compound [177Lu]Lu-PSMA-617 and showed an excellent and selective HAP binding of 98.2 ± 0.11%. With a Ki of 42.3 ± 7.7 nM PSMA binding affinity is lower in comparison to [177Lu]Lu PSMA-617. First ex vivo biodistribution studies with LNCaP tumor-bearing Balb/c mice showed a PSMA dependent tumor accumulation of 4.2 ± 0.7%ID/g and a femur accumulation of 3.4 ± 0.4%ID/g. [177Lu]Lu-DOTA-L-Lys(SA.Pam)-PSMA-617 is a promising compound for theranostic of PCa related bone metastases. Accumulation on the bone metastases via two mechanisms also enables the treatment of bone metastases that show little or no PSMA expression.","author":[{"dropping-particle":"","family":"Grus","given":"Tilmann","non-dropping-particle":"","parse-names":false,"suffix":""},{"dropping-particle":"","family":"Lahnif","given":"Hanane","non-dropping-particle":"","parse-names":false,"suffix":""},{"dropping-particle":"","family":"Bausbacher","given":"Nicole","non-dropping-particle":"","parse-names":false,"suffix":""},{"dropping-particle":"","family":"Miederer","given":"Matthias","non-dropping-particle":"","parse-names":false,"suffix":""},{"dropping-particle":"","family":"Rösch","given":"Frank","non-dropping-particle":"","parse-names":false,"suffix":""}],"container-title":"Frontiers in Nuclear Medicine","id":"ITEM-1","issued":{"date-parts":[["2022","6","29"]]},"page":"892147","publisher":"Frontiers","title":"DOTA Conjugate of Bisphosphonate and PSMA-Inhibitor: A Promising Combination for Therapy of Prostate Cancer Related Bone Metastases","type":"article-journal","volume":"2"},"uris":["http://www.mendeley.com/documents/?uuid=ab63b5c3-e199-324b-82a9-d9b5f8581938"]}],"mendeley":{"formattedCitation":"[15]","plainTextFormattedCitation":"[15]","previouslyFormattedCitation":"[14]"},"properties":{"noteIndex":0},"schema":"https://github.com/citation-style-language/schema/raw/master/csl-citation.json"}</w:instrText>
            </w:r>
            <w:r>
              <w:rPr>
                <w:rFonts w:ascii="Times New Roman" w:hAnsi="Times New Roman" w:cs="Times New Roman"/>
              </w:rPr>
              <w:fldChar w:fldCharType="separate"/>
            </w:r>
            <w:r w:rsidRPr="008B7F9E">
              <w:rPr>
                <w:rFonts w:ascii="Times New Roman" w:hAnsi="Times New Roman" w:cs="Times New Roman"/>
                <w:noProof/>
              </w:rPr>
              <w:t>[15]</w:t>
            </w:r>
            <w:r>
              <w:rPr>
                <w:rFonts w:ascii="Times New Roman" w:hAnsi="Times New Roman" w:cs="Times New Roman"/>
              </w:rPr>
              <w:fldChar w:fldCharType="end"/>
            </w:r>
          </w:p>
        </w:tc>
      </w:tr>
    </w:tbl>
    <w:p w14:paraId="38EDFED0" w14:textId="77777777" w:rsidR="00534677" w:rsidRDefault="00534677" w:rsidP="00352DCE">
      <w:pPr>
        <w:widowControl/>
        <w:wordWrap/>
        <w:autoSpaceDE/>
        <w:autoSpaceDN/>
        <w:rPr>
          <w:rFonts w:ascii="Times New Roman" w:hAnsi="Times New Roman" w:cs="Times New Roman"/>
          <w:b/>
        </w:rPr>
      </w:pPr>
    </w:p>
    <w:p w14:paraId="45EE0CC1" w14:textId="77777777" w:rsidR="008574D8" w:rsidRDefault="008574D8">
      <w:pPr>
        <w:widowControl/>
        <w:wordWrap/>
        <w:autoSpaceDE/>
        <w:autoSpaceDN/>
        <w:rPr>
          <w:rFonts w:ascii="Times New Roman" w:hAnsi="Times New Roman" w:cs="Times New Roman"/>
          <w:b/>
        </w:rPr>
      </w:pPr>
    </w:p>
    <w:p w14:paraId="4611EE50" w14:textId="77777777" w:rsidR="008574D8" w:rsidRDefault="008574D8">
      <w:pPr>
        <w:widowControl/>
        <w:wordWrap/>
        <w:autoSpaceDE/>
        <w:autoSpaceDN/>
        <w:rPr>
          <w:rFonts w:ascii="Times New Roman" w:hAnsi="Times New Roman" w:cs="Times New Roman"/>
          <w:b/>
        </w:rPr>
      </w:pPr>
    </w:p>
    <w:p w14:paraId="78582DD7" w14:textId="77777777" w:rsidR="008574D8" w:rsidRDefault="008574D8">
      <w:pPr>
        <w:widowControl/>
        <w:wordWrap/>
        <w:autoSpaceDE/>
        <w:autoSpaceDN/>
        <w:rPr>
          <w:rFonts w:ascii="Times New Roman" w:hAnsi="Times New Roman" w:cs="Times New Roman"/>
          <w:b/>
        </w:rPr>
      </w:pPr>
    </w:p>
    <w:p w14:paraId="5BE842D2" w14:textId="77777777" w:rsidR="008574D8" w:rsidRDefault="008574D8">
      <w:pPr>
        <w:widowControl/>
        <w:wordWrap/>
        <w:autoSpaceDE/>
        <w:autoSpaceDN/>
        <w:rPr>
          <w:rFonts w:ascii="Times New Roman" w:hAnsi="Times New Roman" w:cs="Times New Roman"/>
          <w:b/>
        </w:rPr>
      </w:pPr>
    </w:p>
    <w:p w14:paraId="7275513B" w14:textId="77777777" w:rsidR="008574D8" w:rsidRDefault="008574D8">
      <w:pPr>
        <w:widowControl/>
        <w:wordWrap/>
        <w:autoSpaceDE/>
        <w:autoSpaceDN/>
        <w:rPr>
          <w:rFonts w:ascii="Times New Roman" w:hAnsi="Times New Roman" w:cs="Times New Roman"/>
          <w:b/>
        </w:rPr>
      </w:pPr>
    </w:p>
    <w:p w14:paraId="169AD8FC" w14:textId="77777777" w:rsidR="008574D8" w:rsidRDefault="008574D8">
      <w:pPr>
        <w:widowControl/>
        <w:wordWrap/>
        <w:autoSpaceDE/>
        <w:autoSpaceDN/>
        <w:rPr>
          <w:rFonts w:ascii="Times New Roman" w:hAnsi="Times New Roman" w:cs="Times New Roman"/>
          <w:b/>
        </w:rPr>
      </w:pPr>
    </w:p>
    <w:p w14:paraId="376B3910" w14:textId="77777777" w:rsidR="008574D8" w:rsidRDefault="008574D8">
      <w:pPr>
        <w:widowControl/>
        <w:wordWrap/>
        <w:autoSpaceDE/>
        <w:autoSpaceDN/>
        <w:rPr>
          <w:rFonts w:ascii="Times New Roman" w:hAnsi="Times New Roman" w:cs="Times New Roman"/>
          <w:b/>
        </w:rPr>
      </w:pPr>
    </w:p>
    <w:p w14:paraId="642F34C8" w14:textId="77777777" w:rsidR="008574D8" w:rsidRDefault="008574D8">
      <w:pPr>
        <w:widowControl/>
        <w:wordWrap/>
        <w:autoSpaceDE/>
        <w:autoSpaceDN/>
        <w:rPr>
          <w:rFonts w:ascii="Times New Roman" w:hAnsi="Times New Roman" w:cs="Times New Roman"/>
          <w:b/>
        </w:rPr>
      </w:pPr>
    </w:p>
    <w:p w14:paraId="24FA448A" w14:textId="77777777" w:rsidR="008574D8" w:rsidRDefault="008574D8">
      <w:pPr>
        <w:widowControl/>
        <w:wordWrap/>
        <w:autoSpaceDE/>
        <w:autoSpaceDN/>
        <w:rPr>
          <w:rFonts w:ascii="Times New Roman" w:hAnsi="Times New Roman" w:cs="Times New Roman"/>
          <w:b/>
        </w:rPr>
      </w:pPr>
    </w:p>
    <w:p w14:paraId="7903C94B" w14:textId="60AEDAC7" w:rsidR="008574D8" w:rsidRDefault="008574D8">
      <w:pPr>
        <w:widowControl/>
        <w:wordWrap/>
        <w:autoSpaceDE/>
        <w:autoSpaceDN/>
        <w:rPr>
          <w:rFonts w:ascii="Times New Roman" w:hAnsi="Times New Roman" w:cs="Times New Roman"/>
          <w:b/>
        </w:rPr>
      </w:pPr>
    </w:p>
    <w:p w14:paraId="2F0BFFB4" w14:textId="7A5D5615" w:rsidR="00713459" w:rsidRDefault="00713459">
      <w:pPr>
        <w:widowControl/>
        <w:wordWrap/>
        <w:autoSpaceDE/>
        <w:autoSpaceDN/>
        <w:rPr>
          <w:rFonts w:ascii="Times New Roman" w:hAnsi="Times New Roman" w:cs="Times New Roman"/>
          <w:b/>
        </w:rPr>
      </w:pPr>
    </w:p>
    <w:p w14:paraId="69BC5E96" w14:textId="7A857D2D" w:rsidR="00713459" w:rsidRDefault="00713459">
      <w:pPr>
        <w:widowControl/>
        <w:wordWrap/>
        <w:autoSpaceDE/>
        <w:autoSpaceDN/>
        <w:rPr>
          <w:rFonts w:ascii="Times New Roman" w:hAnsi="Times New Roman" w:cs="Times New Roman"/>
          <w:b/>
        </w:rPr>
      </w:pPr>
    </w:p>
    <w:p w14:paraId="6E201BA2" w14:textId="60D11275" w:rsidR="00713459" w:rsidRDefault="00713459">
      <w:pPr>
        <w:widowControl/>
        <w:wordWrap/>
        <w:autoSpaceDE/>
        <w:autoSpaceDN/>
        <w:rPr>
          <w:rFonts w:ascii="Times New Roman" w:hAnsi="Times New Roman" w:cs="Times New Roman"/>
          <w:b/>
        </w:rPr>
      </w:pPr>
    </w:p>
    <w:p w14:paraId="4FBDEF0A" w14:textId="448838FC" w:rsidR="00713459" w:rsidRDefault="00713459">
      <w:pPr>
        <w:widowControl/>
        <w:wordWrap/>
        <w:autoSpaceDE/>
        <w:autoSpaceDN/>
        <w:rPr>
          <w:rFonts w:ascii="Times New Roman" w:hAnsi="Times New Roman" w:cs="Times New Roman"/>
          <w:b/>
        </w:rPr>
      </w:pPr>
    </w:p>
    <w:p w14:paraId="38FEFA08" w14:textId="28CAE09F" w:rsidR="00713459" w:rsidRDefault="00713459">
      <w:pPr>
        <w:widowControl/>
        <w:wordWrap/>
        <w:autoSpaceDE/>
        <w:autoSpaceDN/>
        <w:rPr>
          <w:rFonts w:ascii="Times New Roman" w:hAnsi="Times New Roman" w:cs="Times New Roman"/>
          <w:b/>
        </w:rPr>
      </w:pPr>
    </w:p>
    <w:p w14:paraId="0A17F3D4" w14:textId="53F1CB1B" w:rsidR="00713459" w:rsidRDefault="00713459">
      <w:pPr>
        <w:widowControl/>
        <w:wordWrap/>
        <w:autoSpaceDE/>
        <w:autoSpaceDN/>
        <w:rPr>
          <w:rFonts w:ascii="Times New Roman" w:hAnsi="Times New Roman" w:cs="Times New Roman"/>
          <w:b/>
        </w:rPr>
      </w:pPr>
    </w:p>
    <w:p w14:paraId="7E09A265" w14:textId="52A809DB" w:rsidR="00713459" w:rsidRDefault="00713459">
      <w:pPr>
        <w:widowControl/>
        <w:wordWrap/>
        <w:autoSpaceDE/>
        <w:autoSpaceDN/>
        <w:rPr>
          <w:rFonts w:ascii="Times New Roman" w:hAnsi="Times New Roman" w:cs="Times New Roman"/>
          <w:b/>
        </w:rPr>
      </w:pPr>
    </w:p>
    <w:p w14:paraId="138EF87E" w14:textId="6EDFBCC2" w:rsidR="00713459" w:rsidRDefault="00713459">
      <w:pPr>
        <w:widowControl/>
        <w:wordWrap/>
        <w:autoSpaceDE/>
        <w:autoSpaceDN/>
        <w:rPr>
          <w:rFonts w:ascii="Times New Roman" w:hAnsi="Times New Roman" w:cs="Times New Roman"/>
          <w:b/>
        </w:rPr>
      </w:pPr>
    </w:p>
    <w:p w14:paraId="18594727" w14:textId="340B7391" w:rsidR="00713459" w:rsidRDefault="00713459">
      <w:pPr>
        <w:widowControl/>
        <w:wordWrap/>
        <w:autoSpaceDE/>
        <w:autoSpaceDN/>
        <w:rPr>
          <w:rFonts w:ascii="Times New Roman" w:hAnsi="Times New Roman" w:cs="Times New Roman"/>
          <w:b/>
        </w:rPr>
      </w:pPr>
    </w:p>
    <w:p w14:paraId="365D57B2" w14:textId="35FA0F39" w:rsidR="00713459" w:rsidRDefault="00713459">
      <w:pPr>
        <w:widowControl/>
        <w:wordWrap/>
        <w:autoSpaceDE/>
        <w:autoSpaceDN/>
        <w:rPr>
          <w:rFonts w:ascii="Times New Roman" w:hAnsi="Times New Roman" w:cs="Times New Roman"/>
          <w:b/>
        </w:rPr>
      </w:pPr>
    </w:p>
    <w:p w14:paraId="5526C317" w14:textId="4B172AD6" w:rsidR="00713459" w:rsidRDefault="00713459">
      <w:pPr>
        <w:widowControl/>
        <w:wordWrap/>
        <w:autoSpaceDE/>
        <w:autoSpaceDN/>
        <w:rPr>
          <w:rFonts w:ascii="Times New Roman" w:hAnsi="Times New Roman" w:cs="Times New Roman"/>
          <w:b/>
        </w:rPr>
      </w:pPr>
    </w:p>
    <w:p w14:paraId="52D339A5" w14:textId="0C5749FC" w:rsidR="00713459" w:rsidRDefault="00713459">
      <w:pPr>
        <w:widowControl/>
        <w:wordWrap/>
        <w:autoSpaceDE/>
        <w:autoSpaceDN/>
        <w:rPr>
          <w:rFonts w:ascii="Times New Roman" w:hAnsi="Times New Roman" w:cs="Times New Roman"/>
          <w:b/>
        </w:rPr>
      </w:pPr>
    </w:p>
    <w:p w14:paraId="6CA4DB4D" w14:textId="77777777" w:rsidR="008B7F9E" w:rsidRPr="008B7F9E" w:rsidRDefault="00025180" w:rsidP="008B7F9E">
      <w:pPr>
        <w:wordWrap/>
        <w:adjustRightInd w:val="0"/>
        <w:spacing w:line="240" w:lineRule="auto"/>
        <w:ind w:left="640" w:hanging="640"/>
        <w:jc w:val="left"/>
        <w:rPr>
          <w:rFonts w:ascii="Times New Roman" w:hAnsi="Times New Roman" w:cs="Times New Roman"/>
          <w:noProof/>
          <w:kern w:val="0"/>
          <w:szCs w:val="24"/>
        </w:rPr>
      </w:pPr>
      <w:r>
        <w:rPr>
          <w:rFonts w:ascii="Times New Roman" w:hAnsi="Times New Roman" w:cs="Times New Roman"/>
        </w:rPr>
        <w:lastRenderedPageBreak/>
        <w:fldChar w:fldCharType="begin" w:fldLock="1"/>
      </w:r>
      <w:r>
        <w:rPr>
          <w:rFonts w:ascii="Times New Roman" w:hAnsi="Times New Roman" w:cs="Times New Roman"/>
        </w:rPr>
        <w:instrText xml:space="preserve">ADDIN Mendeley Bibliography CSL_BIBLIOGRAPHY </w:instrText>
      </w:r>
      <w:r>
        <w:rPr>
          <w:rFonts w:ascii="Times New Roman" w:hAnsi="Times New Roman" w:cs="Times New Roman"/>
        </w:rPr>
        <w:fldChar w:fldCharType="separate"/>
      </w:r>
      <w:r w:rsidR="008B7F9E" w:rsidRPr="008B7F9E">
        <w:rPr>
          <w:rFonts w:ascii="Times New Roman" w:hAnsi="Times New Roman" w:cs="Times New Roman"/>
          <w:noProof/>
          <w:kern w:val="0"/>
          <w:szCs w:val="24"/>
        </w:rPr>
        <w:t xml:space="preserve">1. </w:t>
      </w:r>
      <w:r w:rsidR="008B7F9E" w:rsidRPr="008B7F9E">
        <w:rPr>
          <w:rFonts w:ascii="Times New Roman" w:hAnsi="Times New Roman" w:cs="Times New Roman"/>
          <w:noProof/>
          <w:kern w:val="0"/>
          <w:szCs w:val="24"/>
        </w:rPr>
        <w:tab/>
        <w:t>Li M, Lu Z, Wu Y, Li Y. BACPI: a bi-directional attention neural network for compound–protein interaction and binding affinity prediction. Bioinformatics [Internet]. 2022 [cited 13 November 2023]; 38: 1995–2002. Available at: https://dx.doi.org/10.1093/bioinformatics/btac035</w:t>
      </w:r>
    </w:p>
    <w:p w14:paraId="0B7E19B4" w14:textId="77777777" w:rsidR="008B7F9E" w:rsidRPr="008B7F9E" w:rsidRDefault="008B7F9E" w:rsidP="008B7F9E">
      <w:pPr>
        <w:wordWrap/>
        <w:adjustRightInd w:val="0"/>
        <w:spacing w:line="240" w:lineRule="auto"/>
        <w:ind w:left="640" w:hanging="640"/>
        <w:jc w:val="left"/>
        <w:rPr>
          <w:rFonts w:ascii="Times New Roman" w:hAnsi="Times New Roman" w:cs="Times New Roman"/>
          <w:noProof/>
          <w:kern w:val="0"/>
          <w:szCs w:val="24"/>
        </w:rPr>
      </w:pPr>
      <w:r w:rsidRPr="008B7F9E">
        <w:rPr>
          <w:rFonts w:ascii="Times New Roman" w:hAnsi="Times New Roman" w:cs="Times New Roman"/>
          <w:noProof/>
          <w:kern w:val="0"/>
          <w:szCs w:val="24"/>
        </w:rPr>
        <w:t xml:space="preserve">2. </w:t>
      </w:r>
      <w:r w:rsidRPr="008B7F9E">
        <w:rPr>
          <w:rFonts w:ascii="Times New Roman" w:hAnsi="Times New Roman" w:cs="Times New Roman"/>
          <w:noProof/>
          <w:kern w:val="0"/>
          <w:szCs w:val="24"/>
        </w:rPr>
        <w:tab/>
        <w:t>Lee BS, Kim MH, Chu SY, et al. Improving theranostic gallium-68/lutetium-177-labeled PSMA inhibitors with an albumin binder for prostate cancer. Mol Cancer Ther [Internet]. 2021 [cited 13 November 2023]; 20: 2410–9. Available at: https://dx.doi.org/10.1158/1535-7163.MCT-21-0251</w:t>
      </w:r>
    </w:p>
    <w:p w14:paraId="7FACC443" w14:textId="77777777" w:rsidR="008B7F9E" w:rsidRPr="008B7F9E" w:rsidRDefault="008B7F9E" w:rsidP="008B7F9E">
      <w:pPr>
        <w:wordWrap/>
        <w:adjustRightInd w:val="0"/>
        <w:spacing w:line="240" w:lineRule="auto"/>
        <w:ind w:left="640" w:hanging="640"/>
        <w:jc w:val="left"/>
        <w:rPr>
          <w:rFonts w:ascii="Times New Roman" w:hAnsi="Times New Roman" w:cs="Times New Roman"/>
          <w:noProof/>
          <w:kern w:val="0"/>
          <w:szCs w:val="24"/>
        </w:rPr>
      </w:pPr>
      <w:r w:rsidRPr="008B7F9E">
        <w:rPr>
          <w:rFonts w:ascii="Times New Roman" w:hAnsi="Times New Roman" w:cs="Times New Roman"/>
          <w:noProof/>
          <w:kern w:val="0"/>
          <w:szCs w:val="24"/>
        </w:rPr>
        <w:t xml:space="preserve">3. </w:t>
      </w:r>
      <w:r w:rsidRPr="008B7F9E">
        <w:rPr>
          <w:rFonts w:ascii="Times New Roman" w:hAnsi="Times New Roman" w:cs="Times New Roman"/>
          <w:noProof/>
          <w:kern w:val="0"/>
          <w:szCs w:val="24"/>
        </w:rPr>
        <w:tab/>
        <w:t>Banerjee SR, Pullambhatla M, Byun Y, et al. Sequential SPECT and Optical Imaging of Experimental Models of Prostate Cancer with a Dual Modality Inhibitor of the Prostate-Specific Membrane Antigen. Angew Chemie [Internet]. 2011 [cited 13 November 2023]; 123: 9333–6. Available at: https://onlinelibrary.wiley.com/doi/full/10.1002/ange.201102872</w:t>
      </w:r>
    </w:p>
    <w:p w14:paraId="21F22F2F" w14:textId="77777777" w:rsidR="008B7F9E" w:rsidRPr="008B7F9E" w:rsidRDefault="008B7F9E" w:rsidP="008B7F9E">
      <w:pPr>
        <w:wordWrap/>
        <w:adjustRightInd w:val="0"/>
        <w:spacing w:line="240" w:lineRule="auto"/>
        <w:ind w:left="640" w:hanging="640"/>
        <w:jc w:val="left"/>
        <w:rPr>
          <w:rFonts w:ascii="Times New Roman" w:hAnsi="Times New Roman" w:cs="Times New Roman"/>
          <w:noProof/>
          <w:kern w:val="0"/>
          <w:szCs w:val="24"/>
        </w:rPr>
      </w:pPr>
      <w:r w:rsidRPr="008B7F9E">
        <w:rPr>
          <w:rFonts w:ascii="Times New Roman" w:hAnsi="Times New Roman" w:cs="Times New Roman"/>
          <w:noProof/>
          <w:kern w:val="0"/>
          <w:szCs w:val="24"/>
        </w:rPr>
        <w:t xml:space="preserve">4. </w:t>
      </w:r>
      <w:r w:rsidRPr="008B7F9E">
        <w:rPr>
          <w:rFonts w:ascii="Times New Roman" w:hAnsi="Times New Roman" w:cs="Times New Roman"/>
          <w:noProof/>
          <w:kern w:val="0"/>
          <w:szCs w:val="24"/>
        </w:rPr>
        <w:tab/>
        <w:t>Xu H, Wang Y, Zhang J, et al. A self-triggered radioligand therapy agent for fluorescence imaging of the treatment response in prostate cancer. Eur J Nucl Med Mol Imaging [Internet]. 2022 [cited 13 November 2023]; 49: 2693–704. Available at: https://link.springer.com/article/10.1007/s00259-022-05743-7</w:t>
      </w:r>
    </w:p>
    <w:p w14:paraId="6308E6D4" w14:textId="77777777" w:rsidR="008B7F9E" w:rsidRPr="008B7F9E" w:rsidRDefault="008B7F9E" w:rsidP="008B7F9E">
      <w:pPr>
        <w:wordWrap/>
        <w:adjustRightInd w:val="0"/>
        <w:spacing w:line="240" w:lineRule="auto"/>
        <w:ind w:left="640" w:hanging="640"/>
        <w:jc w:val="left"/>
        <w:rPr>
          <w:rFonts w:ascii="Times New Roman" w:hAnsi="Times New Roman" w:cs="Times New Roman"/>
          <w:noProof/>
          <w:kern w:val="0"/>
          <w:szCs w:val="24"/>
        </w:rPr>
      </w:pPr>
      <w:r w:rsidRPr="008B7F9E">
        <w:rPr>
          <w:rFonts w:ascii="Times New Roman" w:hAnsi="Times New Roman" w:cs="Times New Roman"/>
          <w:noProof/>
          <w:kern w:val="0"/>
          <w:szCs w:val="24"/>
        </w:rPr>
        <w:t xml:space="preserve">5. </w:t>
      </w:r>
      <w:r w:rsidRPr="008B7F9E">
        <w:rPr>
          <w:rFonts w:ascii="Times New Roman" w:hAnsi="Times New Roman" w:cs="Times New Roman"/>
          <w:noProof/>
          <w:kern w:val="0"/>
          <w:szCs w:val="24"/>
        </w:rPr>
        <w:tab/>
        <w:t xml:space="preserve">Rousseau E, Lau J, Zhang Z, et al. Effects of adding an albumin binder chain on [177Lu]Lu-DOTATATE. Nucl Med Biol. 2018; 66: 10–7. </w:t>
      </w:r>
    </w:p>
    <w:p w14:paraId="678C3B2A" w14:textId="77777777" w:rsidR="008B7F9E" w:rsidRPr="008B7F9E" w:rsidRDefault="008B7F9E" w:rsidP="008B7F9E">
      <w:pPr>
        <w:wordWrap/>
        <w:adjustRightInd w:val="0"/>
        <w:spacing w:line="240" w:lineRule="auto"/>
        <w:ind w:left="640" w:hanging="640"/>
        <w:jc w:val="left"/>
        <w:rPr>
          <w:rFonts w:ascii="Times New Roman" w:hAnsi="Times New Roman" w:cs="Times New Roman"/>
          <w:noProof/>
          <w:kern w:val="0"/>
          <w:szCs w:val="24"/>
        </w:rPr>
      </w:pPr>
      <w:r w:rsidRPr="008B7F9E">
        <w:rPr>
          <w:rFonts w:ascii="Times New Roman" w:hAnsi="Times New Roman" w:cs="Times New Roman"/>
          <w:noProof/>
          <w:kern w:val="0"/>
          <w:szCs w:val="24"/>
        </w:rPr>
        <w:t xml:space="preserve">6. </w:t>
      </w:r>
      <w:r w:rsidRPr="008B7F9E">
        <w:rPr>
          <w:rFonts w:ascii="Times New Roman" w:hAnsi="Times New Roman" w:cs="Times New Roman"/>
          <w:noProof/>
          <w:kern w:val="0"/>
          <w:szCs w:val="24"/>
        </w:rPr>
        <w:tab/>
        <w:t>Wu Y, Zhang X, Zhang Y, Xu B, Tian J, Zhang J. Optimized 68Ga-Labeled Urea-Based PSMA-Targeted PET Tracers for Prostate Cancer. Pharmaceuticals [Internet]. 2022 [cited 13 November 2023]; 15: 1001. Available at: https://www.mdpi.com/1424-8247/15/8/1001/htm</w:t>
      </w:r>
    </w:p>
    <w:p w14:paraId="09C6A688" w14:textId="77777777" w:rsidR="008B7F9E" w:rsidRPr="008B7F9E" w:rsidRDefault="008B7F9E" w:rsidP="008B7F9E">
      <w:pPr>
        <w:wordWrap/>
        <w:adjustRightInd w:val="0"/>
        <w:spacing w:line="240" w:lineRule="auto"/>
        <w:ind w:left="640" w:hanging="640"/>
        <w:jc w:val="left"/>
        <w:rPr>
          <w:rFonts w:ascii="Times New Roman" w:hAnsi="Times New Roman" w:cs="Times New Roman"/>
          <w:noProof/>
          <w:kern w:val="0"/>
          <w:szCs w:val="24"/>
        </w:rPr>
      </w:pPr>
      <w:r w:rsidRPr="008B7F9E">
        <w:rPr>
          <w:rFonts w:ascii="Times New Roman" w:hAnsi="Times New Roman" w:cs="Times New Roman"/>
          <w:noProof/>
          <w:kern w:val="0"/>
          <w:szCs w:val="24"/>
        </w:rPr>
        <w:t xml:space="preserve">7. </w:t>
      </w:r>
      <w:r w:rsidRPr="008B7F9E">
        <w:rPr>
          <w:rFonts w:ascii="Times New Roman" w:hAnsi="Times New Roman" w:cs="Times New Roman"/>
          <w:noProof/>
          <w:kern w:val="0"/>
          <w:szCs w:val="24"/>
        </w:rPr>
        <w:tab/>
        <w:t>Maschauer S, Einsiedel J, Hübner H, Gmeiner P, Prante O. 18F- and 68Ga-Labeled Neurotensin Peptides for PET Imaging of Neurotensin Receptor 1. J Med Chem [Internet]. 2016 [cited 13 November 2023]; 59: 6480–92. Available at: https://pubs.acs.org/doi/abs/10.1021/acs.jmedchem.6b00675</w:t>
      </w:r>
    </w:p>
    <w:p w14:paraId="24EF74F1" w14:textId="77777777" w:rsidR="008B7F9E" w:rsidRPr="008B7F9E" w:rsidRDefault="008B7F9E" w:rsidP="008B7F9E">
      <w:pPr>
        <w:wordWrap/>
        <w:adjustRightInd w:val="0"/>
        <w:spacing w:line="240" w:lineRule="auto"/>
        <w:ind w:left="640" w:hanging="640"/>
        <w:jc w:val="left"/>
        <w:rPr>
          <w:rFonts w:ascii="Times New Roman" w:hAnsi="Times New Roman" w:cs="Times New Roman"/>
          <w:noProof/>
          <w:kern w:val="0"/>
          <w:szCs w:val="24"/>
        </w:rPr>
      </w:pPr>
      <w:r w:rsidRPr="008B7F9E">
        <w:rPr>
          <w:rFonts w:ascii="Times New Roman" w:hAnsi="Times New Roman" w:cs="Times New Roman"/>
          <w:noProof/>
          <w:kern w:val="0"/>
          <w:szCs w:val="24"/>
        </w:rPr>
        <w:t xml:space="preserve">8. </w:t>
      </w:r>
      <w:r w:rsidRPr="008B7F9E">
        <w:rPr>
          <w:rFonts w:ascii="Times New Roman" w:hAnsi="Times New Roman" w:cs="Times New Roman"/>
          <w:noProof/>
          <w:kern w:val="0"/>
          <w:szCs w:val="24"/>
        </w:rPr>
        <w:tab/>
        <w:t>Lin KS, Pan J, Amouroux G, et al. In vivo radioimaging of bradykinin receptor B1, a widely overexpressed molecule in human cancer. Cancer Res [Internet]. 2015 [cited 13 November 2023]; 75: 387–93. Available at: https://dx.doi.org/10.1158/0008-5472.CAN-14-1603</w:t>
      </w:r>
    </w:p>
    <w:p w14:paraId="11660A9C" w14:textId="77777777" w:rsidR="008B7F9E" w:rsidRPr="008B7F9E" w:rsidRDefault="008B7F9E" w:rsidP="008B7F9E">
      <w:pPr>
        <w:wordWrap/>
        <w:adjustRightInd w:val="0"/>
        <w:spacing w:line="240" w:lineRule="auto"/>
        <w:ind w:left="640" w:hanging="640"/>
        <w:jc w:val="left"/>
        <w:rPr>
          <w:rFonts w:ascii="Times New Roman" w:hAnsi="Times New Roman" w:cs="Times New Roman"/>
          <w:noProof/>
          <w:kern w:val="0"/>
          <w:szCs w:val="24"/>
        </w:rPr>
      </w:pPr>
      <w:r w:rsidRPr="008B7F9E">
        <w:rPr>
          <w:rFonts w:ascii="Times New Roman" w:hAnsi="Times New Roman" w:cs="Times New Roman"/>
          <w:noProof/>
          <w:kern w:val="0"/>
          <w:szCs w:val="24"/>
        </w:rPr>
        <w:t xml:space="preserve">9. </w:t>
      </w:r>
      <w:r w:rsidRPr="008B7F9E">
        <w:rPr>
          <w:rFonts w:ascii="Times New Roman" w:hAnsi="Times New Roman" w:cs="Times New Roman"/>
          <w:noProof/>
          <w:kern w:val="0"/>
          <w:szCs w:val="24"/>
        </w:rPr>
        <w:tab/>
        <w:t>Lin KS, Amouroux G, Pan J, et al. Comparative Studies of Three 68Ga-Labeled [Des-Arg10]Kallidin Derivatives for Imaging Bradykinin B1 Receptor Expression with PET. J Nucl Med [Internet]. 2015 [cited 13 November 2023]; 56: 622–7. Available at: https://jnm.snmjournals.org/content/56/4/622</w:t>
      </w:r>
    </w:p>
    <w:p w14:paraId="12B1B9F9" w14:textId="77777777" w:rsidR="008B7F9E" w:rsidRPr="008B7F9E" w:rsidRDefault="008B7F9E" w:rsidP="008B7F9E">
      <w:pPr>
        <w:wordWrap/>
        <w:adjustRightInd w:val="0"/>
        <w:spacing w:line="240" w:lineRule="auto"/>
        <w:ind w:left="640" w:hanging="640"/>
        <w:jc w:val="left"/>
        <w:rPr>
          <w:rFonts w:ascii="Times New Roman" w:hAnsi="Times New Roman" w:cs="Times New Roman"/>
          <w:noProof/>
          <w:kern w:val="0"/>
          <w:szCs w:val="24"/>
        </w:rPr>
      </w:pPr>
      <w:r w:rsidRPr="008B7F9E">
        <w:rPr>
          <w:rFonts w:ascii="Times New Roman" w:hAnsi="Times New Roman" w:cs="Times New Roman"/>
          <w:noProof/>
          <w:kern w:val="0"/>
          <w:szCs w:val="24"/>
        </w:rPr>
        <w:t xml:space="preserve">10. </w:t>
      </w:r>
      <w:r w:rsidRPr="008B7F9E">
        <w:rPr>
          <w:rFonts w:ascii="Times New Roman" w:hAnsi="Times New Roman" w:cs="Times New Roman"/>
          <w:noProof/>
          <w:kern w:val="0"/>
          <w:szCs w:val="24"/>
        </w:rPr>
        <w:tab/>
        <w:t xml:space="preserve">Kallinen A, Todorov B, Kallionpää R, et al. Synthesis and biological evaluation of novel 123I-labeled 4-(4-iodophenyl)butanoyl-l-prolyl-(2S)-pyrrolidines for imaging prolyl oligopeptidase in vivo. Eur J Med Chem. 2014; 79: 436–45. </w:t>
      </w:r>
    </w:p>
    <w:p w14:paraId="47383AE1" w14:textId="77777777" w:rsidR="008B7F9E" w:rsidRPr="008B7F9E" w:rsidRDefault="008B7F9E" w:rsidP="008B7F9E">
      <w:pPr>
        <w:wordWrap/>
        <w:adjustRightInd w:val="0"/>
        <w:spacing w:line="240" w:lineRule="auto"/>
        <w:ind w:left="640" w:hanging="640"/>
        <w:jc w:val="left"/>
        <w:rPr>
          <w:rFonts w:ascii="Times New Roman" w:hAnsi="Times New Roman" w:cs="Times New Roman"/>
          <w:noProof/>
          <w:kern w:val="0"/>
          <w:szCs w:val="24"/>
        </w:rPr>
      </w:pPr>
      <w:r w:rsidRPr="008B7F9E">
        <w:rPr>
          <w:rFonts w:ascii="Times New Roman" w:hAnsi="Times New Roman" w:cs="Times New Roman"/>
          <w:noProof/>
          <w:kern w:val="0"/>
          <w:szCs w:val="24"/>
        </w:rPr>
        <w:t xml:space="preserve">11. </w:t>
      </w:r>
      <w:r w:rsidRPr="008B7F9E">
        <w:rPr>
          <w:rFonts w:ascii="Times New Roman" w:hAnsi="Times New Roman" w:cs="Times New Roman"/>
          <w:noProof/>
          <w:kern w:val="0"/>
          <w:szCs w:val="24"/>
        </w:rPr>
        <w:tab/>
        <w:t xml:space="preserve">Lee I, Kim MH, Lee SH, et al. Preclinical Comparative Study of 64Cu-DOTA-PSMA (64Cu-FC705) and 64Cu-NOTA-PSMA (64Cu-FC707), PET Radiotracers for the Diagnosis of Prostate Cancer. J Nucl Med. 2022; 63. </w:t>
      </w:r>
    </w:p>
    <w:p w14:paraId="5337B722" w14:textId="77777777" w:rsidR="008B7F9E" w:rsidRPr="008B7F9E" w:rsidRDefault="008B7F9E" w:rsidP="008B7F9E">
      <w:pPr>
        <w:wordWrap/>
        <w:adjustRightInd w:val="0"/>
        <w:spacing w:line="240" w:lineRule="auto"/>
        <w:ind w:left="640" w:hanging="640"/>
        <w:jc w:val="left"/>
        <w:rPr>
          <w:rFonts w:ascii="Times New Roman" w:hAnsi="Times New Roman" w:cs="Times New Roman"/>
          <w:noProof/>
          <w:kern w:val="0"/>
          <w:szCs w:val="24"/>
        </w:rPr>
      </w:pPr>
      <w:r w:rsidRPr="008B7F9E">
        <w:rPr>
          <w:rFonts w:ascii="Times New Roman" w:hAnsi="Times New Roman" w:cs="Times New Roman"/>
          <w:noProof/>
          <w:kern w:val="0"/>
          <w:szCs w:val="24"/>
        </w:rPr>
        <w:t xml:space="preserve">12. </w:t>
      </w:r>
      <w:r w:rsidRPr="008B7F9E">
        <w:rPr>
          <w:rFonts w:ascii="Times New Roman" w:hAnsi="Times New Roman" w:cs="Times New Roman"/>
          <w:noProof/>
          <w:kern w:val="0"/>
          <w:szCs w:val="24"/>
        </w:rPr>
        <w:tab/>
        <w:t>Nedrow JR, White AG, Modi J, Nguyen K, Chang AJ, Anderson CJ. Positron emission tomographic imaging of copper 64- and gallium 68-labeled chelator conjugates of the somatostatin agonist Tyr3-octreotate. Mol Imaging [Internet]. 2014 [cited 13 November 2023]; 13. Available at: https://journals.sagepub.com/doi/10.2310/7290.2014.00020</w:t>
      </w:r>
    </w:p>
    <w:p w14:paraId="1B7974B0" w14:textId="77777777" w:rsidR="008B7F9E" w:rsidRPr="008B7F9E" w:rsidRDefault="008B7F9E" w:rsidP="008B7F9E">
      <w:pPr>
        <w:wordWrap/>
        <w:adjustRightInd w:val="0"/>
        <w:spacing w:line="240" w:lineRule="auto"/>
        <w:ind w:left="640" w:hanging="640"/>
        <w:jc w:val="left"/>
        <w:rPr>
          <w:rFonts w:ascii="Times New Roman" w:hAnsi="Times New Roman" w:cs="Times New Roman"/>
          <w:noProof/>
          <w:kern w:val="0"/>
          <w:szCs w:val="24"/>
        </w:rPr>
      </w:pPr>
      <w:r w:rsidRPr="008B7F9E">
        <w:rPr>
          <w:rFonts w:ascii="Times New Roman" w:hAnsi="Times New Roman" w:cs="Times New Roman"/>
          <w:noProof/>
          <w:kern w:val="0"/>
          <w:szCs w:val="24"/>
        </w:rPr>
        <w:t xml:space="preserve">13. </w:t>
      </w:r>
      <w:r w:rsidRPr="008B7F9E">
        <w:rPr>
          <w:rFonts w:ascii="Times New Roman" w:hAnsi="Times New Roman" w:cs="Times New Roman"/>
          <w:noProof/>
          <w:kern w:val="0"/>
          <w:szCs w:val="24"/>
        </w:rPr>
        <w:tab/>
        <w:t>Bandara N, Sharma AK, Krieger S, et al. Evaluation of 64Cu-Based Radiopharmaceuticals that Target Aβ Peptide Aggregates as Diagnostic Tools for Alzheimer’s Disease. J Am Chem Soc [Internet]. 2017 [cited 13 November 2023]; 139: 12550–8. Available at: https://pubs.acs.org/doi/full/10.1021/jacs.7b05937</w:t>
      </w:r>
    </w:p>
    <w:p w14:paraId="1D7E358B" w14:textId="77777777" w:rsidR="008B7F9E" w:rsidRPr="008B7F9E" w:rsidRDefault="008B7F9E" w:rsidP="008B7F9E">
      <w:pPr>
        <w:wordWrap/>
        <w:adjustRightInd w:val="0"/>
        <w:spacing w:line="240" w:lineRule="auto"/>
        <w:ind w:left="640" w:hanging="640"/>
        <w:jc w:val="left"/>
        <w:rPr>
          <w:rFonts w:ascii="Times New Roman" w:hAnsi="Times New Roman" w:cs="Times New Roman"/>
          <w:noProof/>
          <w:kern w:val="0"/>
          <w:szCs w:val="24"/>
        </w:rPr>
      </w:pPr>
      <w:r w:rsidRPr="008B7F9E">
        <w:rPr>
          <w:rFonts w:ascii="Times New Roman" w:hAnsi="Times New Roman" w:cs="Times New Roman"/>
          <w:noProof/>
          <w:kern w:val="0"/>
          <w:szCs w:val="24"/>
        </w:rPr>
        <w:t xml:space="preserve">14. </w:t>
      </w:r>
      <w:r w:rsidRPr="008B7F9E">
        <w:rPr>
          <w:rFonts w:ascii="Times New Roman" w:hAnsi="Times New Roman" w:cs="Times New Roman"/>
          <w:noProof/>
          <w:kern w:val="0"/>
          <w:szCs w:val="24"/>
        </w:rPr>
        <w:tab/>
        <w:t>Banerjee SR, Minn I, Kumar V, et al. Preclinical Evaluation of 203/212Pb-Labeled Low-Molecular-Weight Compounds for Targeted Radiopharmaceutical Therapy of Prostate Cancer. J Nucl Med [Internet]. 2020 [cited 13 November 2023]; 61: 80–8. Available at: https://pubmed.ncbi.nlm.nih.gov/31253744/</w:t>
      </w:r>
    </w:p>
    <w:p w14:paraId="0DD8D26B" w14:textId="77777777" w:rsidR="00352DCE" w:rsidRDefault="008B7F9E" w:rsidP="00C242A8">
      <w:pPr>
        <w:wordWrap/>
        <w:adjustRightInd w:val="0"/>
        <w:spacing w:line="240" w:lineRule="auto"/>
        <w:ind w:left="640" w:hanging="640"/>
        <w:jc w:val="left"/>
        <w:rPr>
          <w:rFonts w:ascii="Times New Roman" w:hAnsi="Times New Roman" w:cs="Times New Roman"/>
        </w:rPr>
      </w:pPr>
      <w:r w:rsidRPr="008B7F9E">
        <w:rPr>
          <w:rFonts w:ascii="Times New Roman" w:hAnsi="Times New Roman" w:cs="Times New Roman"/>
          <w:noProof/>
          <w:kern w:val="0"/>
          <w:szCs w:val="24"/>
        </w:rPr>
        <w:t xml:space="preserve">15. </w:t>
      </w:r>
      <w:r w:rsidRPr="008B7F9E">
        <w:rPr>
          <w:rFonts w:ascii="Times New Roman" w:hAnsi="Times New Roman" w:cs="Times New Roman"/>
          <w:noProof/>
          <w:kern w:val="0"/>
          <w:szCs w:val="24"/>
        </w:rPr>
        <w:tab/>
        <w:t xml:space="preserve">Grus T, Lahnif H, Bausbacher N, Miederer M, Rösch F. DOTA Conjugate of Bisphosphonate and PSMA-Inhibitor: A Promising Combination for Therapy of Prostate Cancer Related Bone Metastases. Front Nucl Med. 2022; 2: 892147. </w:t>
      </w:r>
      <w:r w:rsidR="00025180">
        <w:rPr>
          <w:rFonts w:ascii="Times New Roman" w:hAnsi="Times New Roman" w:cs="Times New Roman"/>
        </w:rPr>
        <w:fldChar w:fldCharType="end"/>
      </w:r>
    </w:p>
    <w:p w14:paraId="520CF9D5" w14:textId="77777777" w:rsidR="00A578FF" w:rsidRDefault="00A578FF" w:rsidP="00C242A8">
      <w:pPr>
        <w:wordWrap/>
        <w:adjustRightInd w:val="0"/>
        <w:spacing w:line="240" w:lineRule="auto"/>
        <w:ind w:left="640" w:hanging="640"/>
        <w:jc w:val="left"/>
        <w:rPr>
          <w:rFonts w:ascii="Times New Roman" w:hAnsi="Times New Roman" w:cs="Times New Roman"/>
        </w:rPr>
      </w:pPr>
      <w:r w:rsidRPr="00A578FF">
        <w:rPr>
          <w:rFonts w:ascii="Times New Roman" w:hAnsi="Times New Roman" w:cs="Times New Roman"/>
        </w:rPr>
        <w:lastRenderedPageBreak/>
        <w:t>https://jnm.snmjournals.org/content/63/supplement_2/4036</w:t>
      </w:r>
    </w:p>
    <w:sectPr w:rsidR="00A578FF">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B65D03" w14:textId="77777777" w:rsidR="002046C5" w:rsidRDefault="002046C5" w:rsidP="00352DCE">
      <w:pPr>
        <w:spacing w:after="0" w:line="240" w:lineRule="auto"/>
      </w:pPr>
      <w:r>
        <w:separator/>
      </w:r>
    </w:p>
  </w:endnote>
  <w:endnote w:type="continuationSeparator" w:id="0">
    <w:p w14:paraId="07DB0E8A" w14:textId="77777777" w:rsidR="002046C5" w:rsidRDefault="002046C5" w:rsidP="00352D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algun Gothic">
    <w:altName w:val="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912BA6" w14:textId="77777777" w:rsidR="002046C5" w:rsidRDefault="002046C5" w:rsidP="00352DCE">
      <w:pPr>
        <w:spacing w:after="0" w:line="240" w:lineRule="auto"/>
      </w:pPr>
      <w:r>
        <w:separator/>
      </w:r>
    </w:p>
  </w:footnote>
  <w:footnote w:type="continuationSeparator" w:id="0">
    <w:p w14:paraId="07E334B4" w14:textId="77777777" w:rsidR="002046C5" w:rsidRDefault="002046C5" w:rsidP="00352DC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4DF7"/>
    <w:rsid w:val="00025180"/>
    <w:rsid w:val="00027655"/>
    <w:rsid w:val="00032EC2"/>
    <w:rsid w:val="000F2FB4"/>
    <w:rsid w:val="000F46CC"/>
    <w:rsid w:val="00104E87"/>
    <w:rsid w:val="001220FD"/>
    <w:rsid w:val="0017384B"/>
    <w:rsid w:val="001C71DA"/>
    <w:rsid w:val="001D5820"/>
    <w:rsid w:val="002046C5"/>
    <w:rsid w:val="0021020A"/>
    <w:rsid w:val="00234C50"/>
    <w:rsid w:val="002375D3"/>
    <w:rsid w:val="002942AD"/>
    <w:rsid w:val="002A4DF7"/>
    <w:rsid w:val="002C17D7"/>
    <w:rsid w:val="002C4FE8"/>
    <w:rsid w:val="003130E3"/>
    <w:rsid w:val="00352DCE"/>
    <w:rsid w:val="00384F5A"/>
    <w:rsid w:val="003C1A16"/>
    <w:rsid w:val="003E71FA"/>
    <w:rsid w:val="00412991"/>
    <w:rsid w:val="00417CD2"/>
    <w:rsid w:val="004504C8"/>
    <w:rsid w:val="00455390"/>
    <w:rsid w:val="004658AA"/>
    <w:rsid w:val="00474977"/>
    <w:rsid w:val="00483949"/>
    <w:rsid w:val="004A0DCA"/>
    <w:rsid w:val="004B2406"/>
    <w:rsid w:val="00512378"/>
    <w:rsid w:val="00534677"/>
    <w:rsid w:val="00567566"/>
    <w:rsid w:val="005D67F2"/>
    <w:rsid w:val="005F356F"/>
    <w:rsid w:val="00630B77"/>
    <w:rsid w:val="00633F1F"/>
    <w:rsid w:val="006352C7"/>
    <w:rsid w:val="00676EE3"/>
    <w:rsid w:val="006E6CFC"/>
    <w:rsid w:val="00713459"/>
    <w:rsid w:val="0071609F"/>
    <w:rsid w:val="00720B4C"/>
    <w:rsid w:val="00733BC6"/>
    <w:rsid w:val="007357BE"/>
    <w:rsid w:val="00774FF3"/>
    <w:rsid w:val="00790D77"/>
    <w:rsid w:val="00791B42"/>
    <w:rsid w:val="0079652E"/>
    <w:rsid w:val="007A0960"/>
    <w:rsid w:val="007C3DC7"/>
    <w:rsid w:val="007E3E3E"/>
    <w:rsid w:val="007F1598"/>
    <w:rsid w:val="00843A47"/>
    <w:rsid w:val="008574D8"/>
    <w:rsid w:val="00882725"/>
    <w:rsid w:val="00884503"/>
    <w:rsid w:val="008B7F9E"/>
    <w:rsid w:val="008D1CD8"/>
    <w:rsid w:val="009369C4"/>
    <w:rsid w:val="00956FC9"/>
    <w:rsid w:val="00976392"/>
    <w:rsid w:val="00991978"/>
    <w:rsid w:val="009A4FA0"/>
    <w:rsid w:val="009B08DA"/>
    <w:rsid w:val="009D1C56"/>
    <w:rsid w:val="009E2564"/>
    <w:rsid w:val="00A21A52"/>
    <w:rsid w:val="00A374EF"/>
    <w:rsid w:val="00A5393C"/>
    <w:rsid w:val="00A578FF"/>
    <w:rsid w:val="00A63FE3"/>
    <w:rsid w:val="00A841BB"/>
    <w:rsid w:val="00A95B41"/>
    <w:rsid w:val="00AB5047"/>
    <w:rsid w:val="00AC52E0"/>
    <w:rsid w:val="00AE6A6A"/>
    <w:rsid w:val="00B301E4"/>
    <w:rsid w:val="00B428C3"/>
    <w:rsid w:val="00B47081"/>
    <w:rsid w:val="00B82E44"/>
    <w:rsid w:val="00B92685"/>
    <w:rsid w:val="00BE3F7A"/>
    <w:rsid w:val="00BF52CC"/>
    <w:rsid w:val="00C0158E"/>
    <w:rsid w:val="00C07D9F"/>
    <w:rsid w:val="00C242A8"/>
    <w:rsid w:val="00C4002D"/>
    <w:rsid w:val="00C418C5"/>
    <w:rsid w:val="00C65E95"/>
    <w:rsid w:val="00C70224"/>
    <w:rsid w:val="00C84966"/>
    <w:rsid w:val="00C909BD"/>
    <w:rsid w:val="00CA1EC3"/>
    <w:rsid w:val="00CB20B4"/>
    <w:rsid w:val="00CB6F5F"/>
    <w:rsid w:val="00CC1034"/>
    <w:rsid w:val="00CE53A8"/>
    <w:rsid w:val="00CF0DD1"/>
    <w:rsid w:val="00D759BE"/>
    <w:rsid w:val="00DA2699"/>
    <w:rsid w:val="00DD73BA"/>
    <w:rsid w:val="00DE6434"/>
    <w:rsid w:val="00E37B9A"/>
    <w:rsid w:val="00E57BE4"/>
    <w:rsid w:val="00E90260"/>
    <w:rsid w:val="00EC1E13"/>
    <w:rsid w:val="00EC30B2"/>
    <w:rsid w:val="00EC5A4D"/>
    <w:rsid w:val="00EC6210"/>
    <w:rsid w:val="00EF17E6"/>
    <w:rsid w:val="00F11C54"/>
    <w:rsid w:val="00F71E89"/>
    <w:rsid w:val="00F74317"/>
    <w:rsid w:val="00F77697"/>
    <w:rsid w:val="00FB01BE"/>
    <w:rsid w:val="00FB14D7"/>
    <w:rsid w:val="00FB472B"/>
    <w:rsid w:val="00FD1FF0"/>
    <w:rsid w:val="00FF75B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DC7FD61"/>
  <w15:chartTrackingRefBased/>
  <w15:docId w15:val="{9DEFAEE5-D1FC-4F3C-82E0-7BA8F1FF2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52DCE"/>
    <w:pPr>
      <w:widowControl w:val="0"/>
      <w:wordWrap w:val="0"/>
      <w:autoSpaceDE w:val="0"/>
      <w:autoSpaceDN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52DCE"/>
    <w:pPr>
      <w:tabs>
        <w:tab w:val="center" w:pos="4513"/>
        <w:tab w:val="right" w:pos="9026"/>
      </w:tabs>
      <w:snapToGrid w:val="0"/>
    </w:pPr>
  </w:style>
  <w:style w:type="character" w:customStyle="1" w:styleId="HeaderChar">
    <w:name w:val="Header Char"/>
    <w:basedOn w:val="DefaultParagraphFont"/>
    <w:link w:val="Header"/>
    <w:uiPriority w:val="99"/>
    <w:rsid w:val="00352DCE"/>
  </w:style>
  <w:style w:type="paragraph" w:styleId="Footer">
    <w:name w:val="footer"/>
    <w:basedOn w:val="Normal"/>
    <w:link w:val="FooterChar"/>
    <w:uiPriority w:val="99"/>
    <w:unhideWhenUsed/>
    <w:rsid w:val="00352DCE"/>
    <w:pPr>
      <w:tabs>
        <w:tab w:val="center" w:pos="4513"/>
        <w:tab w:val="right" w:pos="9026"/>
      </w:tabs>
      <w:snapToGrid w:val="0"/>
    </w:pPr>
  </w:style>
  <w:style w:type="character" w:customStyle="1" w:styleId="FooterChar">
    <w:name w:val="Footer Char"/>
    <w:basedOn w:val="DefaultParagraphFont"/>
    <w:link w:val="Footer"/>
    <w:uiPriority w:val="99"/>
    <w:rsid w:val="00352DCE"/>
  </w:style>
  <w:style w:type="table" w:styleId="TableGrid">
    <w:name w:val="Table Grid"/>
    <w:basedOn w:val="TableNormal"/>
    <w:uiPriority w:val="39"/>
    <w:rsid w:val="00352DC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733BC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65740">
      <w:bodyDiv w:val="1"/>
      <w:marLeft w:val="0"/>
      <w:marRight w:val="0"/>
      <w:marTop w:val="0"/>
      <w:marBottom w:val="0"/>
      <w:divBdr>
        <w:top w:val="none" w:sz="0" w:space="0" w:color="auto"/>
        <w:left w:val="none" w:sz="0" w:space="0" w:color="auto"/>
        <w:bottom w:val="none" w:sz="0" w:space="0" w:color="auto"/>
        <w:right w:val="none" w:sz="0" w:space="0" w:color="auto"/>
      </w:divBdr>
    </w:div>
    <w:div w:id="342241760">
      <w:bodyDiv w:val="1"/>
      <w:marLeft w:val="0"/>
      <w:marRight w:val="0"/>
      <w:marTop w:val="0"/>
      <w:marBottom w:val="0"/>
      <w:divBdr>
        <w:top w:val="none" w:sz="0" w:space="0" w:color="auto"/>
        <w:left w:val="none" w:sz="0" w:space="0" w:color="auto"/>
        <w:bottom w:val="none" w:sz="0" w:space="0" w:color="auto"/>
        <w:right w:val="none" w:sz="0" w:space="0" w:color="auto"/>
      </w:divBdr>
    </w:div>
    <w:div w:id="547305194">
      <w:bodyDiv w:val="1"/>
      <w:marLeft w:val="0"/>
      <w:marRight w:val="0"/>
      <w:marTop w:val="0"/>
      <w:marBottom w:val="0"/>
      <w:divBdr>
        <w:top w:val="none" w:sz="0" w:space="0" w:color="auto"/>
        <w:left w:val="none" w:sz="0" w:space="0" w:color="auto"/>
        <w:bottom w:val="none" w:sz="0" w:space="0" w:color="auto"/>
        <w:right w:val="none" w:sz="0" w:space="0" w:color="auto"/>
      </w:divBdr>
    </w:div>
    <w:div w:id="1057899014">
      <w:bodyDiv w:val="1"/>
      <w:marLeft w:val="0"/>
      <w:marRight w:val="0"/>
      <w:marTop w:val="0"/>
      <w:marBottom w:val="0"/>
      <w:divBdr>
        <w:top w:val="none" w:sz="0" w:space="0" w:color="auto"/>
        <w:left w:val="none" w:sz="0" w:space="0" w:color="auto"/>
        <w:bottom w:val="none" w:sz="0" w:space="0" w:color="auto"/>
        <w:right w:val="none" w:sz="0" w:space="0" w:color="auto"/>
      </w:divBdr>
    </w:div>
    <w:div w:id="1407729298">
      <w:bodyDiv w:val="1"/>
      <w:marLeft w:val="0"/>
      <w:marRight w:val="0"/>
      <w:marTop w:val="0"/>
      <w:marBottom w:val="0"/>
      <w:divBdr>
        <w:top w:val="none" w:sz="0" w:space="0" w:color="auto"/>
        <w:left w:val="none" w:sz="0" w:space="0" w:color="auto"/>
        <w:bottom w:val="none" w:sz="0" w:space="0" w:color="auto"/>
        <w:right w:val="none" w:sz="0" w:space="0" w:color="auto"/>
      </w:divBdr>
    </w:div>
    <w:div w:id="1709449123">
      <w:bodyDiv w:val="1"/>
      <w:marLeft w:val="0"/>
      <w:marRight w:val="0"/>
      <w:marTop w:val="0"/>
      <w:marBottom w:val="0"/>
      <w:divBdr>
        <w:top w:val="none" w:sz="0" w:space="0" w:color="auto"/>
        <w:left w:val="none" w:sz="0" w:space="0" w:color="auto"/>
        <w:bottom w:val="none" w:sz="0" w:space="0" w:color="auto"/>
        <w:right w:val="none" w:sz="0" w:space="0" w:color="auto"/>
      </w:divBdr>
    </w:div>
    <w:div w:id="2066027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72EB71-07FF-4F71-BBE1-4CB2C323E3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342</TotalTime>
  <Pages>6</Pages>
  <Words>8920</Words>
  <Characters>50850</Characters>
  <Application>Microsoft Office Word</Application>
  <DocSecurity>0</DocSecurity>
  <Lines>423</Lines>
  <Paragraphs>119</Paragraphs>
  <ScaleCrop>false</ScaleCrop>
  <HeadingPairs>
    <vt:vector size="4" baseType="variant">
      <vt:variant>
        <vt:lpstr>Title</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59651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ambers100</dc:creator>
  <cp:keywords/>
  <dc:description/>
  <cp:lastModifiedBy>musbah muath</cp:lastModifiedBy>
  <cp:revision>97</cp:revision>
  <dcterms:created xsi:type="dcterms:W3CDTF">2023-11-07T05:57:00Z</dcterms:created>
  <dcterms:modified xsi:type="dcterms:W3CDTF">2025-04-05T07:02:00Z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http://www.zotero.org/styles/modern-humanities-research-association</vt:lpwstr>
  </property>
  <property fmtid="{D5CDD505-2E9C-101B-9397-08002B2CF9AE}" pid="13" name="Mendeley Recent Style Name 5_1">
    <vt:lpwstr>Modern Humanities Research Association 3rd edition (note with bibliography)</vt:lpwstr>
  </property>
  <property fmtid="{D5CDD505-2E9C-101B-9397-08002B2CF9AE}" pid="14" name="Mendeley Recent Style Id 6_1">
    <vt:lpwstr>http://www.zotero.org/styles/modern-language-association</vt:lpwstr>
  </property>
  <property fmtid="{D5CDD505-2E9C-101B-9397-08002B2CF9AE}" pid="15" name="Mendeley Recent Style Name 6_1">
    <vt:lpwstr>Modern Language Association 8th edition</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http://www.zotero.org/styles/theranostics</vt:lpwstr>
  </property>
  <property fmtid="{D5CDD505-2E9C-101B-9397-08002B2CF9AE}" pid="19" name="Mendeley Recent Style Name 8_1">
    <vt:lpwstr>Theranostics</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Unique User Id_1">
    <vt:lpwstr>2178ed6b-766b-34ec-9ee4-a95ef3c70b2e</vt:lpwstr>
  </property>
  <property fmtid="{D5CDD505-2E9C-101B-9397-08002B2CF9AE}" pid="24" name="Mendeley Citation Style_1">
    <vt:lpwstr>http://www.zotero.org/styles/theranostics</vt:lpwstr>
  </property>
</Properties>
</file>