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3F904C" w14:textId="77777777" w:rsidR="00324B7C" w:rsidRDefault="00324B7C" w:rsidP="00324B7C">
      <w:pPr>
        <w:rPr>
          <w:rFonts w:ascii="Arial" w:hAnsi="Arial" w:cs="Arial"/>
          <w:b/>
          <w:bCs/>
        </w:rPr>
      </w:pPr>
    </w:p>
    <w:p w14:paraId="3437AF2C" w14:textId="05B66D9B" w:rsidR="00324B7C" w:rsidRDefault="00B57600" w:rsidP="00324B7C">
      <w:pPr>
        <w:rPr>
          <w:rFonts w:ascii="Arial" w:hAnsi="Arial" w:cs="Arial"/>
          <w:b/>
          <w:bCs/>
        </w:rPr>
      </w:pPr>
      <w:r>
        <w:rPr>
          <w:rFonts w:ascii="Arial" w:hAnsi="Arial" w:cs="Arial"/>
          <w:b/>
          <w:bCs/>
          <w:noProof/>
        </w:rPr>
        <w:drawing>
          <wp:inline distT="0" distB="0" distL="0" distR="0" wp14:anchorId="429773FA" wp14:editId="0B310E2E">
            <wp:extent cx="5274310" cy="6948170"/>
            <wp:effectExtent l="0" t="0" r="2540" b="5080"/>
            <wp:docPr id="17636816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81645" name="图片 1763681645"/>
                    <pic:cNvPicPr/>
                  </pic:nvPicPr>
                  <pic:blipFill>
                    <a:blip r:embed="rId4">
                      <a:extLst>
                        <a:ext uri="{28A0092B-C50C-407E-A947-70E740481C1C}">
                          <a14:useLocalDpi xmlns:a14="http://schemas.microsoft.com/office/drawing/2010/main" val="0"/>
                        </a:ext>
                      </a:extLst>
                    </a:blip>
                    <a:stretch>
                      <a:fillRect/>
                    </a:stretch>
                  </pic:blipFill>
                  <pic:spPr>
                    <a:xfrm>
                      <a:off x="0" y="0"/>
                      <a:ext cx="5274310" cy="6948170"/>
                    </a:xfrm>
                    <a:prstGeom prst="rect">
                      <a:avLst/>
                    </a:prstGeom>
                  </pic:spPr>
                </pic:pic>
              </a:graphicData>
            </a:graphic>
          </wp:inline>
        </w:drawing>
      </w:r>
    </w:p>
    <w:p w14:paraId="7EEE3B57" w14:textId="3F79664D" w:rsidR="00324B7C" w:rsidRDefault="00324B7C" w:rsidP="00324B7C">
      <w:pPr>
        <w:rPr>
          <w:rFonts w:ascii="Arial" w:hAnsi="Arial" w:cs="Arial" w:hint="eastAsia"/>
          <w:b/>
          <w:bCs/>
        </w:rPr>
      </w:pPr>
      <w:r>
        <w:rPr>
          <w:rFonts w:ascii="Arial" w:hAnsi="Arial" w:cs="Arial" w:hint="eastAsia"/>
          <w:b/>
          <w:bCs/>
        </w:rPr>
        <w:t>Supplementary Figure 1</w:t>
      </w:r>
    </w:p>
    <w:p w14:paraId="7152D1C5" w14:textId="5747F77C" w:rsidR="00324B7C" w:rsidRDefault="00324B7C" w:rsidP="00324B7C">
      <w:pPr>
        <w:rPr>
          <w:rFonts w:ascii="Arial" w:hAnsi="Arial" w:cs="Arial"/>
        </w:rPr>
      </w:pPr>
      <w:r>
        <w:rPr>
          <w:rFonts w:ascii="Arial" w:hAnsi="Arial" w:cs="Arial" w:hint="eastAsia"/>
          <w:b/>
          <w:bCs/>
        </w:rPr>
        <w:t>A</w:t>
      </w:r>
      <w:r w:rsidRPr="00BF5338">
        <w:rPr>
          <w:rFonts w:ascii="Arial" w:hAnsi="Arial" w:cs="Arial"/>
        </w:rPr>
        <w:t>, Bubble plot showed a clustering analysis of the single-cell sequencing data obtained from the samples submitted for analysis. The vertical axis represents the characteristic markers of the major cell populations, while the horizontal axis shows the major cell populations and their subsets. The gene expression levels of each cell were standardized using Z-score, with the size of the bubble representing the expression intensity of the gene, and different colors indicating different cell populations.</w:t>
      </w:r>
    </w:p>
    <w:p w14:paraId="65638C1B" w14:textId="77777777" w:rsidR="00324B7C" w:rsidRPr="00BF5338" w:rsidRDefault="00324B7C" w:rsidP="00324B7C">
      <w:pPr>
        <w:rPr>
          <w:rFonts w:ascii="Arial" w:hAnsi="Arial" w:cs="Arial"/>
        </w:rPr>
      </w:pPr>
    </w:p>
    <w:p w14:paraId="0D34090D" w14:textId="51FA4BC5" w:rsidR="00324B7C" w:rsidRDefault="00324B7C" w:rsidP="00324B7C">
      <w:pPr>
        <w:rPr>
          <w:rFonts w:ascii="Arial" w:hAnsi="Arial" w:cs="Arial"/>
        </w:rPr>
      </w:pPr>
      <w:r>
        <w:rPr>
          <w:rFonts w:ascii="Arial" w:hAnsi="Arial" w:cs="Arial" w:hint="eastAsia"/>
          <w:b/>
          <w:bCs/>
        </w:rPr>
        <w:t>B</w:t>
      </w:r>
      <w:r w:rsidRPr="00BF5338">
        <w:rPr>
          <w:rFonts w:ascii="Arial" w:hAnsi="Arial" w:cs="Arial"/>
        </w:rPr>
        <w:t xml:space="preserve">, </w:t>
      </w:r>
      <w:r>
        <w:rPr>
          <w:rFonts w:ascii="Arial" w:hAnsi="Arial" w:cs="Arial" w:hint="eastAsia"/>
        </w:rPr>
        <w:t>Violin</w:t>
      </w:r>
      <w:r w:rsidRPr="00BF5338">
        <w:rPr>
          <w:rFonts w:ascii="Arial" w:hAnsi="Arial" w:cs="Arial"/>
        </w:rPr>
        <w:t xml:space="preserve"> plot showed a clustering analysis of the single-cell sequencing data obtained from the samples submitted for analysis. The vertical axis represents the characteristic markers of the major cell populations, while the horizontal axis shows the major cell populations and their subsets. The gene expression levels of each cell were standardized using Z-score, with the size of the </w:t>
      </w:r>
      <w:r>
        <w:rPr>
          <w:rFonts w:ascii="Arial" w:hAnsi="Arial" w:cs="Arial" w:hint="eastAsia"/>
        </w:rPr>
        <w:t>violin</w:t>
      </w:r>
      <w:r w:rsidRPr="00BF5338">
        <w:rPr>
          <w:rFonts w:ascii="Arial" w:hAnsi="Arial" w:cs="Arial"/>
        </w:rPr>
        <w:t xml:space="preserve"> representing the expression intensity of the gene, and different colors indicating different cell populations.</w:t>
      </w:r>
    </w:p>
    <w:p w14:paraId="204BFDA3" w14:textId="77777777" w:rsidR="00324B7C" w:rsidRDefault="00324B7C" w:rsidP="00324B7C">
      <w:pPr>
        <w:rPr>
          <w:rFonts w:ascii="Arial" w:hAnsi="Arial" w:cs="Arial"/>
        </w:rPr>
      </w:pPr>
    </w:p>
    <w:p w14:paraId="4F371B1B" w14:textId="77777777" w:rsidR="00B57600" w:rsidRDefault="00B57600" w:rsidP="00324B7C">
      <w:pPr>
        <w:rPr>
          <w:rFonts w:ascii="Arial" w:hAnsi="Arial" w:cs="Arial"/>
        </w:rPr>
      </w:pPr>
    </w:p>
    <w:p w14:paraId="78E19151" w14:textId="4F52BA37" w:rsidR="00B57600" w:rsidRPr="00BF5338" w:rsidRDefault="00B57600" w:rsidP="00324B7C">
      <w:pPr>
        <w:rPr>
          <w:rFonts w:ascii="Arial" w:hAnsi="Arial" w:cs="Arial" w:hint="eastAsia"/>
        </w:rPr>
      </w:pPr>
      <w:r>
        <w:rPr>
          <w:rFonts w:ascii="Arial" w:hAnsi="Arial" w:cs="Arial" w:hint="eastAsia"/>
          <w:noProof/>
        </w:rPr>
        <w:drawing>
          <wp:inline distT="0" distB="0" distL="0" distR="0" wp14:anchorId="33BEBD61" wp14:editId="4EBA1232">
            <wp:extent cx="5274310" cy="6952615"/>
            <wp:effectExtent l="0" t="0" r="2540" b="635"/>
            <wp:docPr id="13959129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912960" name="图片 1395912960"/>
                    <pic:cNvPicPr/>
                  </pic:nvPicPr>
                  <pic:blipFill>
                    <a:blip r:embed="rId5" cstate="print">
                      <a:extLst>
                        <a:ext uri="{28A0092B-C50C-407E-A947-70E740481C1C}">
                          <a14:useLocalDpi xmlns:a14="http://schemas.microsoft.com/office/drawing/2010/main" val="0"/>
                        </a:ext>
                      </a:extLst>
                    </a:blip>
                    <a:stretch>
                      <a:fillRect/>
                    </a:stretch>
                  </pic:blipFill>
                  <pic:spPr>
                    <a:xfrm>
                      <a:off x="0" y="0"/>
                      <a:ext cx="5274310" cy="6952615"/>
                    </a:xfrm>
                    <a:prstGeom prst="rect">
                      <a:avLst/>
                    </a:prstGeom>
                  </pic:spPr>
                </pic:pic>
              </a:graphicData>
            </a:graphic>
          </wp:inline>
        </w:drawing>
      </w:r>
    </w:p>
    <w:p w14:paraId="6E4B16C5" w14:textId="5713CD90" w:rsidR="00324B7C" w:rsidRDefault="00324B7C" w:rsidP="00324B7C">
      <w:pPr>
        <w:rPr>
          <w:rFonts w:ascii="Arial" w:hAnsi="Arial" w:cs="Arial" w:hint="eastAsia"/>
          <w:b/>
          <w:bCs/>
        </w:rPr>
      </w:pPr>
      <w:r>
        <w:rPr>
          <w:rFonts w:ascii="Arial" w:hAnsi="Arial" w:cs="Arial" w:hint="eastAsia"/>
          <w:b/>
          <w:bCs/>
        </w:rPr>
        <w:lastRenderedPageBreak/>
        <w:t xml:space="preserve">Supplementary Figure </w:t>
      </w:r>
      <w:r>
        <w:rPr>
          <w:rFonts w:ascii="Arial" w:hAnsi="Arial" w:cs="Arial" w:hint="eastAsia"/>
          <w:b/>
          <w:bCs/>
        </w:rPr>
        <w:t xml:space="preserve">2 </w:t>
      </w:r>
      <w:r w:rsidRPr="00324B7C">
        <w:rPr>
          <w:rFonts w:ascii="Arial" w:hAnsi="Arial" w:cs="Arial" w:hint="eastAsia"/>
          <w:b/>
          <w:bCs/>
        </w:rPr>
        <w:t>Analysis of the Binding Mode and Interaction Forces between Compound Angiotensin II human and UBR2</w:t>
      </w:r>
    </w:p>
    <w:p w14:paraId="4526C2B7" w14:textId="0925953A" w:rsidR="00110571" w:rsidRPr="00324B7C" w:rsidRDefault="00324B7C" w:rsidP="00324B7C">
      <w:pPr>
        <w:rPr>
          <w:rFonts w:ascii="Arial" w:hAnsi="Arial" w:cs="Arial" w:hint="eastAsia"/>
        </w:rPr>
      </w:pPr>
      <w:r>
        <w:rPr>
          <w:rFonts w:ascii="Arial" w:hAnsi="Arial" w:cs="Arial" w:hint="eastAsia"/>
        </w:rPr>
        <w:t>A</w:t>
      </w:r>
      <w:r w:rsidRPr="00324B7C">
        <w:rPr>
          <w:rFonts w:ascii="Arial" w:hAnsi="Arial" w:cs="Arial" w:hint="eastAsia"/>
        </w:rPr>
        <w:t>: The binding mode of the interaction between the small molecule compound Angiotensin II human and the surface of the E3 ubiquitin-protein ligase UBR2 protein.</w:t>
      </w:r>
      <w:r>
        <w:rPr>
          <w:rFonts w:ascii="Arial" w:hAnsi="Arial" w:cs="Arial" w:hint="eastAsia"/>
        </w:rPr>
        <w:t xml:space="preserve"> </w:t>
      </w:r>
      <w:r w:rsidRPr="00324B7C">
        <w:rPr>
          <w:rFonts w:ascii="Arial" w:hAnsi="Arial" w:cs="Arial" w:hint="eastAsia"/>
        </w:rPr>
        <w:t>The 3D binding pattern of the specific amino acid residues of UBR2 protein interacting with compound Angiotensin II human.</w:t>
      </w:r>
      <w:r>
        <w:rPr>
          <w:rFonts w:ascii="Arial" w:hAnsi="Arial" w:cs="Arial" w:hint="eastAsia"/>
        </w:rPr>
        <w:t xml:space="preserve"> </w:t>
      </w:r>
      <w:r w:rsidRPr="00324B7C">
        <w:rPr>
          <w:rFonts w:ascii="Arial" w:hAnsi="Arial" w:cs="Arial" w:hint="eastAsia"/>
        </w:rPr>
        <w:t>The type of interaction force between UBR2 protein and compound Angiotensin II human.</w:t>
      </w:r>
    </w:p>
    <w:sectPr w:rsidR="00110571" w:rsidRPr="00324B7C">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24B7C"/>
    <w:rsid w:val="00110571"/>
    <w:rsid w:val="00324B7C"/>
    <w:rsid w:val="00512B75"/>
    <w:rsid w:val="005B20C9"/>
    <w:rsid w:val="00B57600"/>
    <w:rsid w:val="00D56931"/>
    <w:rsid w:val="00D664A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34E1C8"/>
  <w15:chartTrackingRefBased/>
  <w15:docId w15:val="{F26EBB22-AD5F-48C3-844B-5CA81AE40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24B7C"/>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tiff"/><Relationship Id="rId4" Type="http://schemas.openxmlformats.org/officeDocument/2006/relationships/image" Target="media/image1.t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TotalTime>
  <Pages>3</Pages>
  <Words>229</Words>
  <Characters>1306</Characters>
  <Application>Microsoft Office Word</Application>
  <DocSecurity>0</DocSecurity>
  <Lines>10</Lines>
  <Paragraphs>3</Paragraphs>
  <ScaleCrop>false</ScaleCrop>
  <Company/>
  <LinksUpToDate>false</LinksUpToDate>
  <CharactersWithSpaces>1532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倪 波</dc:creator>
  <cp:keywords/>
  <dc:description/>
  <cp:lastModifiedBy>倪 波</cp:lastModifiedBy>
  <cp:revision>2</cp:revision>
  <dcterms:created xsi:type="dcterms:W3CDTF">2024-08-16T06:51:00Z</dcterms:created>
  <dcterms:modified xsi:type="dcterms:W3CDTF">2024-08-16T07:20:00Z</dcterms:modified>
</cp:coreProperties>
</file>