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389" w:rsidRPr="00CB5FBD" w:rsidRDefault="00D41389" w:rsidP="00D4138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B5FBD">
        <w:rPr>
          <w:rFonts w:ascii="Times New Roman" w:hAnsi="Times New Roman" w:cs="Times New Roman"/>
          <w:b/>
          <w:bCs/>
          <w:sz w:val="24"/>
          <w:szCs w:val="24"/>
        </w:rPr>
        <w:t>Supplementary 2</w:t>
      </w:r>
    </w:p>
    <w:p w:rsidR="00D41389" w:rsidRPr="00CB5FBD" w:rsidRDefault="00D41389" w:rsidP="00D41389">
      <w:pPr>
        <w:rPr>
          <w:rFonts w:ascii="Times New Roman" w:hAnsi="Times New Roman" w:cs="Times New Roman"/>
          <w:sz w:val="24"/>
          <w:szCs w:val="24"/>
        </w:rPr>
      </w:pPr>
      <w:r w:rsidRPr="00CB5FBD">
        <w:rPr>
          <w:rFonts w:ascii="Times New Roman" w:hAnsi="Times New Roman" w:cs="Times New Roman"/>
          <w:sz w:val="24"/>
          <w:szCs w:val="24"/>
        </w:rPr>
        <w:t>Comparison of body size between adult male chimera (A) and adult common carp male (B) at 3 years of age. Scale bars 10 cm.</w:t>
      </w:r>
    </w:p>
    <w:p w:rsidR="003529A0" w:rsidRDefault="00D41389">
      <w:r>
        <w:rPr>
          <w:noProof/>
        </w:rPr>
        <w:drawing>
          <wp:inline distT="0" distB="0" distL="0" distR="0" wp14:anchorId="3DC822AB" wp14:editId="41E6DADB">
            <wp:extent cx="5760720" cy="1493704"/>
            <wp:effectExtent l="0" t="0" r="0" b="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9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29A0" w:rsidSect="00D03F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389"/>
    <w:rsid w:val="00121295"/>
    <w:rsid w:val="003529A0"/>
    <w:rsid w:val="00437E69"/>
    <w:rsid w:val="00D03FA1"/>
    <w:rsid w:val="00D41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B6B8D02-8C17-4C45-A7FE-DA57ABED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138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</dc:creator>
  <cp:keywords/>
  <dc:description/>
  <cp:lastModifiedBy>Roman</cp:lastModifiedBy>
  <cp:revision>1</cp:revision>
  <dcterms:created xsi:type="dcterms:W3CDTF">2020-08-11T06:42:00Z</dcterms:created>
  <dcterms:modified xsi:type="dcterms:W3CDTF">2020-08-11T06:42:00Z</dcterms:modified>
</cp:coreProperties>
</file>