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8B645" w14:textId="77777777" w:rsidR="005E3CB5" w:rsidRDefault="005E3CB5" w:rsidP="005E3CB5">
      <w:pPr>
        <w:rPr>
          <w:rFonts w:ascii="Times New Roman" w:hAnsi="Times New Roman"/>
          <w:b/>
          <w:bCs/>
        </w:rPr>
      </w:pPr>
      <w:r>
        <w:rPr>
          <w:rFonts w:ascii="Times New Roman" w:hAnsi="Times New Roman"/>
          <w:b/>
          <w:bCs/>
        </w:rPr>
        <w:t>Appendix</w:t>
      </w:r>
    </w:p>
    <w:p w14:paraId="3AE5385A" w14:textId="77777777" w:rsidR="005E3CB5" w:rsidRDefault="005E3CB5" w:rsidP="005E3CB5">
      <w:pPr>
        <w:rPr>
          <w:rFonts w:ascii="Times New Roman" w:hAnsi="Times New Roman"/>
          <w:b/>
          <w:bCs/>
        </w:rPr>
      </w:pPr>
      <w:r>
        <w:rPr>
          <w:rFonts w:ascii="Times New Roman" w:hAnsi="Times New Roman"/>
          <w:b/>
          <w:bCs/>
        </w:rPr>
        <w:t>Bispectrum definitions</w:t>
      </w:r>
    </w:p>
    <w:p w14:paraId="06AFB2E2" w14:textId="77777777" w:rsidR="005E3CB5" w:rsidRDefault="005E3CB5" w:rsidP="005E3CB5">
      <w:pPr>
        <w:rPr>
          <w:rFonts w:ascii="Times New Roman" w:hAnsi="Times New Roman"/>
        </w:rPr>
      </w:pPr>
      <w:r>
        <w:rPr>
          <w:rFonts w:ascii="Times New Roman" w:hAnsi="Times New Roman"/>
        </w:rPr>
        <w:t>In the domain of plasma computation, a plethora of statistical tools are available for the analysis of random signals. Within signal processing, first-order and second-order statistics are paramount. However, many signals encompass nonlinear processes that cannot be adequately described by these methods alone. Consequently, higher-order statistical methods were developed in the 1960s. High Order Spectrum (HOS), also referred to as polyspectra, has emerged as a crucial tool for the analysis of non-Gaussian linear systems, with the bispectrum being the most significant component of HOS. In the field of plasma science, Kim et al. have developed a bispectrum algorithm specifically designed to analyze the characteristics of turbulent signals in plasma, thereby advancing the analysis of physical signals</w:t>
      </w:r>
      <w:r>
        <w:rPr>
          <w:rFonts w:ascii="Times New Roman" w:hAnsi="Times New Roman" w:hint="eastAsia"/>
        </w:rPr>
        <w:t xml:space="preserve"> [40]</w:t>
      </w:r>
      <w:r>
        <w:rPr>
          <w:rFonts w:ascii="Times New Roman" w:hAnsi="Times New Roman"/>
        </w:rPr>
        <w:t>. The normalized bispectrum can be calculated using the following formula:</w:t>
      </w:r>
    </w:p>
    <w:p w14:paraId="1D6E47F1" w14:textId="77777777" w:rsidR="005E3CB5" w:rsidRDefault="005E3CB5" w:rsidP="005E3CB5">
      <w:pPr>
        <w:jc w:val="center"/>
        <w:rPr>
          <w:rFonts w:ascii="Times New Roman" w:hAnsi="Times New Roman"/>
        </w:rPr>
      </w:pPr>
      <w:r>
        <w:rPr>
          <w:rFonts w:hAnsi="Cambria Math" w:hint="eastAsia"/>
        </w:rPr>
        <w:t xml:space="preserve">                </w:t>
      </w:r>
      <m:oMath>
        <m:sSubSup>
          <m:sSubSupPr>
            <m:ctrlPr>
              <w:rPr>
                <w:rFonts w:ascii="Cambria Math" w:hAnsi="Cambria Math"/>
                <w:i/>
              </w:rPr>
            </m:ctrlPr>
          </m:sSubSupPr>
          <m:e>
            <m:acc>
              <m:accPr>
                <m:ctrlPr>
                  <w:rPr>
                    <w:rFonts w:ascii="Cambria Math" w:hAnsi="Cambria Math"/>
                    <w:i/>
                  </w:rPr>
                </m:ctrlPr>
              </m:accPr>
              <m:e>
                <m:r>
                  <w:rPr>
                    <w:rFonts w:ascii="Cambria Math" w:hAnsi="Cambria Math"/>
                  </w:rPr>
                  <m:t>b</m:t>
                </m:r>
              </m:e>
            </m:acc>
          </m:e>
          <m:sub>
            <m:r>
              <w:rPr>
                <w:rFonts w:ascii="Cambria Math" w:hAnsi="Cambria Math"/>
              </w:rPr>
              <m:t>XYZ</m:t>
            </m:r>
          </m:sub>
          <m:sup>
            <m:r>
              <w:rPr>
                <w:rFonts w:ascii="Cambria Math" w:hAnsi="Cambria Math"/>
              </w:rPr>
              <m:t>2</m:t>
            </m:r>
          </m:sup>
        </m:sSubSup>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r>
          <w:rPr>
            <w:rFonts w:ascii="Cambria Math" w:hAnsi="Cambria Math"/>
          </w:rPr>
          <m:t>=</m:t>
        </m:r>
        <m:f>
          <m:fPr>
            <m:ctrlPr>
              <w:rPr>
                <w:rFonts w:ascii="Cambria Math" w:hAnsi="Cambria Math"/>
                <w:i/>
              </w:rPr>
            </m:ctrlPr>
          </m:fPr>
          <m:num>
            <m:sSup>
              <m:sSupPr>
                <m:ctrlPr>
                  <w:rPr>
                    <w:rFonts w:ascii="Cambria Math" w:hAnsi="Cambria Math"/>
                    <w:i/>
                  </w:rPr>
                </m:ctrlPr>
              </m:sSupPr>
              <m:e>
                <m:d>
                  <m:dPr>
                    <m:begChr m:val="|"/>
                    <m:endChr m:val="|"/>
                    <m:ctrlPr>
                      <w:rPr>
                        <w:rFonts w:ascii="Cambria Math" w:hAnsi="Cambria Math"/>
                        <w:i/>
                      </w:rPr>
                    </m:ctrlPr>
                  </m:dPr>
                  <m:e>
                    <m:d>
                      <m:dPr>
                        <m:begChr m:val="⟨"/>
                        <m:endChr m:val="⟩"/>
                        <m:ctrlPr>
                          <w:rPr>
                            <w:rFonts w:ascii="Cambria Math" w:hAnsi="Cambria Math"/>
                            <w:i/>
                          </w:rPr>
                        </m:ctrlPr>
                      </m:dPr>
                      <m:e>
                        <m:r>
                          <w:rPr>
                            <w:rFonts w:ascii="Cambria Math" w:hAnsi="Cambria Math"/>
                          </w:rPr>
                          <m:t>X</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e>
                        </m:d>
                        <m:r>
                          <w:rPr>
                            <w:rFonts w:ascii="Cambria Math" w:hAnsi="Cambria Math"/>
                          </w:rPr>
                          <m:t xml:space="preserve"> Y</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2</m:t>
                                </m:r>
                              </m:sub>
                            </m:sSub>
                          </m:e>
                        </m:d>
                        <m:r>
                          <w:rPr>
                            <w:rFonts w:ascii="Cambria Math" w:hAnsi="Cambria Math"/>
                          </w:rPr>
                          <m:t xml:space="preserve"> </m:t>
                        </m:r>
                        <m:sSup>
                          <m:sSupPr>
                            <m:ctrlPr>
                              <w:rPr>
                                <w:rFonts w:ascii="Cambria Math" w:hAnsi="Cambria Math"/>
                                <w:i/>
                              </w:rPr>
                            </m:ctrlPr>
                          </m:sSupPr>
                          <m:e>
                            <m:r>
                              <w:rPr>
                                <w:rFonts w:ascii="Cambria Math" w:hAnsi="Cambria Math"/>
                              </w:rPr>
                              <m:t>Z</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e>
                    </m:d>
                  </m:e>
                </m:d>
              </m:e>
              <m:sup>
                <m:r>
                  <w:rPr>
                    <w:rFonts w:ascii="Cambria Math" w:hAnsi="Cambria Math"/>
                  </w:rPr>
                  <m:t>2</m:t>
                </m:r>
              </m:sup>
            </m:sSup>
          </m:num>
          <m:den>
            <m:d>
              <m:dPr>
                <m:begChr m:val="⟨"/>
                <m:endChr m:val="⟩"/>
                <m:ctrlPr>
                  <w:rPr>
                    <w:rFonts w:ascii="Cambria Math" w:hAnsi="Cambria Math"/>
                    <w:i/>
                  </w:rPr>
                </m:ctrlPr>
              </m:dPr>
              <m:e>
                <m:sSup>
                  <m:sSupPr>
                    <m:ctrlPr>
                      <w:rPr>
                        <w:rFonts w:ascii="Cambria Math" w:hAnsi="Cambria Math"/>
                        <w:i/>
                      </w:rPr>
                    </m:ctrlPr>
                  </m:sSupPr>
                  <m:e>
                    <m:d>
                      <m:dPr>
                        <m:begChr m:val="|"/>
                        <m:endChr m:val="|"/>
                        <m:ctrlPr>
                          <w:rPr>
                            <w:rFonts w:ascii="Cambria Math" w:hAnsi="Cambria Math"/>
                            <w:i/>
                          </w:rPr>
                        </m:ctrlPr>
                      </m:dPr>
                      <m:e>
                        <m:r>
                          <w:rPr>
                            <w:rFonts w:ascii="Cambria Math" w:hAnsi="Cambria Math"/>
                          </w:rPr>
                          <m:t>X</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e>
                        </m:d>
                        <m:r>
                          <w:rPr>
                            <w:rFonts w:ascii="Cambria Math" w:hAnsi="Cambria Math"/>
                          </w:rPr>
                          <m:t xml:space="preserve"> Y</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2</m:t>
                                </m:r>
                              </m:sub>
                            </m:sSub>
                          </m:e>
                        </m:d>
                      </m:e>
                    </m:d>
                  </m:e>
                  <m:sup>
                    <m:r>
                      <w:rPr>
                        <w:rFonts w:ascii="Cambria Math" w:hAnsi="Cambria Math"/>
                      </w:rPr>
                      <m:t>2</m:t>
                    </m:r>
                  </m:sup>
                </m:sSup>
              </m:e>
            </m:d>
            <m:d>
              <m:dPr>
                <m:begChr m:val="⟨"/>
                <m:endChr m:val="⟩"/>
                <m:ctrlPr>
                  <w:rPr>
                    <w:rFonts w:ascii="Cambria Math" w:hAnsi="Cambria Math"/>
                    <w:i/>
                  </w:rPr>
                </m:ctrlPr>
              </m:dPr>
              <m:e>
                <m:sSup>
                  <m:sSupPr>
                    <m:ctrlPr>
                      <w:rPr>
                        <w:rFonts w:ascii="Cambria Math" w:hAnsi="Cambria Math"/>
                        <w:i/>
                      </w:rPr>
                    </m:ctrlPr>
                  </m:sSupPr>
                  <m:e>
                    <m:d>
                      <m:dPr>
                        <m:begChr m:val="|"/>
                        <m:endChr m:val="|"/>
                        <m:ctrlPr>
                          <w:rPr>
                            <w:rFonts w:ascii="Cambria Math" w:hAnsi="Cambria Math"/>
                            <w:i/>
                          </w:rPr>
                        </m:ctrlPr>
                      </m:dPr>
                      <m:e>
                        <m:r>
                          <w:rPr>
                            <w:rFonts w:ascii="Cambria Math" w:hAnsi="Cambria Math"/>
                          </w:rPr>
                          <m:t>Z</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e>
                    </m:d>
                  </m:e>
                  <m:sup>
                    <m:r>
                      <w:rPr>
                        <w:rFonts w:ascii="Cambria Math" w:hAnsi="Cambria Math"/>
                      </w:rPr>
                      <m:t>2</m:t>
                    </m:r>
                  </m:sup>
                </m:sSup>
              </m:e>
            </m:d>
          </m:den>
        </m:f>
      </m:oMath>
      <w:r>
        <w:rPr>
          <w:rFonts w:hAnsi="Cambria Math" w:hint="eastAsia"/>
        </w:rPr>
        <w:t xml:space="preserve">                  </w:t>
      </w:r>
      <w:r>
        <w:rPr>
          <w:rFonts w:ascii="Times New Roman" w:hAnsi="Times New Roman" w:hint="eastAsia"/>
        </w:rPr>
        <w:t xml:space="preserve">    (1)</w:t>
      </w:r>
    </w:p>
    <w:p w14:paraId="2ACAB91A" w14:textId="77777777" w:rsidR="005E3CB5" w:rsidRDefault="005E3CB5" w:rsidP="005E3CB5">
      <w:pPr>
        <w:rPr>
          <w:rFonts w:ascii="Times New Roman" w:hAnsi="Times New Roman"/>
        </w:rPr>
      </w:pPr>
      <w:r>
        <w:rPr>
          <w:rFonts w:ascii="Times New Roman" w:hAnsi="Times New Roman"/>
        </w:rPr>
        <w:t xml:space="preserve">where </w:t>
      </w:r>
      <m:oMath>
        <m:r>
          <w:rPr>
            <w:rFonts w:ascii="Cambria Math" w:hAnsi="Cambria Math"/>
          </w:rPr>
          <m:t>X</m:t>
        </m:r>
        <m:d>
          <m:dPr>
            <m:ctrlPr>
              <w:rPr>
                <w:rFonts w:ascii="Cambria Math" w:hAnsi="Cambria Math"/>
                <w:i/>
              </w:rPr>
            </m:ctrlPr>
          </m:dPr>
          <m:e>
            <m:r>
              <w:rPr>
                <w:rFonts w:ascii="Cambria Math" w:hAnsi="Cambria Math"/>
              </w:rPr>
              <m:t>f</m:t>
            </m:r>
          </m:e>
        </m:d>
      </m:oMath>
      <w:r>
        <w:rPr>
          <w:rFonts w:ascii="Times New Roman" w:hAnsi="Times New Roman"/>
        </w:rPr>
        <w:t>，</w:t>
      </w:r>
      <m:oMath>
        <m:r>
          <w:rPr>
            <w:rFonts w:ascii="Cambria Math" w:hAnsi="Cambria Math"/>
          </w:rPr>
          <m:t>Y</m:t>
        </m:r>
        <m:d>
          <m:dPr>
            <m:ctrlPr>
              <w:rPr>
                <w:rFonts w:ascii="Cambria Math" w:hAnsi="Cambria Math"/>
                <w:i/>
              </w:rPr>
            </m:ctrlPr>
          </m:dPr>
          <m:e>
            <m:r>
              <w:rPr>
                <w:rFonts w:ascii="Cambria Math" w:hAnsi="Cambria Math"/>
              </w:rPr>
              <m:t>f</m:t>
            </m:r>
          </m:e>
        </m:d>
      </m:oMath>
      <w:r>
        <w:rPr>
          <w:rFonts w:ascii="Times New Roman" w:hAnsi="Times New Roman"/>
        </w:rPr>
        <w:t xml:space="preserve"> and </w:t>
      </w:r>
      <m:oMath>
        <m:r>
          <w:rPr>
            <w:rFonts w:ascii="Cambria Math" w:hAnsi="Cambria Math"/>
          </w:rPr>
          <m:t>Z</m:t>
        </m:r>
        <m:d>
          <m:dPr>
            <m:ctrlPr>
              <w:rPr>
                <w:rFonts w:ascii="Cambria Math" w:hAnsi="Cambria Math"/>
                <w:i/>
              </w:rPr>
            </m:ctrlPr>
          </m:dPr>
          <m:e>
            <m:r>
              <w:rPr>
                <w:rFonts w:ascii="Cambria Math" w:hAnsi="Cambria Math"/>
              </w:rPr>
              <m:t>f</m:t>
            </m:r>
          </m:e>
        </m:d>
      </m:oMath>
      <w:r>
        <w:rPr>
          <w:rFonts w:ascii="Times New Roman" w:hAnsi="Times New Roman"/>
        </w:rPr>
        <w:t xml:space="preserve"> represents the Fourier transform of the signal </w:t>
      </w:r>
      <m:oMath>
        <m:r>
          <w:rPr>
            <w:rFonts w:ascii="Cambria Math" w:hAnsi="Cambria Math"/>
          </w:rPr>
          <m:t>x</m:t>
        </m:r>
        <m:d>
          <m:dPr>
            <m:ctrlPr>
              <w:rPr>
                <w:rFonts w:ascii="Cambria Math" w:hAnsi="Cambria Math"/>
                <w:i/>
              </w:rPr>
            </m:ctrlPr>
          </m:dPr>
          <m:e>
            <m:r>
              <w:rPr>
                <w:rFonts w:ascii="Cambria Math" w:hAnsi="Cambria Math"/>
              </w:rPr>
              <m:t>t</m:t>
            </m:r>
          </m:e>
        </m:d>
      </m:oMath>
      <w:r>
        <w:rPr>
          <w:rFonts w:ascii="Times New Roman" w:hAnsi="Times New Roman"/>
        </w:rPr>
        <w:t>，</w:t>
      </w:r>
      <m:oMath>
        <m:r>
          <w:rPr>
            <w:rFonts w:ascii="Cambria Math" w:hAnsi="Cambria Math"/>
          </w:rPr>
          <m:t>y</m:t>
        </m:r>
        <m:d>
          <m:dPr>
            <m:ctrlPr>
              <w:rPr>
                <w:rFonts w:ascii="Cambria Math" w:hAnsi="Cambria Math"/>
                <w:i/>
              </w:rPr>
            </m:ctrlPr>
          </m:dPr>
          <m:e>
            <m:r>
              <w:rPr>
                <w:rFonts w:ascii="Cambria Math" w:hAnsi="Cambria Math"/>
              </w:rPr>
              <m:t>t</m:t>
            </m:r>
          </m:e>
        </m:d>
      </m:oMath>
      <w:r>
        <w:rPr>
          <w:rFonts w:ascii="Times New Roman" w:hAnsi="Times New Roman"/>
        </w:rPr>
        <w:t xml:space="preserve"> and </w:t>
      </w:r>
      <m:oMath>
        <m:r>
          <w:rPr>
            <w:rFonts w:ascii="Cambria Math" w:hAnsi="Cambria Math"/>
          </w:rPr>
          <m:t>z</m:t>
        </m:r>
        <m:d>
          <m:dPr>
            <m:ctrlPr>
              <w:rPr>
                <w:rFonts w:ascii="Cambria Math" w:hAnsi="Cambria Math"/>
                <w:i/>
              </w:rPr>
            </m:ctrlPr>
          </m:dPr>
          <m:e>
            <m:r>
              <w:rPr>
                <w:rFonts w:ascii="Cambria Math" w:hAnsi="Cambria Math"/>
              </w:rPr>
              <m:t>t</m:t>
            </m:r>
          </m:e>
        </m:d>
      </m:oMath>
      <w:r>
        <w:rPr>
          <w:rFonts w:ascii="Times New Roman" w:hAnsi="Times New Roman"/>
        </w:rPr>
        <w:t xml:space="preserve">, and the angle brackets </w:t>
      </w:r>
      <m:oMath>
        <m:d>
          <m:dPr>
            <m:begChr m:val="⟨"/>
            <m:endChr m:val="⟩"/>
            <m:ctrlPr>
              <w:rPr>
                <w:rFonts w:ascii="Cambria Math" w:hAnsi="Cambria Math"/>
                <w:i/>
              </w:rPr>
            </m:ctrlPr>
          </m:dPr>
          <m:e>
            <m:r>
              <w:rPr>
                <w:rFonts w:ascii="Cambria Math" w:hAnsi="Cambria Math"/>
              </w:rPr>
              <m:t xml:space="preserve"> </m:t>
            </m:r>
          </m:e>
        </m:d>
      </m:oMath>
      <w:r>
        <w:rPr>
          <w:rFonts w:ascii="Times New Roman" w:hAnsi="Times New Roman"/>
        </w:rPr>
        <w:t xml:space="preserve"> denote an ensemble average. In the context of </w:t>
      </w:r>
      <m:oMath>
        <m:r>
          <w:rPr>
            <w:rFonts w:ascii="Cambria Math" w:hAnsi="Cambria Math"/>
          </w:rPr>
          <m:t>X</m:t>
        </m:r>
        <m:d>
          <m:dPr>
            <m:ctrlPr>
              <w:rPr>
                <w:rFonts w:ascii="Cambria Math" w:hAnsi="Cambria Math"/>
                <w:i/>
              </w:rPr>
            </m:ctrlPr>
          </m:dPr>
          <m:e>
            <m:r>
              <w:rPr>
                <w:rFonts w:ascii="Cambria Math" w:hAnsi="Cambria Math"/>
              </w:rPr>
              <m:t>f</m:t>
            </m:r>
          </m:e>
        </m:d>
        <m:r>
          <w:rPr>
            <w:rFonts w:ascii="Cambria Math" w:hAnsi="Cambria Math"/>
          </w:rPr>
          <m:t>=Y</m:t>
        </m:r>
        <m:d>
          <m:dPr>
            <m:ctrlPr>
              <w:rPr>
                <w:rFonts w:ascii="Cambria Math" w:hAnsi="Cambria Math"/>
                <w:i/>
              </w:rPr>
            </m:ctrlPr>
          </m:dPr>
          <m:e>
            <m:r>
              <w:rPr>
                <w:rFonts w:ascii="Cambria Math" w:hAnsi="Cambria Math"/>
              </w:rPr>
              <m:t>f</m:t>
            </m:r>
          </m:e>
        </m:d>
        <m:r>
          <w:rPr>
            <w:rFonts w:ascii="Cambria Math" w:hAnsi="Cambria Math"/>
          </w:rPr>
          <m:t>=Z</m:t>
        </m:r>
        <m:d>
          <m:dPr>
            <m:ctrlPr>
              <w:rPr>
                <w:rFonts w:ascii="Cambria Math" w:hAnsi="Cambria Math"/>
                <w:i/>
              </w:rPr>
            </m:ctrlPr>
          </m:dPr>
          <m:e>
            <m:r>
              <w:rPr>
                <w:rFonts w:ascii="Cambria Math" w:hAnsi="Cambria Math"/>
              </w:rPr>
              <m:t>f</m:t>
            </m:r>
          </m:e>
        </m:d>
      </m:oMath>
      <w:r>
        <w:rPr>
          <w:rFonts w:ascii="Times New Roman" w:hAnsi="Times New Roman"/>
        </w:rPr>
        <w:t>, it is referred to as the self-bispectrum.</w:t>
      </w:r>
    </w:p>
    <w:p w14:paraId="3E2BD809" w14:textId="77777777" w:rsidR="005E3CB5" w:rsidRDefault="005E3CB5" w:rsidP="005E3CB5">
      <w:pPr>
        <w:rPr>
          <w:rFonts w:hAnsi="Cambria Math"/>
        </w:rPr>
      </w:pPr>
      <w:r>
        <w:rPr>
          <w:rFonts w:ascii="Times New Roman" w:hAnsi="Times New Roman" w:hint="eastAsia"/>
        </w:rPr>
        <w:t xml:space="preserve">The bispectrum is defined as follows:  </w:t>
      </w:r>
      <w:r>
        <w:rPr>
          <w:rFonts w:hAnsi="Cambria Math" w:hint="eastAsia"/>
        </w:rPr>
        <w:t xml:space="preserve">           </w:t>
      </w:r>
    </w:p>
    <w:p w14:paraId="330BB6F3" w14:textId="77777777" w:rsidR="005E3CB5" w:rsidRDefault="005E3CB5" w:rsidP="005E3CB5">
      <w:pPr>
        <w:rPr>
          <w:rFonts w:ascii="Times New Roman" w:hAnsi="Times New Roman"/>
        </w:rPr>
      </w:pPr>
      <w:r>
        <w:rPr>
          <w:rFonts w:hAnsi="Cambria Math" w:hint="eastAsia"/>
        </w:rPr>
        <w:t xml:space="preserve">                     </w:t>
      </w:r>
      <m:oMath>
        <m:r>
          <w:rPr>
            <w:rFonts w:ascii="Cambria Math" w:hAnsi="Cambria Math"/>
          </w:rPr>
          <m:t>∑</m:t>
        </m:r>
        <m:sSubSup>
          <m:sSubSupPr>
            <m:ctrlPr>
              <w:rPr>
                <w:rFonts w:ascii="Cambria Math" w:hAnsi="Cambria Math"/>
                <w:i/>
              </w:rPr>
            </m:ctrlPr>
          </m:sSubSupPr>
          <m:e>
            <m:acc>
              <m:accPr>
                <m:ctrlPr>
                  <w:rPr>
                    <w:rFonts w:ascii="Cambria Math" w:hAnsi="Cambria Math"/>
                    <w:i/>
                  </w:rPr>
                </m:ctrlPr>
              </m:accPr>
              <m:e>
                <m:r>
                  <w:rPr>
                    <w:rFonts w:ascii="Cambria Math" w:hAnsi="Cambria Math"/>
                  </w:rPr>
                  <m:t>b</m:t>
                </m:r>
              </m:e>
            </m:acc>
          </m:e>
          <m:sub>
            <m:r>
              <w:rPr>
                <w:rFonts w:ascii="Cambria Math" w:hAnsi="Cambria Math"/>
              </w:rPr>
              <m:t>XYZ</m:t>
            </m:r>
          </m:sub>
          <m:sup>
            <m:r>
              <w:rPr>
                <w:rFonts w:ascii="Cambria Math" w:hAnsi="Cambria Math"/>
              </w:rPr>
              <m:t>2</m:t>
            </m:r>
          </m:sup>
        </m:sSubSup>
        <m:d>
          <m:dPr>
            <m:ctrlPr>
              <w:rPr>
                <w:rFonts w:ascii="Cambria Math" w:hAnsi="Cambria Math"/>
                <w:i/>
              </w:rPr>
            </m:ctrlPr>
          </m:dPr>
          <m:e>
            <m:r>
              <w:rPr>
                <w:rFonts w:ascii="Cambria Math" w:hAnsi="Cambria Math"/>
              </w:rPr>
              <m:t>f</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N</m:t>
            </m:r>
          </m:den>
        </m:f>
        <m:nary>
          <m:naryPr>
            <m:chr m:val="∑"/>
            <m:supHide m:val="1"/>
            <m:ctrlPr>
              <w:rPr>
                <w:rFonts w:ascii="Cambria Math" w:hAnsi="Cambria Math"/>
                <w:i/>
              </w:rPr>
            </m:ctrlPr>
          </m:naryPr>
          <m:sub>
            <m:r>
              <w:rPr>
                <w:rFonts w:ascii="Cambria Math" w:hAnsi="Cambria Math"/>
              </w:rPr>
              <m:t>f=</m:t>
            </m:r>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sub>
          <m:sup/>
          <m:e>
            <m:sSubSup>
              <m:sSubSupPr>
                <m:ctrlPr>
                  <w:rPr>
                    <w:rFonts w:ascii="Cambria Math" w:hAnsi="Cambria Math"/>
                    <w:i/>
                  </w:rPr>
                </m:ctrlPr>
              </m:sSubSupPr>
              <m:e>
                <m:acc>
                  <m:accPr>
                    <m:ctrlPr>
                      <w:rPr>
                        <w:rFonts w:ascii="Cambria Math" w:hAnsi="Cambria Math"/>
                        <w:i/>
                      </w:rPr>
                    </m:ctrlPr>
                  </m:accPr>
                  <m:e>
                    <m:r>
                      <w:rPr>
                        <w:rFonts w:ascii="Cambria Math" w:hAnsi="Cambria Math"/>
                      </w:rPr>
                      <m:t>b</m:t>
                    </m:r>
                  </m:e>
                </m:acc>
              </m:e>
              <m:sub>
                <m:r>
                  <w:rPr>
                    <w:rFonts w:ascii="Cambria Math" w:hAnsi="Cambria Math"/>
                  </w:rPr>
                  <m:t>XYZ</m:t>
                </m:r>
              </m:sub>
              <m:sup>
                <m:r>
                  <w:rPr>
                    <w:rFonts w:ascii="Cambria Math" w:hAnsi="Cambria Math"/>
                  </w:rPr>
                  <m:t>2</m:t>
                </m:r>
              </m:sup>
            </m:sSubSup>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e>
        </m:nary>
      </m:oMath>
      <w:r>
        <w:rPr>
          <w:rFonts w:hAnsi="Cambria Math" w:hint="eastAsia"/>
        </w:rPr>
        <w:t xml:space="preserve">                    </w:t>
      </w:r>
      <w:r>
        <w:rPr>
          <w:rFonts w:ascii="Times New Roman" w:hAnsi="Times New Roman" w:hint="eastAsia"/>
        </w:rPr>
        <w:t xml:space="preserve">   (2)</w:t>
      </w:r>
    </w:p>
    <w:p w14:paraId="63764E69" w14:textId="77777777" w:rsidR="005E3CB5" w:rsidRDefault="005E3CB5" w:rsidP="005E3CB5">
      <w:pPr>
        <w:rPr>
          <w:rFonts w:ascii="Times New Roman" w:hAnsi="Times New Roman"/>
        </w:rPr>
      </w:pPr>
      <w:r>
        <w:rPr>
          <w:rFonts w:ascii="Times New Roman" w:hAnsi="Times New Roman"/>
        </w:rPr>
        <w:t xml:space="preserve">where the summation </w:t>
      </w:r>
      <m:oMath>
        <m:r>
          <w:rPr>
            <w:rFonts w:ascii="Cambria Math" w:hAnsi="Cambria Math"/>
          </w:rPr>
          <m:t>f=</m:t>
        </m:r>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oMath>
      <w:r>
        <w:rPr>
          <w:rFonts w:ascii="Times New Roman" w:hAnsi="Times New Roman"/>
        </w:rPr>
        <w:t xml:space="preserve"> is taken over all terms involved. </w:t>
      </w:r>
    </w:p>
    <w:p w14:paraId="4CAAEC95" w14:textId="77777777" w:rsidR="005E3CB5" w:rsidRDefault="005E3CB5" w:rsidP="005E3CB5">
      <w:pPr>
        <w:rPr>
          <w:rFonts w:ascii="Times New Roman" w:hAnsi="Times New Roman"/>
        </w:rPr>
      </w:pPr>
    </w:p>
    <w:p w14:paraId="5442F32F" w14:textId="77777777" w:rsidR="005E3CB5" w:rsidRDefault="005E3CB5" w:rsidP="005E3CB5">
      <w:pPr>
        <w:autoSpaceDE w:val="0"/>
        <w:autoSpaceDN w:val="0"/>
        <w:adjustRightInd w:val="0"/>
        <w:spacing w:beforeLines="50" w:before="120" w:afterLines="50" w:after="120"/>
        <w:rPr>
          <w:rFonts w:ascii="Times New Roman" w:hAnsi="Times New Roman"/>
        </w:rPr>
      </w:pPr>
      <w:r>
        <w:rPr>
          <w:rFonts w:ascii="Times New Roman" w:hAnsi="Times New Roman"/>
          <w:b/>
          <w:bCs/>
        </w:rPr>
        <w:t>Transfer entropy technique</w:t>
      </w:r>
    </w:p>
    <w:p w14:paraId="277830DC" w14:textId="77777777" w:rsidR="005E3CB5" w:rsidRDefault="005E3CB5" w:rsidP="005E3CB5">
      <w:pPr>
        <w:rPr>
          <w:rFonts w:ascii="Times New Roman" w:eastAsia="Segoe UI" w:hAnsi="Times New Roman"/>
          <w:shd w:val="clear" w:color="auto" w:fill="F7F7F8"/>
        </w:rPr>
      </w:pPr>
      <w:r>
        <w:rPr>
          <w:rFonts w:ascii="Times New Roman" w:hAnsi="Times New Roman"/>
        </w:rPr>
        <w:t xml:space="preserve">This paper primarily utilizes spatial correlation and transfer entropy methods to investigate the causal effects of </w:t>
      </w:r>
      <w:r>
        <w:rPr>
          <w:rFonts w:ascii="Times New Roman" w:hAnsi="Times New Roman" w:hint="eastAsia"/>
        </w:rPr>
        <w:t>RMP</w:t>
      </w:r>
      <w:r>
        <w:rPr>
          <w:rFonts w:ascii="Times New Roman" w:hAnsi="Times New Roman"/>
        </w:rPr>
        <w:t xml:space="preserve">s on edge turbulence and plasma flows. Based on Information Theory, transfer entropy provides a distinctive framework for evaluating causal relationships between time series data. Unlike conventional correlation approaches, it is directional and detects the flow of information between different sequences. This nonlinear technique captures the "transfer of information" between signals, </w:t>
      </w:r>
      <w:r>
        <w:rPr>
          <w:rFonts w:ascii="Times New Roman" w:hAnsi="Times New Roman" w:hint="eastAsia"/>
        </w:rPr>
        <w:t>c</w:t>
      </w:r>
      <w:r>
        <w:rPr>
          <w:rFonts w:ascii="Times New Roman" w:hAnsi="Times New Roman"/>
        </w:rPr>
        <w:t>ompris</w:t>
      </w:r>
      <w:r>
        <w:rPr>
          <w:rFonts w:ascii="Times New Roman" w:hAnsi="Times New Roman" w:hint="eastAsia"/>
        </w:rPr>
        <w:t>ing</w:t>
      </w:r>
      <w:r>
        <w:rPr>
          <w:rFonts w:ascii="Times New Roman" w:hAnsi="Times New Roman"/>
        </w:rPr>
        <w:t xml:space="preserve"> all available data, irrespective of amplitude or sign. Recently, it has been employed in fusion plasmas to quantify the causal influence of zonal flows on turbulence and to analyze the interactions between </w:t>
      </w:r>
      <w:r>
        <w:rPr>
          <w:rFonts w:ascii="Times New Roman" w:hAnsi="Times New Roman" w:hint="eastAsia"/>
        </w:rPr>
        <w:t>magnetic islands</w:t>
      </w:r>
      <w:r>
        <w:rPr>
          <w:rFonts w:ascii="Times New Roman" w:hAnsi="Times New Roman"/>
        </w:rPr>
        <w:t>, zonal flows, and turbulence, showcasing its utility in examining causal dynamics in complex systems.</w:t>
      </w:r>
      <w:r>
        <w:rPr>
          <w:rFonts w:ascii="Times New Roman" w:hAnsi="Times New Roman"/>
        </w:rPr>
        <w:br/>
        <w:t>Transfer entropy quantifies how much the past of signal Y improves the prediction of the next sample of signal X, in addition to the past of X itself. This is done by analyzing the measured signals X and Y, which are discretely sampled as time series data (</w:t>
      </w:r>
      <w:r>
        <w:rPr>
          <w:rFonts w:ascii="Times New Roman" w:hAnsi="Times New Roman"/>
          <w:i/>
          <w:iCs/>
        </w:rPr>
        <w:t>x</w:t>
      </w:r>
      <w:r>
        <w:rPr>
          <w:rFonts w:ascii="Times New Roman" w:hAnsi="Times New Roman"/>
          <w:i/>
          <w:iCs/>
          <w:vertAlign w:val="subscript"/>
        </w:rPr>
        <w:t>i</w:t>
      </w:r>
      <w:r>
        <w:rPr>
          <w:rFonts w:ascii="Times New Roman" w:hAnsi="Times New Roman"/>
          <w:i/>
          <w:iCs/>
        </w:rPr>
        <w:t xml:space="preserve"> </w:t>
      </w:r>
      <w:r>
        <w:rPr>
          <w:rFonts w:ascii="Times New Roman" w:hAnsi="Times New Roman"/>
        </w:rPr>
        <w:t xml:space="preserve">and </w:t>
      </w:r>
      <w:r>
        <w:rPr>
          <w:rFonts w:ascii="Times New Roman" w:hAnsi="Times New Roman"/>
          <w:i/>
          <w:iCs/>
        </w:rPr>
        <w:t>y</w:t>
      </w:r>
      <w:r>
        <w:rPr>
          <w:rFonts w:ascii="Times New Roman" w:hAnsi="Times New Roman"/>
          <w:i/>
          <w:iCs/>
          <w:vertAlign w:val="subscript"/>
        </w:rPr>
        <w:t>j</w:t>
      </w:r>
      <w:r>
        <w:rPr>
          <w:rFonts w:ascii="Times New Roman" w:hAnsi="Times New Roman"/>
        </w:rPr>
        <w:t>). The transfer entropy can be expressed with the following formula</w:t>
      </w:r>
      <w:r>
        <w:rPr>
          <w:rFonts w:ascii="Times New Roman" w:hAnsi="Times New Roman" w:hint="eastAsia"/>
        </w:rPr>
        <w:t xml:space="preserve"> [42, 43]</w:t>
      </w:r>
      <w:r>
        <w:rPr>
          <w:rFonts w:ascii="Times New Roman" w:hAnsi="Times New Roman"/>
        </w:rPr>
        <w:t>:</w:t>
      </w:r>
    </w:p>
    <w:p w14:paraId="48F73925" w14:textId="77777777" w:rsidR="005E3CB5" w:rsidRDefault="005E3CB5" w:rsidP="005E3CB5">
      <w:pPr>
        <w:jc w:val="center"/>
        <w:rPr>
          <w:rFonts w:ascii="Times New Roman" w:hAnsi="Times New Roman"/>
          <w:iCs/>
          <w:kern w:val="0"/>
        </w:rPr>
      </w:pPr>
      <w:r>
        <w:rPr>
          <w:rFonts w:hAnsi="Cambria Math" w:hint="eastAsia"/>
          <w:iCs/>
          <w:kern w:val="0"/>
        </w:rPr>
        <w:t xml:space="preserve">             </w:t>
      </w:r>
      <m:oMath>
        <m:sSub>
          <m:sSubPr>
            <m:ctrlPr>
              <w:rPr>
                <w:rFonts w:ascii="Cambria Math" w:hAnsi="Cambria Math"/>
                <w:i/>
                <w:iCs/>
                <w:kern w:val="0"/>
              </w:rPr>
            </m:ctrlPr>
          </m:sSubPr>
          <m:e>
            <m:r>
              <w:rPr>
                <w:rFonts w:ascii="Cambria Math" w:hAnsi="Cambria Math"/>
                <w:kern w:val="0"/>
              </w:rPr>
              <m:t>TE</m:t>
            </m:r>
          </m:e>
          <m:sub>
            <m:r>
              <w:rPr>
                <w:rFonts w:ascii="Cambria Math" w:hAnsi="Cambria Math"/>
                <w:kern w:val="0"/>
              </w:rPr>
              <m:t>Y→X</m:t>
            </m:r>
          </m:sub>
        </m:sSub>
        <m:r>
          <w:rPr>
            <w:rFonts w:ascii="Cambria Math" w:hAnsi="Cambria Math"/>
            <w:kern w:val="0"/>
          </w:rPr>
          <m:t>(k)=</m:t>
        </m:r>
        <m:nary>
          <m:naryPr>
            <m:chr m:val="∑"/>
            <m:subHide m:val="1"/>
            <m:supHide m:val="1"/>
            <m:ctrlPr>
              <w:rPr>
                <w:rFonts w:ascii="Cambria Math" w:hAnsi="Cambria Math"/>
                <w:i/>
                <w:iCs/>
                <w:kern w:val="0"/>
              </w:rPr>
            </m:ctrlPr>
          </m:naryPr>
          <m:sub/>
          <m:sup/>
          <m:e>
            <m:r>
              <w:rPr>
                <w:rFonts w:ascii="Cambria Math" w:hAnsi="Cambria Math"/>
                <w:kern w:val="0"/>
              </w:rPr>
              <m:t>p(</m:t>
            </m:r>
            <m:sSub>
              <m:sSubPr>
                <m:ctrlPr>
                  <w:rPr>
                    <w:rFonts w:ascii="Cambria Math" w:hAnsi="Cambria Math"/>
                    <w:i/>
                    <w:iCs/>
                    <w:kern w:val="0"/>
                  </w:rPr>
                </m:ctrlPr>
              </m:sSubPr>
              <m:e>
                <m:r>
                  <w:rPr>
                    <w:rFonts w:ascii="Cambria Math" w:hAnsi="Cambria Math"/>
                    <w:kern w:val="0"/>
                  </w:rPr>
                  <m:t>x</m:t>
                </m:r>
              </m:e>
              <m:sub>
                <m:r>
                  <w:rPr>
                    <w:rFonts w:ascii="Cambria Math" w:hAnsi="Cambria Math"/>
                    <w:kern w:val="0"/>
                  </w:rPr>
                  <m:t>N+1</m:t>
                </m:r>
              </m:sub>
            </m:sSub>
            <m:r>
              <w:rPr>
                <w:rFonts w:ascii="Cambria Math" w:hAnsi="Cambria Math"/>
                <w:kern w:val="0"/>
              </w:rPr>
              <m:t>,</m:t>
            </m:r>
            <m:sSub>
              <m:sSubPr>
                <m:ctrlPr>
                  <w:rPr>
                    <w:rFonts w:ascii="Cambria Math" w:hAnsi="Cambria Math"/>
                    <w:i/>
                    <w:iCs/>
                    <w:kern w:val="0"/>
                  </w:rPr>
                </m:ctrlPr>
              </m:sSubPr>
              <m:e>
                <m:r>
                  <w:rPr>
                    <w:rFonts w:ascii="Cambria Math" w:hAnsi="Cambria Math"/>
                    <w:kern w:val="0"/>
                  </w:rPr>
                  <m:t>x</m:t>
                </m:r>
              </m:e>
              <m:sub>
                <m:r>
                  <w:rPr>
                    <w:rFonts w:ascii="Cambria Math" w:hAnsi="Cambria Math"/>
                    <w:kern w:val="0"/>
                  </w:rPr>
                  <m:t>N-k</m:t>
                </m:r>
              </m:sub>
            </m:sSub>
            <m:r>
              <w:rPr>
                <w:rFonts w:ascii="Cambria Math" w:hAnsi="Cambria Math"/>
                <w:kern w:val="0"/>
              </w:rPr>
              <m:t>,</m:t>
            </m:r>
            <m:sSub>
              <m:sSubPr>
                <m:ctrlPr>
                  <w:rPr>
                    <w:rFonts w:ascii="Cambria Math" w:hAnsi="Cambria Math"/>
                    <w:i/>
                    <w:iCs/>
                    <w:kern w:val="0"/>
                  </w:rPr>
                </m:ctrlPr>
              </m:sSubPr>
              <m:e>
                <m:r>
                  <w:rPr>
                    <w:rFonts w:ascii="Cambria Math" w:hAnsi="Cambria Math"/>
                    <w:kern w:val="0"/>
                  </w:rPr>
                  <m:t>y</m:t>
                </m:r>
              </m:e>
              <m:sub>
                <m:r>
                  <w:rPr>
                    <w:rFonts w:ascii="Cambria Math" w:hAnsi="Cambria Math"/>
                    <w:kern w:val="0"/>
                  </w:rPr>
                  <m:t>N-k</m:t>
                </m:r>
              </m:sub>
            </m:sSub>
            <m:r>
              <w:rPr>
                <w:rFonts w:ascii="Cambria Math" w:hAnsi="Cambria Math"/>
                <w:kern w:val="0"/>
              </w:rPr>
              <m:t>)</m:t>
            </m:r>
            <m:func>
              <m:funcPr>
                <m:ctrlPr>
                  <w:rPr>
                    <w:rFonts w:ascii="Cambria Math" w:hAnsi="Cambria Math"/>
                    <w:i/>
                    <w:iCs/>
                    <w:kern w:val="0"/>
                  </w:rPr>
                </m:ctrlPr>
              </m:funcPr>
              <m:fName>
                <m:sSub>
                  <m:sSubPr>
                    <m:ctrlPr>
                      <w:rPr>
                        <w:rFonts w:ascii="Cambria Math" w:hAnsi="Cambria Math"/>
                        <w:i/>
                        <w:iCs/>
                        <w:kern w:val="0"/>
                      </w:rPr>
                    </m:ctrlPr>
                  </m:sSubPr>
                  <m:e>
                    <m:r>
                      <w:rPr>
                        <w:rFonts w:ascii="Cambria Math" w:hAnsi="Cambria Math"/>
                        <w:kern w:val="0"/>
                      </w:rPr>
                      <m:t>log</m:t>
                    </m:r>
                  </m:e>
                  <m:sub>
                    <m:r>
                      <w:rPr>
                        <w:rFonts w:ascii="Cambria Math" w:hAnsi="Cambria Math"/>
                        <w:kern w:val="0"/>
                      </w:rPr>
                      <m:t>2</m:t>
                    </m:r>
                  </m:sub>
                </m:sSub>
              </m:fName>
              <m:e>
                <m:f>
                  <m:fPr>
                    <m:ctrlPr>
                      <w:rPr>
                        <w:rFonts w:ascii="Cambria Math" w:hAnsi="Cambria Math"/>
                        <w:i/>
                        <w:iCs/>
                        <w:kern w:val="0"/>
                      </w:rPr>
                    </m:ctrlPr>
                  </m:fPr>
                  <m:num>
                    <m:r>
                      <w:rPr>
                        <w:rFonts w:ascii="Cambria Math" w:hAnsi="Cambria Math"/>
                        <w:kern w:val="0"/>
                      </w:rPr>
                      <m:t>p(</m:t>
                    </m:r>
                    <m:sSub>
                      <m:sSubPr>
                        <m:ctrlPr>
                          <w:rPr>
                            <w:rFonts w:ascii="Cambria Math" w:hAnsi="Cambria Math"/>
                            <w:i/>
                            <w:iCs/>
                            <w:kern w:val="0"/>
                          </w:rPr>
                        </m:ctrlPr>
                      </m:sSubPr>
                      <m:e>
                        <m:r>
                          <w:rPr>
                            <w:rFonts w:ascii="Cambria Math" w:hAnsi="Cambria Math"/>
                            <w:kern w:val="0"/>
                          </w:rPr>
                          <m:t>x</m:t>
                        </m:r>
                      </m:e>
                      <m:sub>
                        <m:r>
                          <w:rPr>
                            <w:rFonts w:ascii="Cambria Math" w:hAnsi="Cambria Math"/>
                            <w:kern w:val="0"/>
                          </w:rPr>
                          <m:t>N+1</m:t>
                        </m:r>
                      </m:sub>
                    </m:sSub>
                    <m:r>
                      <w:rPr>
                        <w:rFonts w:ascii="Cambria Math" w:hAnsi="Cambria Math"/>
                        <w:kern w:val="0"/>
                      </w:rPr>
                      <m:t>|</m:t>
                    </m:r>
                    <m:sSub>
                      <m:sSubPr>
                        <m:ctrlPr>
                          <w:rPr>
                            <w:rFonts w:ascii="Cambria Math" w:hAnsi="Cambria Math"/>
                            <w:i/>
                            <w:iCs/>
                            <w:kern w:val="0"/>
                          </w:rPr>
                        </m:ctrlPr>
                      </m:sSubPr>
                      <m:e>
                        <m:r>
                          <w:rPr>
                            <w:rFonts w:ascii="Cambria Math" w:hAnsi="Cambria Math"/>
                            <w:kern w:val="0"/>
                          </w:rPr>
                          <m:t>x</m:t>
                        </m:r>
                      </m:e>
                      <m:sub>
                        <m:r>
                          <w:rPr>
                            <w:rFonts w:ascii="Cambria Math" w:hAnsi="Cambria Math"/>
                            <w:kern w:val="0"/>
                          </w:rPr>
                          <m:t>N-k</m:t>
                        </m:r>
                      </m:sub>
                    </m:sSub>
                    <m:r>
                      <w:rPr>
                        <w:rFonts w:ascii="Cambria Math" w:hAnsi="Cambria Math"/>
                        <w:kern w:val="0"/>
                      </w:rPr>
                      <m:t>,</m:t>
                    </m:r>
                    <m:sSub>
                      <m:sSubPr>
                        <m:ctrlPr>
                          <w:rPr>
                            <w:rFonts w:ascii="Cambria Math" w:hAnsi="Cambria Math"/>
                            <w:i/>
                            <w:iCs/>
                            <w:kern w:val="0"/>
                          </w:rPr>
                        </m:ctrlPr>
                      </m:sSubPr>
                      <m:e>
                        <m:r>
                          <w:rPr>
                            <w:rFonts w:ascii="Cambria Math" w:hAnsi="Cambria Math"/>
                            <w:kern w:val="0"/>
                          </w:rPr>
                          <m:t>y</m:t>
                        </m:r>
                      </m:e>
                      <m:sub>
                        <m:r>
                          <w:rPr>
                            <w:rFonts w:ascii="Cambria Math" w:hAnsi="Cambria Math"/>
                            <w:kern w:val="0"/>
                          </w:rPr>
                          <m:t>N-k</m:t>
                        </m:r>
                      </m:sub>
                    </m:sSub>
                    <m:r>
                      <w:rPr>
                        <w:rFonts w:ascii="Cambria Math" w:hAnsi="Cambria Math"/>
                        <w:kern w:val="0"/>
                      </w:rPr>
                      <m:t>)</m:t>
                    </m:r>
                  </m:num>
                  <m:den>
                    <m:r>
                      <w:rPr>
                        <w:rFonts w:ascii="Cambria Math" w:hAnsi="Cambria Math"/>
                        <w:kern w:val="0"/>
                      </w:rPr>
                      <m:t>p(</m:t>
                    </m:r>
                    <m:sSub>
                      <m:sSubPr>
                        <m:ctrlPr>
                          <w:rPr>
                            <w:rFonts w:ascii="Cambria Math" w:hAnsi="Cambria Math"/>
                            <w:i/>
                            <w:iCs/>
                            <w:kern w:val="0"/>
                          </w:rPr>
                        </m:ctrlPr>
                      </m:sSubPr>
                      <m:e>
                        <m:r>
                          <w:rPr>
                            <w:rFonts w:ascii="Cambria Math" w:hAnsi="Cambria Math"/>
                            <w:kern w:val="0"/>
                          </w:rPr>
                          <m:t>x</m:t>
                        </m:r>
                      </m:e>
                      <m:sub>
                        <m:r>
                          <w:rPr>
                            <w:rFonts w:ascii="Cambria Math" w:hAnsi="Cambria Math"/>
                            <w:kern w:val="0"/>
                          </w:rPr>
                          <m:t>N+1</m:t>
                        </m:r>
                      </m:sub>
                    </m:sSub>
                    <m:r>
                      <w:rPr>
                        <w:rFonts w:ascii="Cambria Math" w:hAnsi="Cambria Math"/>
                        <w:kern w:val="0"/>
                      </w:rPr>
                      <m:t>|</m:t>
                    </m:r>
                    <m:sSub>
                      <m:sSubPr>
                        <m:ctrlPr>
                          <w:rPr>
                            <w:rFonts w:ascii="Cambria Math" w:hAnsi="Cambria Math"/>
                            <w:i/>
                            <w:iCs/>
                            <w:kern w:val="0"/>
                          </w:rPr>
                        </m:ctrlPr>
                      </m:sSubPr>
                      <m:e>
                        <m:r>
                          <w:rPr>
                            <w:rFonts w:ascii="Cambria Math" w:hAnsi="Cambria Math"/>
                            <w:kern w:val="0"/>
                          </w:rPr>
                          <m:t>x</m:t>
                        </m:r>
                      </m:e>
                      <m:sub>
                        <m:r>
                          <w:rPr>
                            <w:rFonts w:ascii="Cambria Math" w:hAnsi="Cambria Math"/>
                            <w:kern w:val="0"/>
                          </w:rPr>
                          <m:t>N-k</m:t>
                        </m:r>
                      </m:sub>
                    </m:sSub>
                    <m:r>
                      <w:rPr>
                        <w:rFonts w:ascii="Cambria Math" w:hAnsi="Cambria Math"/>
                        <w:kern w:val="0"/>
                      </w:rPr>
                      <m:t>)</m:t>
                    </m:r>
                  </m:den>
                </m:f>
              </m:e>
            </m:func>
          </m:e>
        </m:nary>
      </m:oMath>
      <w:r>
        <w:rPr>
          <w:rFonts w:hAnsi="Cambria Math" w:hint="eastAsia"/>
          <w:iCs/>
          <w:kern w:val="0"/>
        </w:rPr>
        <w:t xml:space="preserve">              </w:t>
      </w:r>
      <w:r>
        <w:rPr>
          <w:rFonts w:ascii="Times New Roman" w:hAnsi="Times New Roman" w:hint="eastAsia"/>
        </w:rPr>
        <w:t xml:space="preserve">  (3)</w:t>
      </w:r>
    </w:p>
    <w:p w14:paraId="4F581662" w14:textId="77777777" w:rsidR="005E3CB5" w:rsidRDefault="005E3CB5" w:rsidP="005E3CB5">
      <w:pPr>
        <w:rPr>
          <w:rFonts w:ascii="Times New Roman" w:hAnsi="Times New Roman"/>
          <w:iCs/>
          <w:kern w:val="0"/>
        </w:rPr>
      </w:pPr>
      <w:r>
        <w:rPr>
          <w:rFonts w:ascii="Times New Roman" w:hAnsi="Times New Roman"/>
          <w:iCs/>
          <w:kern w:val="0"/>
        </w:rPr>
        <w:t xml:space="preserve">To construct the probability distributions </w:t>
      </w:r>
      <w:r>
        <w:rPr>
          <w:rFonts w:ascii="Times New Roman" w:hAnsi="Times New Roman"/>
          <w:i/>
          <w:iCs/>
          <w:kern w:val="0"/>
        </w:rPr>
        <w:t>p</w:t>
      </w:r>
      <w:r>
        <w:rPr>
          <w:rFonts w:ascii="Times New Roman" w:hAnsi="Times New Roman"/>
          <w:iCs/>
          <w:kern w:val="0"/>
        </w:rPr>
        <w:t>(</w:t>
      </w:r>
      <w:r>
        <w:rPr>
          <w:rFonts w:ascii="Times New Roman" w:hAnsi="Times New Roman"/>
          <w:i/>
          <w:iCs/>
          <w:kern w:val="0"/>
        </w:rPr>
        <w:t>a</w:t>
      </w:r>
      <w:r>
        <w:rPr>
          <w:rFonts w:ascii="Times New Roman" w:hAnsi="Times New Roman"/>
          <w:iCs/>
          <w:kern w:val="0"/>
        </w:rPr>
        <w:t>,</w:t>
      </w:r>
      <w:r>
        <w:rPr>
          <w:rFonts w:ascii="Times New Roman" w:hAnsi="Times New Roman"/>
          <w:i/>
          <w:iCs/>
          <w:kern w:val="0"/>
        </w:rPr>
        <w:t>b</w:t>
      </w:r>
      <w:r>
        <w:rPr>
          <w:rFonts w:ascii="Times New Roman" w:hAnsi="Times New Roman"/>
          <w:iCs/>
          <w:kern w:val="0"/>
        </w:rPr>
        <w:t>,</w:t>
      </w:r>
      <w:r>
        <w:rPr>
          <w:rFonts w:ascii="Times New Roman" w:hAnsi="Times New Roman"/>
          <w:i/>
          <w:iCs/>
          <w:kern w:val="0"/>
        </w:rPr>
        <w:t>c</w:t>
      </w:r>
      <w:r>
        <w:rPr>
          <w:rFonts w:ascii="Times New Roman" w:hAnsi="Times New Roman"/>
          <w:iCs/>
          <w:kern w:val="0"/>
        </w:rPr>
        <w:t xml:space="preserve">,…), each variable is partitioned into </w:t>
      </w:r>
      <w:r>
        <w:rPr>
          <w:rFonts w:ascii="Times New Roman" w:hAnsi="Times New Roman"/>
          <w:i/>
          <w:kern w:val="0"/>
        </w:rPr>
        <w:t>m</w:t>
      </w:r>
      <w:r>
        <w:rPr>
          <w:rFonts w:ascii="Times New Roman" w:hAnsi="Times New Roman"/>
          <w:iCs/>
          <w:kern w:val="0"/>
        </w:rPr>
        <w:t xml:space="preserve"> intervals, leading to m</w:t>
      </w:r>
      <w:r>
        <w:rPr>
          <w:rFonts w:ascii="Times New Roman" w:hAnsi="Times New Roman"/>
          <w:iCs/>
          <w:kern w:val="0"/>
          <w:vertAlign w:val="superscript"/>
        </w:rPr>
        <w:t>d</w:t>
      </w:r>
      <w:r>
        <w:rPr>
          <w:rFonts w:ascii="Times New Roman" w:hAnsi="Times New Roman"/>
          <w:iCs/>
          <w:kern w:val="0"/>
        </w:rPr>
        <w:t xml:space="preserve"> total bins, where </w:t>
      </w:r>
      <w:r>
        <w:rPr>
          <w:rFonts w:ascii="Times New Roman" w:hAnsi="Times New Roman"/>
          <w:i/>
          <w:kern w:val="0"/>
        </w:rPr>
        <w:t>d</w:t>
      </w:r>
      <w:r>
        <w:rPr>
          <w:rFonts w:ascii="Times New Roman" w:hAnsi="Times New Roman"/>
          <w:iCs/>
          <w:kern w:val="0"/>
        </w:rPr>
        <w:t xml:space="preserve"> is the number of dimensions in </w:t>
      </w:r>
      <w:r>
        <w:rPr>
          <w:rFonts w:ascii="Times New Roman" w:hAnsi="Times New Roman"/>
          <w:i/>
          <w:kern w:val="0"/>
        </w:rPr>
        <w:t>p</w:t>
      </w:r>
      <w:r>
        <w:rPr>
          <w:rFonts w:ascii="Times New Roman" w:hAnsi="Times New Roman"/>
          <w:iCs/>
          <w:kern w:val="0"/>
        </w:rPr>
        <w:t xml:space="preserve">. The conditional probability </w:t>
      </w:r>
      <w:r>
        <w:rPr>
          <w:rFonts w:ascii="Times New Roman" w:hAnsi="Times New Roman"/>
          <w:i/>
          <w:iCs/>
          <w:kern w:val="0"/>
        </w:rPr>
        <w:t>p</w:t>
      </w:r>
      <w:r>
        <w:rPr>
          <w:rFonts w:ascii="Times New Roman" w:hAnsi="Times New Roman"/>
          <w:iCs/>
          <w:kern w:val="0"/>
        </w:rPr>
        <w:t>(</w:t>
      </w:r>
      <w:r>
        <w:rPr>
          <w:rFonts w:ascii="Times New Roman" w:hAnsi="Times New Roman"/>
          <w:i/>
          <w:iCs/>
          <w:kern w:val="0"/>
        </w:rPr>
        <w:t>x</w:t>
      </w:r>
      <w:r>
        <w:rPr>
          <w:rFonts w:ascii="Times New Roman" w:hAnsi="Times New Roman"/>
          <w:iCs/>
          <w:kern w:val="0"/>
        </w:rPr>
        <w:t>|</w:t>
      </w:r>
      <w:r>
        <w:rPr>
          <w:rFonts w:ascii="Times New Roman" w:hAnsi="Times New Roman"/>
          <w:i/>
          <w:iCs/>
          <w:kern w:val="0"/>
        </w:rPr>
        <w:t>y</w:t>
      </w:r>
      <w:r>
        <w:rPr>
          <w:rFonts w:ascii="Times New Roman" w:hAnsi="Times New Roman"/>
          <w:iCs/>
          <w:kern w:val="0"/>
        </w:rPr>
        <w:t>)=</w:t>
      </w:r>
      <w:r>
        <w:rPr>
          <w:rFonts w:ascii="Times New Roman" w:hAnsi="Times New Roman"/>
          <w:i/>
          <w:iCs/>
          <w:kern w:val="0"/>
        </w:rPr>
        <w:t>p</w:t>
      </w:r>
      <w:r>
        <w:rPr>
          <w:rFonts w:ascii="Times New Roman" w:hAnsi="Times New Roman"/>
          <w:iCs/>
          <w:kern w:val="0"/>
        </w:rPr>
        <w:t>(</w:t>
      </w:r>
      <w:r>
        <w:rPr>
          <w:rFonts w:ascii="Times New Roman" w:hAnsi="Times New Roman"/>
          <w:i/>
          <w:iCs/>
          <w:kern w:val="0"/>
        </w:rPr>
        <w:t>x</w:t>
      </w:r>
      <w:r>
        <w:rPr>
          <w:rFonts w:ascii="Times New Roman" w:hAnsi="Times New Roman"/>
          <w:iCs/>
          <w:kern w:val="0"/>
        </w:rPr>
        <w:t xml:space="preserve">, </w:t>
      </w:r>
      <w:r>
        <w:rPr>
          <w:rFonts w:ascii="Times New Roman" w:hAnsi="Times New Roman"/>
          <w:i/>
          <w:iCs/>
          <w:kern w:val="0"/>
        </w:rPr>
        <w:t>y</w:t>
      </w:r>
      <w:r>
        <w:rPr>
          <w:rFonts w:ascii="Times New Roman" w:hAnsi="Times New Roman"/>
          <w:iCs/>
          <w:kern w:val="0"/>
        </w:rPr>
        <w:t>)/</w:t>
      </w:r>
      <w:r>
        <w:rPr>
          <w:rFonts w:ascii="Times New Roman" w:hAnsi="Times New Roman"/>
          <w:i/>
          <w:iCs/>
          <w:kern w:val="0"/>
        </w:rPr>
        <w:t>p</w:t>
      </w:r>
      <w:r>
        <w:rPr>
          <w:rFonts w:ascii="Times New Roman" w:hAnsi="Times New Roman"/>
          <w:iCs/>
          <w:kern w:val="0"/>
        </w:rPr>
        <w:t>(</w:t>
      </w:r>
      <w:r>
        <w:rPr>
          <w:rFonts w:ascii="Times New Roman" w:hAnsi="Times New Roman"/>
          <w:i/>
          <w:iCs/>
          <w:kern w:val="0"/>
        </w:rPr>
        <w:t>y</w:t>
      </w:r>
      <w:r>
        <w:rPr>
          <w:rFonts w:ascii="Times New Roman" w:hAnsi="Times New Roman"/>
          <w:iCs/>
          <w:kern w:val="0"/>
        </w:rPr>
        <w:t xml:space="preserve">) represents the likelihood of </w:t>
      </w:r>
      <w:r>
        <w:rPr>
          <w:rFonts w:ascii="Times New Roman" w:hAnsi="Times New Roman"/>
          <w:i/>
          <w:kern w:val="0"/>
        </w:rPr>
        <w:t>x</w:t>
      </w:r>
      <w:r>
        <w:rPr>
          <w:rFonts w:ascii="Times New Roman" w:hAnsi="Times New Roman"/>
          <w:iCs/>
          <w:kern w:val="0"/>
        </w:rPr>
        <w:t xml:space="preserve"> given </w:t>
      </w:r>
      <w:r>
        <w:rPr>
          <w:rFonts w:ascii="Times New Roman" w:hAnsi="Times New Roman"/>
          <w:i/>
          <w:kern w:val="0"/>
        </w:rPr>
        <w:t>y</w:t>
      </w:r>
      <w:r>
        <w:rPr>
          <w:rFonts w:ascii="Times New Roman" w:hAnsi="Times New Roman"/>
          <w:iCs/>
          <w:kern w:val="0"/>
        </w:rPr>
        <w:t xml:space="preserve">. The signal length is represented by </w:t>
      </w:r>
      <w:r>
        <w:rPr>
          <w:rFonts w:ascii="Times New Roman" w:hAnsi="Times New Roman"/>
          <w:i/>
          <w:kern w:val="0"/>
        </w:rPr>
        <w:t>N</w:t>
      </w:r>
      <w:r>
        <w:rPr>
          <w:rFonts w:ascii="Times New Roman" w:hAnsi="Times New Roman"/>
          <w:iCs/>
          <w:kern w:val="0"/>
        </w:rPr>
        <w:t xml:space="preserve">, and the time-delay embedding index </w:t>
      </w:r>
      <w:r>
        <w:rPr>
          <w:rFonts w:ascii="Times New Roman" w:hAnsi="Times New Roman"/>
          <w:i/>
          <w:kern w:val="0"/>
        </w:rPr>
        <w:t>k</w:t>
      </w:r>
      <w:r>
        <w:rPr>
          <w:rFonts w:ascii="Times New Roman" w:hAnsi="Times New Roman"/>
          <w:iCs/>
          <w:kern w:val="0"/>
        </w:rPr>
        <w:t xml:space="preserve"> can be converted into a "time lag" by multiplying it by the sampling period, </w:t>
      </w:r>
      <w:r>
        <w:rPr>
          <w:rFonts w:ascii="Times New Roman" w:hAnsi="Times New Roman"/>
          <w:iCs/>
          <w:kern w:val="0"/>
        </w:rPr>
        <w:sym w:font="Symbol" w:char="F044"/>
      </w:r>
      <w:r>
        <w:rPr>
          <w:rFonts w:ascii="Times New Roman" w:hAnsi="Times New Roman"/>
          <w:i/>
          <w:iCs/>
          <w:kern w:val="0"/>
        </w:rPr>
        <w:sym w:font="Symbol" w:char="F074"/>
      </w:r>
      <w:r>
        <w:rPr>
          <w:rFonts w:ascii="Times New Roman" w:hAnsi="Times New Roman"/>
          <w:i/>
          <w:iCs/>
          <w:kern w:val="0"/>
        </w:rPr>
        <w:t xml:space="preserve"> </w:t>
      </w:r>
      <w:r>
        <w:rPr>
          <w:rFonts w:ascii="Times New Roman" w:hAnsi="Times New Roman"/>
          <w:iCs/>
          <w:kern w:val="0"/>
        </w:rPr>
        <w:t>=</w:t>
      </w:r>
      <w:r>
        <w:rPr>
          <w:rFonts w:ascii="Times New Roman" w:hAnsi="Times New Roman"/>
          <w:i/>
          <w:iCs/>
          <w:kern w:val="0"/>
        </w:rPr>
        <w:t>k</w:t>
      </w:r>
      <w:r>
        <w:rPr>
          <w:rFonts w:ascii="Times New Roman" w:hAnsi="Times New Roman"/>
          <w:iCs/>
          <w:kern w:val="0"/>
        </w:rPr>
        <w:t>/</w:t>
      </w:r>
      <w:r>
        <w:rPr>
          <w:rFonts w:ascii="Times New Roman" w:hAnsi="Times New Roman"/>
          <w:i/>
          <w:iCs/>
          <w:kern w:val="0"/>
        </w:rPr>
        <w:t>f</w:t>
      </w:r>
      <w:r>
        <w:rPr>
          <w:rFonts w:ascii="Times New Roman" w:hAnsi="Times New Roman"/>
          <w:i/>
          <w:iCs/>
          <w:kern w:val="0"/>
          <w:vertAlign w:val="subscript"/>
        </w:rPr>
        <w:t>s</w:t>
      </w:r>
      <w:r>
        <w:rPr>
          <w:rFonts w:ascii="Times New Roman" w:hAnsi="Times New Roman"/>
          <w:iCs/>
          <w:kern w:val="0"/>
        </w:rPr>
        <w:t xml:space="preserve">. Transfer entropy quantifies the reduction in uncertainty when predicting one variable using another, effectively measuring the flow of information between them. It is particularly useful in identifying the true time delay at which the influence of magnetic fluctuations or flows on turbulence, and the strength of the information transfer, reach their peak. Further details on this technique can be found in reference </w:t>
      </w:r>
      <w:r>
        <w:rPr>
          <w:rFonts w:ascii="Times New Roman" w:hAnsi="Times New Roman" w:hint="eastAsia"/>
          <w:iCs/>
          <w:kern w:val="0"/>
        </w:rPr>
        <w:t>41</w:t>
      </w:r>
      <w:r>
        <w:rPr>
          <w:rFonts w:ascii="Times New Roman" w:hAnsi="Times New Roman"/>
          <w:iCs/>
          <w:kern w:val="0"/>
        </w:rPr>
        <w:t>.</w:t>
      </w:r>
    </w:p>
    <w:p w14:paraId="015F948F" w14:textId="77777777" w:rsidR="005E3CB5" w:rsidRDefault="005E3CB5" w:rsidP="005E3CB5">
      <w:pPr>
        <w:rPr>
          <w:rFonts w:ascii="Times New Roman" w:hAnsi="Times New Roman"/>
          <w:iCs/>
          <w:kern w:val="0"/>
        </w:rPr>
      </w:pPr>
      <w:r>
        <w:rPr>
          <w:rFonts w:ascii="Times New Roman" w:hAnsi="Times New Roman"/>
          <w:iCs/>
          <w:kern w:val="0"/>
        </w:rPr>
        <w:t xml:space="preserve"> </w:t>
      </w:r>
    </w:p>
    <w:p w14:paraId="3470AE78"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CB5"/>
    <w:rsid w:val="003C2EF4"/>
    <w:rsid w:val="005E3CB5"/>
    <w:rsid w:val="005F6333"/>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8448E"/>
  <w15:chartTrackingRefBased/>
  <w15:docId w15:val="{5B6CC9F7-F2D2-46CD-8C94-018BF0BF4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5E3CB5"/>
    <w:pPr>
      <w:widowControl w:val="0"/>
      <w:spacing w:after="0" w:line="240" w:lineRule="auto"/>
      <w:jc w:val="both"/>
    </w:pPr>
    <w:rPr>
      <w:rFonts w:ascii="Calibri" w:eastAsia="SimSun" w:hAnsi="Calibri" w:cs="Times New Roman"/>
      <w:sz w:val="21"/>
      <w:szCs w:val="21"/>
      <w:lang w:eastAsia="zh-CN"/>
      <w14:ligatures w14:val="none"/>
    </w:rPr>
  </w:style>
  <w:style w:type="paragraph" w:styleId="Heading1">
    <w:name w:val="heading 1"/>
    <w:basedOn w:val="Normal"/>
    <w:next w:val="Normal"/>
    <w:link w:val="Heading1Char"/>
    <w:uiPriority w:val="9"/>
    <w:qFormat/>
    <w:rsid w:val="005E3CB5"/>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E3CB5"/>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E3CB5"/>
    <w:pPr>
      <w:keepNext/>
      <w:keepLines/>
      <w:widowControl/>
      <w:spacing w:before="160" w:after="80" w:line="259"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E3CB5"/>
    <w:pPr>
      <w:keepNext/>
      <w:keepLines/>
      <w:widowControl/>
      <w:spacing w:before="80" w:after="40" w:line="259" w:lineRule="auto"/>
      <w:jc w:val="left"/>
      <w:outlineLvl w:val="3"/>
    </w:pPr>
    <w:rPr>
      <w:rFonts w:asciiTheme="minorHAnsi" w:eastAsiaTheme="majorEastAsia" w:hAnsiTheme="minorHAnsi"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5E3CB5"/>
    <w:pPr>
      <w:keepNext/>
      <w:keepLines/>
      <w:widowControl/>
      <w:spacing w:before="80" w:after="40" w:line="259" w:lineRule="auto"/>
      <w:jc w:val="left"/>
      <w:outlineLvl w:val="4"/>
    </w:pPr>
    <w:rPr>
      <w:rFonts w:asciiTheme="minorHAnsi" w:eastAsiaTheme="majorEastAsia" w:hAnsiTheme="minorHAnsi"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5E3CB5"/>
    <w:pPr>
      <w:keepNext/>
      <w:keepLines/>
      <w:widowControl/>
      <w:spacing w:before="40" w:line="259" w:lineRule="auto"/>
      <w:jc w:val="left"/>
      <w:outlineLvl w:val="5"/>
    </w:pPr>
    <w:rPr>
      <w:rFonts w:asciiTheme="minorHAnsi" w:eastAsiaTheme="majorEastAsia" w:hAnsiTheme="minorHAnsi"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5E3CB5"/>
    <w:pPr>
      <w:keepNext/>
      <w:keepLines/>
      <w:widowControl/>
      <w:spacing w:before="40" w:line="259" w:lineRule="auto"/>
      <w:jc w:val="left"/>
      <w:outlineLvl w:val="6"/>
    </w:pPr>
    <w:rPr>
      <w:rFonts w:asciiTheme="minorHAnsi" w:eastAsiaTheme="majorEastAsia" w:hAnsiTheme="minorHAnsi"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5E3CB5"/>
    <w:pPr>
      <w:keepNext/>
      <w:keepLines/>
      <w:widowControl/>
      <w:spacing w:line="259" w:lineRule="auto"/>
      <w:jc w:val="left"/>
      <w:outlineLvl w:val="7"/>
    </w:pPr>
    <w:rPr>
      <w:rFonts w:asciiTheme="minorHAnsi" w:eastAsiaTheme="majorEastAsia" w:hAnsiTheme="minorHAnsi"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5E3CB5"/>
    <w:pPr>
      <w:keepNext/>
      <w:keepLines/>
      <w:widowControl/>
      <w:spacing w:line="259" w:lineRule="auto"/>
      <w:jc w:val="left"/>
      <w:outlineLvl w:val="8"/>
    </w:pPr>
    <w:rPr>
      <w:rFonts w:asciiTheme="minorHAnsi" w:eastAsiaTheme="majorEastAsia" w:hAnsiTheme="minorHAnsi"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C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3C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3C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3C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3C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3C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C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C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CB5"/>
    <w:rPr>
      <w:rFonts w:eastAsiaTheme="majorEastAsia" w:cstheme="majorBidi"/>
      <w:color w:val="272727" w:themeColor="text1" w:themeTint="D8"/>
    </w:rPr>
  </w:style>
  <w:style w:type="paragraph" w:styleId="Title">
    <w:name w:val="Title"/>
    <w:basedOn w:val="Normal"/>
    <w:next w:val="Normal"/>
    <w:link w:val="TitleChar"/>
    <w:uiPriority w:val="10"/>
    <w:qFormat/>
    <w:rsid w:val="005E3CB5"/>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E3C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CB5"/>
    <w:pPr>
      <w:widowControl/>
      <w:numPr>
        <w:ilvl w:val="1"/>
      </w:numPr>
      <w:spacing w:after="160" w:line="259"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5E3C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CB5"/>
    <w:pPr>
      <w:widowControl/>
      <w:spacing w:before="160" w:after="160" w:line="259" w:lineRule="auto"/>
      <w:jc w:val="center"/>
    </w:pPr>
    <w:rPr>
      <w:rFonts w:asciiTheme="minorHAnsi" w:eastAsiaTheme="minorHAnsi" w:hAnsiTheme="minorHAnsi" w:cstheme="minorBid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5E3CB5"/>
    <w:rPr>
      <w:i/>
      <w:iCs/>
      <w:color w:val="404040" w:themeColor="text1" w:themeTint="BF"/>
    </w:rPr>
  </w:style>
  <w:style w:type="paragraph" w:styleId="ListParagraph">
    <w:name w:val="List Paragraph"/>
    <w:basedOn w:val="Normal"/>
    <w:uiPriority w:val="34"/>
    <w:qFormat/>
    <w:rsid w:val="005E3CB5"/>
    <w:pPr>
      <w:widowControl/>
      <w:spacing w:after="160" w:line="259" w:lineRule="auto"/>
      <w:ind w:left="720"/>
      <w:contextualSpacing/>
      <w:jc w:val="left"/>
    </w:pPr>
    <w:rPr>
      <w:rFonts w:asciiTheme="minorHAnsi" w:eastAsiaTheme="minorHAnsi" w:hAnsiTheme="minorHAnsi" w:cstheme="minorBidi"/>
      <w:sz w:val="22"/>
      <w:szCs w:val="22"/>
      <w:lang w:eastAsia="en-US"/>
      <w14:ligatures w14:val="standardContextual"/>
    </w:rPr>
  </w:style>
  <w:style w:type="character" w:styleId="IntenseEmphasis">
    <w:name w:val="Intense Emphasis"/>
    <w:basedOn w:val="DefaultParagraphFont"/>
    <w:uiPriority w:val="21"/>
    <w:qFormat/>
    <w:rsid w:val="005E3CB5"/>
    <w:rPr>
      <w:i/>
      <w:iCs/>
      <w:color w:val="0F4761" w:themeColor="accent1" w:themeShade="BF"/>
    </w:rPr>
  </w:style>
  <w:style w:type="paragraph" w:styleId="IntenseQuote">
    <w:name w:val="Intense Quote"/>
    <w:basedOn w:val="Normal"/>
    <w:next w:val="Normal"/>
    <w:link w:val="IntenseQuoteChar"/>
    <w:uiPriority w:val="30"/>
    <w:qFormat/>
    <w:rsid w:val="005E3CB5"/>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5E3CB5"/>
    <w:rPr>
      <w:i/>
      <w:iCs/>
      <w:color w:val="0F4761" w:themeColor="accent1" w:themeShade="BF"/>
    </w:rPr>
  </w:style>
  <w:style w:type="character" w:styleId="IntenseReference">
    <w:name w:val="Intense Reference"/>
    <w:basedOn w:val="DefaultParagraphFont"/>
    <w:uiPriority w:val="32"/>
    <w:qFormat/>
    <w:rsid w:val="005E3C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569</Words>
  <Characters>3246</Characters>
  <Application>Microsoft Office Word</Application>
  <DocSecurity>0</DocSecurity>
  <Lines>27</Lines>
  <Paragraphs>7</Paragraphs>
  <ScaleCrop>false</ScaleCrop>
  <Company>Springer Nature</Company>
  <LinksUpToDate>false</LinksUpToDate>
  <CharactersWithSpaces>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2025-01-24T06:24:00Z</dcterms:created>
  <dcterms:modified xsi:type="dcterms:W3CDTF">2025-01-24T06:24:00Z</dcterms:modified>
</cp:coreProperties>
</file>