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28DEF9" w14:textId="77777777" w:rsidR="004A32C4" w:rsidRDefault="004A32C4" w:rsidP="004A32C4">
      <w:pPr>
        <w:pStyle w:val="Heading1"/>
      </w:pPr>
      <w:r w:rsidRPr="00565CE7">
        <w:t>SUPPLEMENTARY MATERIAL</w:t>
      </w:r>
    </w:p>
    <w:p w14:paraId="37FEC954" w14:textId="77777777" w:rsidR="004A32C4" w:rsidRPr="003B5BEE" w:rsidRDefault="004A32C4" w:rsidP="004A32C4">
      <w:pPr>
        <w:pStyle w:val="BodyA"/>
        <w:spacing w:line="480" w:lineRule="auto"/>
        <w:rPr>
          <w:b/>
          <w:sz w:val="28"/>
          <w:szCs w:val="26"/>
        </w:rPr>
      </w:pPr>
      <w:r w:rsidRPr="003B5BEE">
        <w:rPr>
          <w:b/>
          <w:sz w:val="28"/>
          <w:szCs w:val="26"/>
        </w:rPr>
        <w:t>Geologic and Tectonic Setting of Analogue Sites</w:t>
      </w:r>
    </w:p>
    <w:p w14:paraId="447E714F" w14:textId="77777777" w:rsidR="004A32C4" w:rsidRPr="003B5BEE" w:rsidRDefault="004A32C4" w:rsidP="004A32C4">
      <w:pPr>
        <w:pStyle w:val="Heading2"/>
      </w:pPr>
      <w:r w:rsidRPr="003B5BEE">
        <w:t>Broborg Hillfort</w:t>
      </w:r>
      <w:r>
        <w:t xml:space="preserve"> Geologic Setting</w:t>
      </w:r>
    </w:p>
    <w:p w14:paraId="41CDBCB7" w14:textId="77777777" w:rsidR="004A32C4" w:rsidRPr="003B5BEE" w:rsidRDefault="004A32C4" w:rsidP="004A32C4">
      <w:pPr>
        <w:pStyle w:val="BodyA"/>
        <w:spacing w:line="480" w:lineRule="auto"/>
      </w:pPr>
      <w:r w:rsidRPr="003B5BEE">
        <w:t xml:space="preserve">Broborg is situated on the Fennoscandian (Baltic) shield and has been largely tectonically stable, </w:t>
      </w:r>
      <w:r w:rsidRPr="00EF1CAA">
        <w:t>with evidence from ancient volcanic processes.</w:t>
      </w:r>
      <w:r>
        <w:fldChar w:fldCharType="begin"/>
      </w:r>
      <w:r>
        <w:instrText xml:space="preserve"> ADDIN EN.CITE &lt;EndNote&gt;&lt;Cite&gt;&lt;Author&gt;Åberg&lt;/Author&gt;&lt;Year&gt;1978&lt;/Year&gt;&lt;RecNum&gt;7789&lt;/RecNum&gt;&lt;DisplayText&gt;&lt;style face="superscript"&gt;111&lt;/style&gt;&lt;/DisplayText&gt;&lt;record&gt;&lt;rec-number&gt;7789&lt;/rec-number&gt;&lt;foreign-keys&gt;&lt;key app="EN" db-id="tatfspx9t9d0eqetvw3vtfxcaa5zxppfte9d" timestamp="1713192544"&gt;7789&lt;/key&gt;&lt;/foreign-keys&gt;&lt;ref-type name="Journal Article"&gt;17&lt;/ref-type&gt;&lt;contributors&gt;&lt;authors&gt;&lt;author&gt;Åberg, Göran&lt;/author&gt;&lt;/authors&gt;&lt;/contributors&gt;&lt;titles&gt;&lt;title&gt;Precambrian geochronology of south-eastern Sweden&lt;/title&gt;&lt;secondary-title&gt;Geologiska Föreningen i Stockholm Förhandlingar&lt;/secondary-title&gt;&lt;/titles&gt;&lt;periodical&gt;&lt;full-title&gt;Geologiska Föreningen i Stockholm Förhandlingar&lt;/full-title&gt;&lt;/periodical&gt;&lt;pages&gt;125-154&lt;/pages&gt;&lt;volume&gt;100&lt;/volume&gt;&lt;number&gt;2&lt;/number&gt;&lt;dates&gt;&lt;year&gt;1978&lt;/year&gt;&lt;/dates&gt;&lt;isbn&gt;0016-786X&lt;/isbn&gt;&lt;urls&gt;&lt;/urls&gt;&lt;/record&gt;&lt;/Cite&gt;&lt;/EndNote&gt;</w:instrText>
      </w:r>
      <w:r>
        <w:fldChar w:fldCharType="separate"/>
      </w:r>
      <w:r w:rsidRPr="003A38CF">
        <w:rPr>
          <w:noProof/>
          <w:vertAlign w:val="superscript"/>
        </w:rPr>
        <w:t>111</w:t>
      </w:r>
      <w:r>
        <w:fldChar w:fldCharType="end"/>
      </w:r>
      <w:r w:rsidRPr="003B5BEE">
        <w:t xml:space="preserve"> Fine-grained plagioclase-porphyrite, quartz-andesite, and ultra-mafic gabbro are common in the area, as are the fine-grained schist and feldspar and quartzite-rich mica.</w:t>
      </w:r>
      <w:r>
        <w:fldChar w:fldCharType="begin"/>
      </w:r>
      <w:r>
        <w:instrText xml:space="preserve"> ADDIN EN.CITE &lt;EndNote&gt;&lt;Cite&gt;&lt;Author&gt;Lundegardh&lt;/Author&gt;&lt;Year&gt;1956&lt;/Year&gt;&lt;RecNum&gt;7794&lt;/RecNum&gt;&lt;DisplayText&gt;&lt;style face="superscript"&gt;112&lt;/style&gt;&lt;/DisplayText&gt;&lt;record&gt;&lt;rec-number&gt;7794&lt;/rec-number&gt;&lt;foreign-keys&gt;&lt;key app="EN" db-id="tatfspx9t9d0eqetvw3vtfxcaa5zxppfte9d" timestamp="1713192544"&gt;7794&lt;/key&gt;&lt;/foreign-keys&gt;&lt;ref-type name="Journal Article"&gt;17&lt;/ref-type&gt;&lt;contributors&gt;&lt;authors&gt;&lt;author&gt;Lundegardh, Per H.&lt;/author&gt;&lt;/authors&gt;&lt;/contributors&gt;&lt;titles&gt;&lt;title&gt;Petrology of the Uppsala Region Eastern Sweden&lt;/title&gt;&lt;secondary-title&gt;Swedish Geological Survey&lt;/secondary-title&gt;&lt;/titles&gt;&lt;periodical&gt;&lt;full-title&gt;Swedish Geological Survey&lt;/full-title&gt;&lt;/periodical&gt;&lt;pages&gt;1-17&lt;/pages&gt;&lt;volume&gt;544&lt;/volume&gt;&lt;number&gt;4&lt;/number&gt;&lt;dates&gt;&lt;year&gt;1956&lt;/year&gt;&lt;pub-dates&gt;&lt;date&gt;1956&lt;/date&gt;&lt;/pub-dates&gt;&lt;/dates&gt;&lt;urls&gt;&lt;/urls&gt;&lt;/record&gt;&lt;/Cite&gt;&lt;/EndNote&gt;</w:instrText>
      </w:r>
      <w:r>
        <w:fldChar w:fldCharType="separate"/>
      </w:r>
      <w:r w:rsidRPr="003A38CF">
        <w:rPr>
          <w:noProof/>
          <w:vertAlign w:val="superscript"/>
        </w:rPr>
        <w:t>112</w:t>
      </w:r>
      <w:r>
        <w:fldChar w:fldCharType="end"/>
      </w:r>
      <w:r>
        <w:t xml:space="preserve"> </w:t>
      </w:r>
      <w:r w:rsidRPr="003B5BEE">
        <w:t>Quaternary post-glacial sand, mud, and clay deposits cover most of the bedrock.</w:t>
      </w:r>
      <w:r>
        <w:fldChar w:fldCharType="begin"/>
      </w:r>
      <w:r>
        <w:instrText xml:space="preserve"> ADDIN EN.CITE &lt;EndNote&gt;&lt;Cite&gt;&lt;Author&gt;Katrantsiotis&lt;/Author&gt;&lt;Year&gt;2013&lt;/Year&gt;&lt;RecNum&gt;7792&lt;/RecNum&gt;&lt;DisplayText&gt;&lt;style face="superscript"&gt;113&lt;/style&gt;&lt;/DisplayText&gt;&lt;record&gt;&lt;rec-number&gt;7792&lt;/rec-number&gt;&lt;foreign-keys&gt;&lt;key app="EN" db-id="tatfspx9t9d0eqetvw3vtfxcaa5zxppfte9d" timestamp="1713192544"&gt;7792&lt;/key&gt;&lt;/foreign-keys&gt;&lt;ref-type name="Thesis"&gt;32&lt;/ref-type&gt;&lt;contributors&gt;&lt;authors&gt;&lt;author&gt;Katrantsiotis, Christos&lt;/author&gt;&lt;/authors&gt;&lt;/contributors&gt;&lt;titles&gt;&lt;title&gt;Paleoenvironment and shore displacement since 3200 BC in the central part of the Långhundraleden Trail, SE Uppland&lt;/title&gt;&lt;secondary-title&gt;Department of Physical Geography and Quaternary Geology&lt;/secondary-title&gt;&lt;/titles&gt;&lt;volume&gt;Masters&lt;/volume&gt;&lt;dates&gt;&lt;year&gt;2013&lt;/year&gt;&lt;/dates&gt;&lt;publisher&gt;Stockholm University&lt;/publisher&gt;&lt;urls&gt;&lt;/urls&gt;&lt;/record&gt;&lt;/Cite&gt;&lt;/EndNote&gt;</w:instrText>
      </w:r>
      <w:r>
        <w:fldChar w:fldCharType="separate"/>
      </w:r>
      <w:r w:rsidRPr="003A38CF">
        <w:rPr>
          <w:noProof/>
          <w:vertAlign w:val="superscript"/>
        </w:rPr>
        <w:t>113</w:t>
      </w:r>
      <w:r>
        <w:fldChar w:fldCharType="end"/>
      </w:r>
    </w:p>
    <w:p w14:paraId="0CCD8A3B" w14:textId="77777777" w:rsidR="004A32C4" w:rsidRPr="001179BF" w:rsidRDefault="004A32C4" w:rsidP="004A32C4">
      <w:pPr>
        <w:pStyle w:val="Heading2"/>
        <w:rPr>
          <w:rStyle w:val="None"/>
        </w:rPr>
      </w:pPr>
      <w:r w:rsidRPr="41627A9F">
        <w:rPr>
          <w:rStyle w:val="None"/>
        </w:rPr>
        <w:t>Timna Geologic Setting</w:t>
      </w:r>
    </w:p>
    <w:p w14:paraId="443CB36E" w14:textId="77777777" w:rsidR="004A32C4" w:rsidRDefault="004A32C4" w:rsidP="004A32C4">
      <w:pPr>
        <w:pStyle w:val="BodyA"/>
        <w:spacing w:line="480" w:lineRule="auto"/>
        <w:rPr>
          <w:b/>
          <w:bCs/>
          <w:u w:val="single"/>
        </w:rPr>
      </w:pPr>
      <w:r w:rsidRPr="64F9DDF4">
        <w:rPr>
          <w:rStyle w:val="None"/>
        </w:rPr>
        <w:t>Mount Timna</w:t>
      </w:r>
      <w:r w:rsidRPr="41627A9F">
        <w:rPr>
          <w:rStyle w:val="None"/>
        </w:rPr>
        <w:t>, a structural dome</w:t>
      </w:r>
      <w:r>
        <w:rPr>
          <w:rStyle w:val="None"/>
        </w:rPr>
        <w:fldChar w:fldCharType="begin"/>
      </w:r>
      <w:r>
        <w:rPr>
          <w:rStyle w:val="None"/>
        </w:rPr>
        <w:instrText xml:space="preserve"> ADDIN EN.CITE &lt;EndNote&gt;&lt;Cite ExcludeYear="1"&gt;&lt;Author&gt;Beyth&lt;/Author&gt;&lt;Year&gt;1999&lt;/Year&gt;&lt;RecNum&gt;7802&lt;/RecNum&gt;&lt;DisplayText&gt;&lt;style face="superscript"&gt;114&lt;/style&gt;&lt;/DisplayText&gt;&lt;record&gt;&lt;rec-number&gt;7802&lt;/rec-number&gt;&lt;foreign-keys&gt;&lt;key app="EN" db-id="tatfspx9t9d0eqetvw3vtfxcaa5zxppfte9d" timestamp="1713192545"&gt;7802&lt;/key&gt;&lt;/foreign-keys&gt;&lt;ref-type name="Journal Article"&gt;17&lt;/ref-type&gt;&lt;contributors&gt;&lt;authors&gt;&lt;author&gt;Beyth, M.&lt;/author&gt;&lt;author&gt;Segev, A.&lt;/author&gt;&lt;author&gt;Bartov, Y.&lt;/author&gt;&lt;/authors&gt;&lt;/contributors&gt;&lt;titles&gt;&lt;title&gt;Geological Map of Israel 1:50,000 Be&amp;apos;er Ora Sheet 25-IV&lt;/title&gt;&lt;secondary-title&gt;Geological Survey of Israel Maps&lt;/secondary-title&gt;&lt;/titles&gt;&lt;periodical&gt;&lt;full-title&gt;Geological Survey of Israel Maps&lt;/full-title&gt;&lt;/periodical&gt;&lt;dates&gt;&lt;year&gt;1999&lt;/year&gt;&lt;/dates&gt;&lt;publisher&gt; In Vectorial format of the 1:50,000 geological map of Israel by M. Rosensaft. Isr. Geol. Surv., Jerusalem.(Partly revised, November 2011)&lt;/publisher&gt;&lt;urls&gt;&lt;/urls&gt;&lt;/record&gt;&lt;/Cite&gt;&lt;/EndNote&gt;</w:instrText>
      </w:r>
      <w:r>
        <w:rPr>
          <w:rStyle w:val="None"/>
        </w:rPr>
        <w:fldChar w:fldCharType="separate"/>
      </w:r>
      <w:r w:rsidRPr="003A38CF">
        <w:rPr>
          <w:rStyle w:val="None"/>
          <w:noProof/>
          <w:vertAlign w:val="superscript"/>
        </w:rPr>
        <w:t>114</w:t>
      </w:r>
      <w:r>
        <w:rPr>
          <w:rStyle w:val="None"/>
        </w:rPr>
        <w:fldChar w:fldCharType="end"/>
      </w:r>
      <w:r w:rsidRPr="41627A9F">
        <w:rPr>
          <w:rStyle w:val="None"/>
        </w:rPr>
        <w:t xml:space="preserve"> </w:t>
      </w:r>
      <w:r w:rsidRPr="64F9DDF4">
        <w:rPr>
          <w:rStyle w:val="None"/>
        </w:rPr>
        <w:t xml:space="preserve">and the surrounding hills rise out </w:t>
      </w:r>
      <w:r>
        <w:rPr>
          <w:rStyle w:val="None"/>
        </w:rPr>
        <w:t xml:space="preserve">of </w:t>
      </w:r>
      <w:r w:rsidRPr="64F9DDF4">
        <w:rPr>
          <w:rStyle w:val="None"/>
        </w:rPr>
        <w:t xml:space="preserve">Timna Valley in </w:t>
      </w:r>
      <w:r>
        <w:rPr>
          <w:rStyle w:val="None"/>
        </w:rPr>
        <w:t>southern Israel's</w:t>
      </w:r>
      <w:r w:rsidRPr="64F9DDF4">
        <w:rPr>
          <w:rStyle w:val="None"/>
        </w:rPr>
        <w:t xml:space="preserve"> Avara desert. </w:t>
      </w:r>
      <w:r w:rsidRPr="001179BF">
        <w:rPr>
          <w:rStyle w:val="None"/>
        </w:rPr>
        <w:t>The bedrock in the Timna area primarily consists of Cambrian sandstones</w:t>
      </w:r>
      <w:r>
        <w:rPr>
          <w:rStyle w:val="None"/>
        </w:rPr>
        <w:t>.</w:t>
      </w:r>
      <w:r>
        <w:rPr>
          <w:rStyle w:val="None"/>
        </w:rPr>
        <w:fldChar w:fldCharType="begin"/>
      </w:r>
      <w:r>
        <w:rPr>
          <w:rStyle w:val="None"/>
        </w:rPr>
        <w:instrText xml:space="preserve"> ADDIN EN.CITE &lt;EndNote&gt;&lt;Cite&gt;&lt;Author&gt;Beyth&lt;/Author&gt;&lt;Year&gt;1999&lt;/Year&gt;&lt;RecNum&gt;7802&lt;/RecNum&gt;&lt;DisplayText&gt;&lt;style face="superscript"&gt;114&lt;/style&gt;&lt;/DisplayText&gt;&lt;record&gt;&lt;rec-number&gt;7802&lt;/rec-number&gt;&lt;foreign-keys&gt;&lt;key app="EN" db-id="tatfspx9t9d0eqetvw3vtfxcaa5zxppfte9d" timestamp="1713192545"&gt;7802&lt;/key&gt;&lt;/foreign-keys&gt;&lt;ref-type name="Journal Article"&gt;17&lt;/ref-type&gt;&lt;contributors&gt;&lt;authors&gt;&lt;author&gt;Beyth, M.&lt;/author&gt;&lt;author&gt;Segev, A.&lt;/author&gt;&lt;author&gt;Bartov, Y.&lt;/author&gt;&lt;/authors&gt;&lt;/contributors&gt;&lt;titles&gt;&lt;title&gt;Geological Map of Israel 1:50,000 Be&amp;apos;er Ora Sheet 25-IV&lt;/title&gt;&lt;secondary-title&gt;Geological Survey of Israel Maps&lt;/secondary-title&gt;&lt;/titles&gt;&lt;periodical&gt;&lt;full-title&gt;Geological Survey of Israel Maps&lt;/full-title&gt;&lt;/periodical&gt;&lt;dates&gt;&lt;year&gt;1999&lt;/year&gt;&lt;/dates&gt;&lt;publisher&gt; In Vectorial format of the 1:50,000 geological map of Israel by M. Rosensaft. Isr. Geol. Surv., Jerusalem.(Partly revised, November 2011)&lt;/publisher&gt;&lt;urls&gt;&lt;/urls&gt;&lt;/record&gt;&lt;/Cite&gt;&lt;/EndNote&gt;</w:instrText>
      </w:r>
      <w:r>
        <w:rPr>
          <w:rStyle w:val="None"/>
        </w:rPr>
        <w:fldChar w:fldCharType="separate"/>
      </w:r>
      <w:r w:rsidRPr="003A38CF">
        <w:rPr>
          <w:rStyle w:val="None"/>
          <w:noProof/>
          <w:vertAlign w:val="superscript"/>
        </w:rPr>
        <w:t>114</w:t>
      </w:r>
      <w:r>
        <w:rPr>
          <w:rStyle w:val="None"/>
        </w:rPr>
        <w:fldChar w:fldCharType="end"/>
      </w:r>
      <w:r w:rsidRPr="001179BF">
        <w:rPr>
          <w:rStyle w:val="None"/>
        </w:rPr>
        <w:t xml:space="preserve"> Extensional forces linked to the </w:t>
      </w:r>
      <w:r>
        <w:rPr>
          <w:rStyle w:val="None"/>
        </w:rPr>
        <w:t>Dead Sea Transform (</w:t>
      </w:r>
      <w:r w:rsidRPr="001179BF">
        <w:rPr>
          <w:rStyle w:val="None"/>
        </w:rPr>
        <w:t>DST</w:t>
      </w:r>
      <w:r>
        <w:rPr>
          <w:rStyle w:val="None"/>
        </w:rPr>
        <w:t>)</w:t>
      </w:r>
      <w:r w:rsidRPr="001179BF">
        <w:rPr>
          <w:rStyle w:val="None"/>
        </w:rPr>
        <w:t xml:space="preserve"> might have facilitated the intrusion of magmatic bodies, leading to localized heating and fluid circulation, which subsequently played a role in the formation of the copper ore deposits in the area</w:t>
      </w:r>
      <w:r>
        <w:rPr>
          <w:rStyle w:val="None"/>
        </w:rPr>
        <w:t>.</w:t>
      </w:r>
      <w:r>
        <w:rPr>
          <w:rStyle w:val="None"/>
        </w:rPr>
        <w:fldChar w:fldCharType="begin">
          <w:fldData xml:space="preserve">PEVuZE5vdGU+PENpdGU+PEF1dGhvcj5NYXJ0PC9BdXRob3I+PFllYXI+MTk4MTwvWWVhcj48UmVj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=
</w:fldData>
        </w:fldChar>
      </w:r>
      <w:r>
        <w:rPr>
          <w:rStyle w:val="None"/>
        </w:rPr>
        <w:instrText xml:space="preserve"> ADDIN EN.CITE </w:instrText>
      </w:r>
      <w:r>
        <w:rPr>
          <w:rStyle w:val="None"/>
        </w:rPr>
        <w:fldChar w:fldCharType="begin">
          <w:fldData xml:space="preserve">PEVuZE5vdGU+PENpdGU+PEF1dGhvcj5NYXJ0PC9BdXRob3I+PFllYXI+MTk4MTwvWWVhcj48UmVj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=
</w:fldData>
        </w:fldChar>
      </w:r>
      <w:r>
        <w:rPr>
          <w:rStyle w:val="None"/>
        </w:rPr>
        <w:instrText xml:space="preserve"> ADDIN EN.CITE.DATA </w:instrText>
      </w:r>
      <w:r>
        <w:rPr>
          <w:rStyle w:val="None"/>
        </w:rPr>
      </w:r>
      <w:r>
        <w:rPr>
          <w:rStyle w:val="None"/>
        </w:rPr>
        <w:fldChar w:fldCharType="end"/>
      </w:r>
      <w:r>
        <w:rPr>
          <w:rStyle w:val="None"/>
        </w:rPr>
      </w:r>
      <w:r>
        <w:rPr>
          <w:rStyle w:val="None"/>
        </w:rPr>
        <w:fldChar w:fldCharType="separate"/>
      </w:r>
      <w:r w:rsidRPr="003A38CF">
        <w:rPr>
          <w:rStyle w:val="None"/>
          <w:noProof/>
          <w:vertAlign w:val="superscript"/>
        </w:rPr>
        <w:t>115,116</w:t>
      </w:r>
      <w:r>
        <w:rPr>
          <w:rStyle w:val="None"/>
        </w:rPr>
        <w:fldChar w:fldCharType="end"/>
      </w:r>
      <w:r>
        <w:rPr>
          <w:rStyle w:val="None"/>
        </w:rPr>
        <w:t xml:space="preserve"> </w:t>
      </w:r>
    </w:p>
    <w:p w14:paraId="67BC4D10" w14:textId="77777777" w:rsidR="004A32C4" w:rsidRPr="003B5BEE" w:rsidRDefault="004A32C4" w:rsidP="004A32C4">
      <w:pPr>
        <w:pStyle w:val="Heading2"/>
      </w:pPr>
      <w:r w:rsidRPr="003B5BEE">
        <w:t>Newberry Geologic Setting</w:t>
      </w:r>
    </w:p>
    <w:p w14:paraId="3DE5514E" w14:textId="77777777" w:rsidR="004A32C4" w:rsidRPr="001D2C7E" w:rsidRDefault="004A32C4" w:rsidP="004A32C4">
      <w:pPr>
        <w:spacing w:line="480" w:lineRule="auto"/>
      </w:pPr>
      <w:r w:rsidRPr="001D2C7E">
        <w:t>Newberry is the largest volcano in the Cascade Volcanic Chain and began erupting roughly 600,000 years ago and, most recently, the Big Obsidian Flow (BOF)</w:t>
      </w:r>
      <w:r>
        <w:t xml:space="preserve"> was formed in an eruption </w:t>
      </w:r>
      <w:r w:rsidRPr="001D2C7E">
        <w:t>1,350 years ago,.</w:t>
      </w:r>
      <w:r>
        <w:fldChar w:fldCharType="begin">
          <w:fldData xml:space="preserve">PEVuZE5vdGU+PENpdGU+PEF1dGhvcj5MaW5uZW1hbjwvQXV0aG9yPjxZZWFyPjE5OTA8L1llYXI+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</w:fldData>
        </w:fldChar>
      </w:r>
      <w:r>
        <w:instrText xml:space="preserve"> ADDIN EN.CITE </w:instrText>
      </w:r>
      <w:r>
        <w:fldChar w:fldCharType="begin">
          <w:fldData xml:space="preserve">PEVuZE5vdGU+PENpdGU+PEF1dGhvcj5MaW5uZW1hbjwvQXV0aG9yPjxZZWFyPjE5OTA8L1llYXI+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</w:fldData>
        </w:fldChar>
      </w:r>
      <w:r>
        <w:instrText xml:space="preserve"> ADDIN EN.CITE.DATA </w:instrText>
      </w:r>
      <w:r>
        <w:fldChar w:fldCharType="end"/>
      </w:r>
      <w:r>
        <w:fldChar w:fldCharType="separate"/>
      </w:r>
      <w:r w:rsidRPr="003A38CF">
        <w:rPr>
          <w:noProof/>
          <w:vertAlign w:val="superscript"/>
        </w:rPr>
        <w:t>52,53,117,118</w:t>
      </w:r>
      <w:r>
        <w:fldChar w:fldCharType="end"/>
      </w:r>
      <w:r w:rsidRPr="001D2C7E">
        <w:t xml:space="preserve"> The early phases produced basaltic andesite to andesite lava flows, which now comprise the volcano's outer flanks.</w:t>
      </w:r>
      <w:r>
        <w:fldChar w:fldCharType="begin"/>
      </w:r>
      <w:r>
        <w:instrText xml:space="preserve"> ADDIN EN.CITE &lt;EndNote&gt;&lt;Cite&gt;&lt;Author&gt;Hildreth&lt;/Author&gt;&lt;Year&gt;2007&lt;/Year&gt;&lt;RecNum&gt;7763&lt;/RecNum&gt;&lt;DisplayText&gt;&lt;style face="superscript"&gt;118&lt;/style&gt;&lt;/DisplayText&gt;&lt;record&gt;&lt;rec-number&gt;7763&lt;/rec-number&gt;&lt;foreign-keys&gt;&lt;key app="EN" db-id="tatfspx9t9d0eqetvw3vtfxcaa5zxppfte9d" timestamp="1699131302"&gt;7763&lt;/key&gt;&lt;/foreign-keys&gt;&lt;ref-type name="Journal Article"&gt;17&lt;/ref-type&gt;&lt;contributors&gt;&lt;authors&gt;&lt;author&gt;Hildreth, W. &lt;/author&gt;&lt;/authors&gt;&lt;/contributors&gt;&lt;titles&gt;&lt;title&gt;Quaternary magmatism in the Cascades—Geologic perspectives&lt;/title&gt;&lt;secondary-title&gt;US Geological Survey Professional Paper&lt;/secondary-title&gt;&lt;/titles&gt;&lt;periodical&gt;&lt;full-title&gt;US Geological Survey Professional Paper&lt;/full-title&gt;&lt;/periodical&gt;&lt;volume&gt;1744&lt;/volume&gt;&lt;dates&gt;&lt;year&gt;2007&lt;/year&gt;&lt;/dates&gt;&lt;urls&gt;&lt;/urls&gt;&lt;/record&gt;&lt;/Cite&gt;&lt;/EndNote&gt;</w:instrText>
      </w:r>
      <w:r>
        <w:fldChar w:fldCharType="separate"/>
      </w:r>
      <w:r w:rsidRPr="003A38CF">
        <w:rPr>
          <w:noProof/>
          <w:vertAlign w:val="superscript"/>
        </w:rPr>
        <w:t>118</w:t>
      </w:r>
      <w:r>
        <w:fldChar w:fldCharType="end"/>
      </w:r>
      <w:r w:rsidRPr="001D2C7E">
        <w:t xml:space="preserve"> About 75,000 years ago, a significant eruption led to the summit's collapse and formed a caldera, which later filled with water, resulting in Paulina Lake and East Lake.</w:t>
      </w:r>
      <w:r>
        <w:fldChar w:fldCharType="begin"/>
      </w:r>
      <w:r>
        <w:instrText xml:space="preserve"> ADDIN EN.CITE &lt;EndNote&gt;&lt;Cite&gt;&lt;Author&gt;Hildreth&lt;/Author&gt;&lt;Year&gt;2007&lt;/Year&gt;&lt;RecNum&gt;7763&lt;/RecNum&gt;&lt;DisplayText&gt;&lt;style face="superscript"&gt;118&lt;/style&gt;&lt;/DisplayText&gt;&lt;record&gt;&lt;rec-number&gt;7763&lt;/rec-number&gt;&lt;foreign-keys&gt;&lt;key app="EN" db-id="tatfspx9t9d0eqetvw3vtfxcaa5zxppfte9d" timestamp="1699131302"&gt;7763&lt;/key&gt;&lt;/foreign-keys&gt;&lt;ref-type name="Journal Article"&gt;17&lt;/ref-type&gt;&lt;contributors&gt;&lt;authors&gt;&lt;author&gt;Hildreth, W. &lt;/author&gt;&lt;/authors&gt;&lt;/contributors&gt;&lt;titles&gt;&lt;title&gt;Quaternary magmatism in the Cascades—Geologic perspectives&lt;/title&gt;&lt;secondary-title&gt;US Geological Survey Professional Paper&lt;/secondary-title&gt;&lt;/titles&gt;&lt;periodical&gt;&lt;full-title&gt;US Geological Survey Professional Paper&lt;/full-title&gt;&lt;/periodical&gt;&lt;volume&gt;1744&lt;/volume&gt;&lt;dates&gt;&lt;year&gt;2007&lt;/year&gt;&lt;/dates&gt;&lt;urls&gt;&lt;/urls&gt;&lt;/record&gt;&lt;/Cite&gt;&lt;/EndNote&gt;</w:instrText>
      </w:r>
      <w:r>
        <w:fldChar w:fldCharType="separate"/>
      </w:r>
      <w:r w:rsidRPr="003A38CF">
        <w:rPr>
          <w:noProof/>
          <w:vertAlign w:val="superscript"/>
        </w:rPr>
        <w:t>118</w:t>
      </w:r>
      <w:r>
        <w:fldChar w:fldCharType="end"/>
      </w:r>
      <w:r w:rsidRPr="001D2C7E">
        <w:t xml:space="preserve"> The primary tectonic influence in the Pacific Northwest is the subduction of the Juan de Fuca Plate beneath the North American Plate. While the Cascade </w:t>
      </w:r>
      <w:r w:rsidRPr="001D2C7E">
        <w:lastRenderedPageBreak/>
        <w:t>Mountain range is home to several stratovolcanoes resulting directly from this subduction, Newberry is slightly different. It is situated farther east and is often termed a 'rear-arc' volcano, lying behind the main Cascade volcanic arc.</w:t>
      </w:r>
      <w:r>
        <w:fldChar w:fldCharType="begin"/>
      </w:r>
      <w:r>
        <w:instrText xml:space="preserve"> ADDIN EN.CITE &lt;EndNote&gt;&lt;Cite&gt;&lt;Author&gt;Priest&lt;/Author&gt;&lt;Year&gt;1990&lt;/Year&gt;&lt;RecNum&gt;7762&lt;/RecNum&gt;&lt;DisplayText&gt;&lt;style face="superscript"&gt;118,119&lt;/style&gt;&lt;/DisplayText&gt;&lt;record&gt;&lt;rec-number&gt;7762&lt;/rec-number&gt;&lt;foreign-keys&gt;&lt;key app="EN" db-id="tatfspx9t9d0eqetvw3vtfxcaa5zxppfte9d" timestamp="1699131302"&gt;7762&lt;/key&gt;&lt;/foreign-keys&gt;&lt;ref-type name="Journal Article"&gt;17&lt;/ref-type&gt;&lt;contributors&gt;&lt;authors&gt;&lt;author&gt;Priest, G. R. &lt;/author&gt;&lt;/authors&gt;&lt;/contributors&gt;&lt;titles&gt;&lt;title&gt;Volcanic and tectonic evolution of the Cascade volcanic arc, central Oregon&lt;/title&gt;&lt;secondary-title&gt;Journal of Geophysical Research: Solid Earth&lt;/secondary-title&gt;&lt;/titles&gt;&lt;periodical&gt;&lt;full-title&gt;Journal of Geophysical Research: Solid Earth&lt;/full-title&gt;&lt;/periodical&gt;&lt;pages&gt;19583-19599&lt;/pages&gt;&lt;volume&gt;95&lt;/volume&gt;&lt;number&gt;B12&lt;/number&gt;&lt;dates&gt;&lt;year&gt;1990&lt;/year&gt;&lt;/dates&gt;&lt;urls&gt;&lt;/urls&gt;&lt;/record&gt;&lt;/Cite&gt;&lt;Cite&gt;&lt;Author&gt;Hildreth&lt;/Author&gt;&lt;Year&gt;2007&lt;/Year&gt;&lt;RecNum&gt;7763&lt;/RecNum&gt;&lt;record&gt;&lt;rec-number&gt;7763&lt;/rec-number&gt;&lt;foreign-keys&gt;&lt;key app="EN" db-id="tatfspx9t9d0eqetvw3vtfxcaa5zxppfte9d" timestamp="1699131302"&gt;7763&lt;/key&gt;&lt;/foreign-keys&gt;&lt;ref-type name="Journal Article"&gt;17&lt;/ref-type&gt;&lt;contributors&gt;&lt;authors&gt;&lt;author&gt;Hildreth, W. &lt;/author&gt;&lt;/authors&gt;&lt;/contributors&gt;&lt;titles&gt;&lt;title&gt;Quaternary magmatism in the Cascades—Geologic perspectives&lt;/title&gt;&lt;secondary-title&gt;US Geological Survey Professional Paper&lt;/secondary-title&gt;&lt;/titles&gt;&lt;periodical&gt;&lt;full-title&gt;US Geological Survey Professional Paper&lt;/full-title&gt;&lt;/periodical&gt;&lt;volume&gt;1744&lt;/volume&gt;&lt;dates&gt;&lt;year&gt;2007&lt;/year&gt;&lt;/dates&gt;&lt;urls&gt;&lt;/urls&gt;&lt;/record&gt;&lt;/Cite&gt;&lt;/EndNote&gt;</w:instrText>
      </w:r>
      <w:r>
        <w:fldChar w:fldCharType="separate"/>
      </w:r>
      <w:r w:rsidRPr="003A38CF">
        <w:rPr>
          <w:noProof/>
          <w:vertAlign w:val="superscript"/>
        </w:rPr>
        <w:t>118,119</w:t>
      </w:r>
      <w:r>
        <w:fldChar w:fldCharType="end"/>
      </w:r>
      <w:r w:rsidRPr="001D2C7E">
        <w:t xml:space="preserve"> The BOF magma now feeds hot magmatic fluid to the caldera at a depth of 1 km, where it disperses into the volcano's hydrothermal system.</w:t>
      </w:r>
      <w:r>
        <w:fldChar w:fldCharType="begin"/>
      </w:r>
      <w:r>
        <w:instrText xml:space="preserve"> ADDIN EN.CITE &lt;EndNote&gt;&lt;Cite&gt;&lt;Author&gt;Bowles-Martinez&lt;/Author&gt;&lt;Year&gt;2020&lt;/Year&gt;&lt;RecNum&gt;7818&lt;/RecNum&gt;&lt;DisplayText&gt;&lt;style face="superscript"&gt;120&lt;/style&gt;&lt;/DisplayText&gt;&lt;record&gt;&lt;rec-number&gt;7818&lt;/rec-number&gt;&lt;foreign-keys&gt;&lt;key app="EN" db-id="tatfspx9t9d0eqetvw3vtfxcaa5zxppfte9d" timestamp="1713192545"&gt;7818&lt;/key&gt;&lt;/foreign-keys&gt;&lt;ref-type name="Journal Article"&gt;17&lt;/ref-type&gt;&lt;contributors&gt;&lt;authors&gt;&lt;author&gt;Bowles-Martinez, E.&lt;/author&gt;&lt;author&gt;Schultz, A.&lt;/author&gt;&lt;/authors&gt;&lt;/contributors&gt;&lt;titles&gt;&lt;title&gt;Composition of Magma and Characteristics of the Hydrothermal System of Newberry Volcano, Oregon, From Magnetotellurics&lt;/title&gt;&lt;secondary-title&gt;Geochemistry, Geophysics, Geosystems&lt;/secondary-title&gt;&lt;/titles&gt;&lt;periodical&gt;&lt;full-title&gt;Geochemistry, Geophysics, Geosystems&lt;/full-title&gt;&lt;/periodical&gt;&lt;pages&gt;e2019GC008831&lt;/pages&gt;&lt;volume&gt;21&lt;/volume&gt;&lt;number&gt;3&lt;/number&gt;&lt;dates&gt;&lt;year&gt;2020&lt;/year&gt;&lt;/dates&gt;&lt;isbn&gt;1525-2027&lt;/isbn&gt;&lt;urls&gt;&lt;related-urls&gt;&lt;url&gt;https://agupubs.onlinelibrary.wiley.com/doi/abs/10.1029/2019GC008831&lt;/url&gt;&lt;/related-urls&gt;&lt;/urls&gt;&lt;electronic-resource-num&gt;https://doi.org/10.1029/2019GC008831&lt;/electronic-resource-num&gt;&lt;/record&gt;&lt;/Cite&gt;&lt;/EndNote&gt;</w:instrText>
      </w:r>
      <w:r>
        <w:fldChar w:fldCharType="separate"/>
      </w:r>
      <w:r w:rsidRPr="003A38CF">
        <w:rPr>
          <w:noProof/>
          <w:vertAlign w:val="superscript"/>
        </w:rPr>
        <w:t>120</w:t>
      </w:r>
      <w:r>
        <w:fldChar w:fldCharType="end"/>
      </w:r>
      <w:r w:rsidRPr="001D2C7E">
        <w:t xml:space="preserve"> Another obsidian-rich flow occurred 3,500 </w:t>
      </w:r>
      <w:r>
        <w:t>years ago</w:t>
      </w:r>
      <w:r w:rsidRPr="001D2C7E">
        <w:t xml:space="preserve"> with a SiO</w:t>
      </w:r>
      <w:r w:rsidRPr="001D2C7E">
        <w:rPr>
          <w:vertAlign w:val="subscript"/>
        </w:rPr>
        <w:t>2</w:t>
      </w:r>
      <w:r w:rsidRPr="001D2C7E">
        <w:t xml:space="preserve"> </w:t>
      </w:r>
      <w:r>
        <w:t xml:space="preserve">weight </w:t>
      </w:r>
      <w:r w:rsidRPr="001D2C7E">
        <w:t>percent between 71.5 and 73.9.</w:t>
      </w:r>
      <w:r>
        <w:fldChar w:fldCharType="begin">
          <w:fldData xml:space="preserve">PEVuZE5vdGU+PENpdGU+PEF1dGhvcj5NYWNMZW9kPC9BdXRob3I+PFllYXI+MTk5NTwvWWVhcj48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=
</w:fldData>
        </w:fldChar>
      </w:r>
      <w:r>
        <w:instrText xml:space="preserve"> ADDIN EN.CITE </w:instrText>
      </w:r>
      <w:r>
        <w:fldChar w:fldCharType="begin">
          <w:fldData xml:space="preserve">PEVuZE5vdGU+PENpdGU+PEF1dGhvcj5NYWNMZW9kPC9BdXRob3I+PFllYXI+MTk5NTwvWWVhcj48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=
</w:fldData>
        </w:fldChar>
      </w:r>
      <w:r>
        <w:instrText xml:space="preserve"> ADDIN EN.CITE.DATA </w:instrText>
      </w:r>
      <w:r>
        <w:fldChar w:fldCharType="end"/>
      </w:r>
      <w:r>
        <w:fldChar w:fldCharType="separate"/>
      </w:r>
      <w:r w:rsidRPr="003A38CF">
        <w:rPr>
          <w:noProof/>
          <w:vertAlign w:val="superscript"/>
        </w:rPr>
        <w:t>52,53,117,118</w:t>
      </w:r>
      <w:r>
        <w:fldChar w:fldCharType="end"/>
      </w:r>
      <w:r w:rsidRPr="001D2C7E">
        <w:t xml:space="preserve"> The early phases produced basaltic andesite to andesite lava flows, which now comprise the volcano's outer flanks.</w:t>
      </w:r>
      <w:r>
        <w:fldChar w:fldCharType="begin"/>
      </w:r>
      <w:r>
        <w:instrText xml:space="preserve"> ADDIN EN.CITE &lt;EndNote&gt;&lt;Cite&gt;&lt;Author&gt;Hildreth&lt;/Author&gt;&lt;Year&gt;2007&lt;/Year&gt;&lt;RecNum&gt;7763&lt;/RecNum&gt;&lt;DisplayText&gt;&lt;style face="superscript"&gt;118&lt;/style&gt;&lt;/DisplayText&gt;&lt;record&gt;&lt;rec-number&gt;7763&lt;/rec-number&gt;&lt;foreign-keys&gt;&lt;key app="EN" db-id="tatfspx9t9d0eqetvw3vtfxcaa5zxppfte9d" timestamp="1699131302"&gt;7763&lt;/key&gt;&lt;/foreign-keys&gt;&lt;ref-type name="Journal Article"&gt;17&lt;/ref-type&gt;&lt;contributors&gt;&lt;authors&gt;&lt;author&gt;Hildreth, W. &lt;/author&gt;&lt;/authors&gt;&lt;/contributors&gt;&lt;titles&gt;&lt;title&gt;Quaternary magmatism in the Cascades—Geologic perspectives&lt;/title&gt;&lt;secondary-title&gt;US Geological Survey Professional Paper&lt;/secondary-title&gt;&lt;/titles&gt;&lt;periodical&gt;&lt;full-title&gt;US Geological Survey Professional Paper&lt;/full-title&gt;&lt;/periodical&gt;&lt;volume&gt;1744&lt;/volume&gt;&lt;dates&gt;&lt;year&gt;2007&lt;/year&gt;&lt;/dates&gt;&lt;urls&gt;&lt;/urls&gt;&lt;/record&gt;&lt;/Cite&gt;&lt;/EndNote&gt;</w:instrText>
      </w:r>
      <w:r>
        <w:fldChar w:fldCharType="separate"/>
      </w:r>
      <w:r w:rsidRPr="003A38CF">
        <w:rPr>
          <w:noProof/>
          <w:vertAlign w:val="superscript"/>
        </w:rPr>
        <w:t>118</w:t>
      </w:r>
      <w:r>
        <w:fldChar w:fldCharType="end"/>
      </w:r>
      <w:r w:rsidRPr="001D2C7E">
        <w:t xml:space="preserve"> </w:t>
      </w:r>
    </w:p>
    <w:p w14:paraId="216CE5CB" w14:textId="77777777" w:rsidR="004A32C4" w:rsidRDefault="004A32C4" w:rsidP="004A32C4">
      <w:pPr>
        <w:pStyle w:val="Heading2"/>
      </w:pPr>
      <w:r w:rsidRPr="41627A9F">
        <w:t xml:space="preserve">Dobkowice </w:t>
      </w:r>
      <w:r w:rsidRPr="6CD12192">
        <w:t>Geologic Setting</w:t>
      </w:r>
    </w:p>
    <w:p w14:paraId="69B86905" w14:textId="77777777" w:rsidR="004A32C4" w:rsidRDefault="004A32C4" w:rsidP="004A32C4">
      <w:pPr>
        <w:pStyle w:val="BodyA"/>
        <w:spacing w:line="480" w:lineRule="auto"/>
        <w:rPr>
          <w:bCs/>
        </w:rPr>
      </w:pPr>
      <w:r w:rsidRPr="0066083E">
        <w:rPr>
          <w:bCs/>
        </w:rPr>
        <w:t xml:space="preserve">Dobkowice is located on the northern edge of the Carpathian Foredeep, a geological basin filled with sedimentary rocks deposited over millions of years. </w:t>
      </w:r>
      <w:r>
        <w:rPr>
          <w:bCs/>
        </w:rPr>
        <w:t xml:space="preserve">During the </w:t>
      </w:r>
      <w:r w:rsidRPr="0066083E">
        <w:rPr>
          <w:bCs/>
        </w:rPr>
        <w:t>Miocene</w:t>
      </w:r>
      <w:r>
        <w:rPr>
          <w:bCs/>
        </w:rPr>
        <w:t xml:space="preserve">, sediment </w:t>
      </w:r>
      <w:r w:rsidRPr="0066083E">
        <w:rPr>
          <w:bCs/>
        </w:rPr>
        <w:t>deposition</w:t>
      </w:r>
      <w:r>
        <w:rPr>
          <w:bCs/>
        </w:rPr>
        <w:t xml:space="preserve"> that lithified into </w:t>
      </w:r>
      <w:r w:rsidRPr="0066083E">
        <w:rPr>
          <w:bCs/>
        </w:rPr>
        <w:t xml:space="preserve">sandstone and </w:t>
      </w:r>
      <w:r>
        <w:rPr>
          <w:bCs/>
        </w:rPr>
        <w:t>mudstones was dominant and formed the region's bedrock. The Pliocene was marked by the retreat of shallow seas, leaving deposits of clays, sand, and gravel. Repeated glaciations of the Pleistocene scoured the area, leaving till, boulders, gravel, and sand atop the older formations.</w:t>
      </w:r>
      <w:r>
        <w:rPr>
          <w:bCs/>
        </w:rPr>
        <w:fldChar w:fldCharType="begin"/>
      </w:r>
      <w:r>
        <w:rPr>
          <w:bCs/>
        </w:rPr>
        <w:instrText xml:space="preserve"> ADDIN EN.CITE &lt;EndNote&gt;&lt;Cite&gt;&lt;Author&gt;Kondracki&lt;/Author&gt;&lt;Year&gt;2002&lt;/Year&gt;&lt;RecNum&gt;7911&lt;/RecNum&gt;&lt;DisplayText&gt;&lt;style face="superscript"&gt;121&lt;/style&gt;&lt;/DisplayText&gt;&lt;record&gt;&lt;rec-number&gt;7911&lt;/rec-number&gt;&lt;foreign-keys&gt;&lt;key app="EN" db-id="tatfspx9t9d0eqetvw3vtfxcaa5zxppfte9d" timestamp="1732749374"&gt;7911&lt;/key&gt;&lt;/foreign-keys&gt;&lt;ref-type name="Journal Article"&gt;17&lt;/ref-type&gt;&lt;contributors&gt;&lt;authors&gt;&lt;author&gt;Kondracki, J&lt;/author&gt;&lt;/authors&gt;&lt;/contributors&gt;&lt;titles&gt;&lt;title&gt;Regional geography of Poland&lt;/title&gt;&lt;secondary-title&gt;PWN, Warsaw (in Polish)&lt;/secondary-title&gt;&lt;/titles&gt;&lt;periodical&gt;&lt;full-title&gt;PWN, Warsaw (in Polish)&lt;/full-title&gt;&lt;/periodical&gt;&lt;dates&gt;&lt;year&gt;2002&lt;/year&gt;&lt;/dates&gt;&lt;urls&gt;&lt;/urls&gt;&lt;/record&gt;&lt;/Cite&gt;&lt;/EndNote&gt;</w:instrText>
      </w:r>
      <w:r>
        <w:rPr>
          <w:bCs/>
        </w:rPr>
        <w:fldChar w:fldCharType="separate"/>
      </w:r>
      <w:r w:rsidRPr="003A38CF">
        <w:rPr>
          <w:bCs/>
          <w:noProof/>
          <w:vertAlign w:val="superscript"/>
        </w:rPr>
        <w:t>121</w:t>
      </w:r>
      <w:r>
        <w:rPr>
          <w:bCs/>
        </w:rPr>
        <w:fldChar w:fldCharType="end"/>
      </w:r>
      <w:r>
        <w:rPr>
          <w:bCs/>
        </w:rPr>
        <w:t xml:space="preserve"> </w:t>
      </w:r>
    </w:p>
    <w:p w14:paraId="62A1E192" w14:textId="77777777" w:rsidR="004A32C4" w:rsidRDefault="004A32C4" w:rsidP="004A32C4">
      <w:pPr>
        <w:pStyle w:val="Heading2"/>
      </w:pPr>
      <w:r w:rsidRPr="38BE0073">
        <w:t>Ballidon</w:t>
      </w:r>
      <w:r w:rsidRPr="11E66916">
        <w:t xml:space="preserve"> Geologic Setting</w:t>
      </w:r>
    </w:p>
    <w:p w14:paraId="7757886F" w14:textId="77777777" w:rsidR="004A32C4" w:rsidRDefault="004A32C4" w:rsidP="004A32C4">
      <w:pPr>
        <w:pStyle w:val="BodyA"/>
        <w:spacing w:line="480" w:lineRule="auto"/>
        <w:rPr>
          <w:bCs/>
        </w:rPr>
      </w:pPr>
      <w:r>
        <w:t>Three hundred forty million years ago, during the Early Carboniferous Period, the Ballidon area was covered by warm, shallow seas rich in marine life, such as crustaceans and coral reefs. The remains of these organisms, rich in calcium carbonate, accumulated on the seabed, forming thick layers of carbonaceous limestone.</w:t>
      </w:r>
      <w:r>
        <w:fldChar w:fldCharType="begin"/>
      </w:r>
      <w:r>
        <w:instrText xml:space="preserve"> ADDIN EN.CITE &lt;EndNote&gt;&lt;Cite&gt;&lt;Author&gt;Stevenson&lt;/Author&gt;&lt;Year&gt;1971&lt;/Year&gt;&lt;RecNum&gt;7833&lt;/RecNum&gt;&lt;DisplayText&gt;&lt;style face="superscript"&gt;122&lt;/style&gt;&lt;/DisplayText&gt;&lt;record&gt;&lt;rec-number&gt;7833&lt;/rec-number&gt;&lt;foreign-keys&gt;&lt;key app="EN" db-id="tatfspx9t9d0eqetvw3vtfxcaa5zxppfte9d" timestamp="1713192546"&gt;7833&lt;/key&gt;&lt;/foreign-keys&gt;&lt;ref-type name="Journal Article"&gt;17&lt;/ref-type&gt;&lt;contributors&gt;&lt;authors&gt;&lt;author&gt;Stevenson, IP&lt;/author&gt;&lt;author&gt;Gaunt, G.D.&lt;/author&gt;&lt;/authors&gt;&lt;/contributors&gt;&lt;titles&gt;&lt;title&gt;Geology of the country around Chapel en le Frith. Explanation of one-inch geological sheet 99, New Series&lt;/title&gt;&lt;/titles&gt;&lt;dates&gt;&lt;year&gt;1971&lt;/year&gt;&lt;/dates&gt;&lt;urls&gt;&lt;/urls&gt;&lt;/record&gt;&lt;/Cite&gt;&lt;/EndNote&gt;</w:instrText>
      </w:r>
      <w:r>
        <w:fldChar w:fldCharType="separate"/>
      </w:r>
      <w:r w:rsidRPr="003A38CF">
        <w:rPr>
          <w:noProof/>
          <w:vertAlign w:val="superscript"/>
        </w:rPr>
        <w:t>122</w:t>
      </w:r>
      <w:r>
        <w:fldChar w:fldCharType="end"/>
      </w:r>
      <w:r>
        <w:t xml:space="preserve"> The environment changed later in the Carboniferous period, and large estuaries dominated the area. These rivers deposited mud, which later compacted to form shale and rock layers. This transition marks the transition from a marine to a terrestrial environment. The area also experienced volcanic activity during this time, with submarine volcanoes spewing lava across the sea floor, leading to layers of basalt layers. During the </w:t>
      </w:r>
      <w:r>
        <w:lastRenderedPageBreak/>
        <w:t>Cenozoic periodic, the region experienced significant land movements that shaped its current topography. The dome-like shape of the Peak District, known as the Derbyshire Dome, results from a complex network of faults resulting in till</w:t>
      </w:r>
      <w:r>
        <w:rPr>
          <w:rStyle w:val="CommentReference"/>
          <w14:textOutline w14:w="0" w14:cap="rnd" w14:cmpd="sng" w14:algn="ctr">
            <w14:noFill/>
            <w14:prstDash w14:val="solid"/>
            <w14:bevel/>
          </w14:textOutline>
        </w:rPr>
        <w:t xml:space="preserve"> </w:t>
      </w:r>
      <w:r>
        <w:t>blocks and half grabens.</w:t>
      </w:r>
      <w:r>
        <w:fldChar w:fldCharType="begin"/>
      </w:r>
      <w:r>
        <w:instrText xml:space="preserve"> ADDIN EN.CITE &lt;EndNote&gt;&lt;Cite&gt;&lt;Author&gt;Hose&lt;/Author&gt;&lt;Year&gt;2017&lt;/Year&gt;&lt;RecNum&gt;7834&lt;/RecNum&gt;&lt;DisplayText&gt;&lt;style face="superscript"&gt;123&lt;/style&gt;&lt;/DisplayText&gt;&lt;record&gt;&lt;rec-number&gt;7834&lt;/rec-number&gt;&lt;foreign-keys&gt;&lt;key app="EN" db-id="tatfspx9t9d0eqetvw3vtfxcaa5zxppfte9d" timestamp="1713192546"&gt;7834&lt;/key&gt;&lt;/foreign-keys&gt;&lt;ref-type name="Journal Article"&gt;17&lt;/ref-type&gt;&lt;contributors&gt;&lt;authors&gt;&lt;author&gt;Hose, Thomas A&lt;/author&gt;&lt;/authors&gt;&lt;/contributors&gt;&lt;titles&gt;&lt;title&gt;The English Peak District (as a potential geopark): Mining geoheritage and historical geotourism&lt;/title&gt;&lt;secondary-title&gt;Acta Geoturistica&lt;/secondary-title&gt;&lt;/titles&gt;&lt;periodical&gt;&lt;full-title&gt;Acta Geoturistica&lt;/full-title&gt;&lt;/periodical&gt;&lt;pages&gt;32-49&lt;/pages&gt;&lt;volume&gt;8&lt;/volume&gt;&lt;number&gt;2&lt;/number&gt;&lt;dates&gt;&lt;year&gt;2017&lt;/year&gt;&lt;/dates&gt;&lt;urls&gt;&lt;/urls&gt;&lt;/record&gt;&lt;/Cite&gt;&lt;/EndNote&gt;</w:instrText>
      </w:r>
      <w:r>
        <w:fldChar w:fldCharType="separate"/>
      </w:r>
      <w:r w:rsidRPr="003A38CF">
        <w:rPr>
          <w:noProof/>
          <w:vertAlign w:val="superscript"/>
        </w:rPr>
        <w:t>123</w:t>
      </w:r>
      <w:r>
        <w:fldChar w:fldCharType="end"/>
      </w:r>
      <w:r>
        <w:t xml:space="preserve"> The area was not heavily glaciated during the Last Glacial Maximum, but features such as glaciation and peat deposits on bogs indicate some glacial influence.</w:t>
      </w:r>
      <w:r w:rsidRPr="00352CB1">
        <w:t xml:space="preserve"> </w:t>
      </w:r>
      <w:r>
        <w:t xml:space="preserve">The quarry is mined for its bedrock, </w:t>
      </w:r>
      <w:r w:rsidRPr="007A5B90">
        <w:t>the Bee Low Limestone Formation, a pale grey-brown fine-to-medium grain rock that is ~160 m thick in the area</w:t>
      </w:r>
      <w:r>
        <w:t>.</w:t>
      </w:r>
      <w:r>
        <w:fldChar w:fldCharType="begin"/>
      </w:r>
      <w:r>
        <w:instrText xml:space="preserve"> ADDIN EN.CITE &lt;EndNote&gt;&lt;Cite&gt;&lt;Author&gt;Dunham&lt;/Author&gt;&lt;Year&gt;1973&lt;/Year&gt;&lt;RecNum&gt;7835&lt;/RecNum&gt;&lt;DisplayText&gt;&lt;style face="superscript"&gt;124&lt;/style&gt;&lt;/DisplayText&gt;&lt;record&gt;&lt;rec-number&gt;7835&lt;/rec-number&gt;&lt;foreign-keys&gt;&lt;key app="EN" db-id="tatfspx9t9d0eqetvw3vtfxcaa5zxppfte9d" timestamp="1713192546"&gt;7835&lt;/key&gt;&lt;/foreign-keys&gt;&lt;ref-type name="Journal Article"&gt;17&lt;/ref-type&gt;&lt;contributors&gt;&lt;authors&gt;&lt;author&gt;Dunham, Kinosley&lt;/author&gt;&lt;/authors&gt;&lt;/contributors&gt;&lt;titles&gt;&lt;title&gt;A recent deep borehole near Eyam, Derbyshire&lt;/title&gt;&lt;secondary-title&gt;Nature Physical Science&lt;/secondary-title&gt;&lt;/titles&gt;&lt;periodical&gt;&lt;full-title&gt;Nature Physical Science&lt;/full-title&gt;&lt;/periodical&gt;&lt;pages&gt;84-85&lt;/pages&gt;&lt;volume&gt;241&lt;/volume&gt;&lt;number&gt;108&lt;/number&gt;&lt;dates&gt;&lt;year&gt;1973&lt;/year&gt;&lt;/dates&gt;&lt;isbn&gt;0300-8746&lt;/isbn&gt;&lt;urls&gt;&lt;/urls&gt;&lt;/record&gt;&lt;/Cite&gt;&lt;/EndNote&gt;</w:instrText>
      </w:r>
      <w:r>
        <w:fldChar w:fldCharType="separate"/>
      </w:r>
      <w:r w:rsidRPr="003A38CF">
        <w:rPr>
          <w:noProof/>
          <w:vertAlign w:val="superscript"/>
        </w:rPr>
        <w:t>124</w:t>
      </w:r>
      <w:r>
        <w:fldChar w:fldCharType="end"/>
      </w:r>
    </w:p>
    <w:p w14:paraId="741A07D4" w14:textId="77777777" w:rsidR="004A32C4" w:rsidRPr="00721044" w:rsidRDefault="004A32C4" w:rsidP="004A32C4">
      <w:pPr>
        <w:pStyle w:val="Heading2"/>
      </w:pPr>
      <w:r>
        <w:br w:type="page"/>
      </w:r>
      <w:r>
        <w:lastRenderedPageBreak/>
        <w:t xml:space="preserve">Elemental maps overlaid on SEM-BSE of </w:t>
      </w:r>
      <w:r w:rsidRPr="00EF63C3">
        <w:t xml:space="preserve">Dobkowice </w:t>
      </w:r>
      <w:r>
        <w:t>sample</w:t>
      </w:r>
    </w:p>
    <w:p w14:paraId="25AB3373" w14:textId="77777777" w:rsidR="004A32C4" w:rsidRDefault="004A32C4" w:rsidP="004A32C4">
      <w:pPr>
        <w:rPr>
          <w:b/>
          <w:bCs/>
        </w:rPr>
      </w:pPr>
    </w:p>
    <w:p w14:paraId="33E177C1" w14:textId="77777777" w:rsidR="004A32C4" w:rsidRDefault="004A32C4" w:rsidP="004A32C4">
      <w:pPr>
        <w:pStyle w:val="BodyA"/>
        <w:jc w:val="center"/>
      </w:pPr>
      <w:r>
        <w:rPr>
          <w:noProof/>
        </w:rPr>
        <w:drawing>
          <wp:inline distT="0" distB="0" distL="0" distR="0" wp14:anchorId="5799BB5D" wp14:editId="3FB5C9A2">
            <wp:extent cx="5943307" cy="1685117"/>
            <wp:effectExtent l="0" t="0" r="635" b="0"/>
            <wp:docPr id="6513542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
                      <a:extLst>
                        <a:ext uri="{28A0092B-C50C-407E-A947-70E740481C1C}">
                          <a14:useLocalDpi xmlns:a14="http://schemas.microsoft.com/office/drawing/2010/main" val="0"/>
                        </a:ext>
                      </a:extLst>
                    </a:blip>
                    <a:srcRect t="28297"/>
                    <a:stretch/>
                  </pic:blipFill>
                  <pic:spPr bwMode="auto">
                    <a:xfrm>
                      <a:off x="0" y="0"/>
                      <a:ext cx="5943600" cy="1685200"/>
                    </a:xfrm>
                    <a:prstGeom prst="rect">
                      <a:avLst/>
                    </a:prstGeom>
                    <a:noFill/>
                    <a:ln>
                      <a:noFill/>
                    </a:ln>
                    <a:extLst>
                      <a:ext uri="{53640926-AAD7-44D8-BBD7-CCE9431645EC}">
                        <a14:shadowObscured xmlns:a14="http://schemas.microsoft.com/office/drawing/2010/main"/>
                      </a:ext>
                    </a:extLst>
                  </pic:spPr>
                </pic:pic>
              </a:graphicData>
            </a:graphic>
          </wp:inline>
        </w:drawing>
      </w:r>
    </w:p>
    <w:p w14:paraId="6BBBEAB2" w14:textId="77777777" w:rsidR="004A32C4" w:rsidRDefault="004A32C4" w:rsidP="004A32C4">
      <w:pPr>
        <w:pStyle w:val="BodyA"/>
      </w:pPr>
      <w:r>
        <w:t>Figure S1. SEM-EDS maps overlaid on SEM-BSE images of fractured surfaces on the Dobkowice sample show a Si-rich layer (SL#1). The image in A) is taken in low magnification, and the image in B) is taken in higher magnification. Approximate boundary between SL#1 and the bulk glass is shown with a dashed line.</w:t>
      </w:r>
    </w:p>
    <w:p w14:paraId="2327A8B9" w14:textId="77777777" w:rsidR="004A32C4" w:rsidRDefault="004A32C4" w:rsidP="004A32C4">
      <w:pPr>
        <w:rPr>
          <w:rFonts w:cs="Arial Unicode MS"/>
          <w:color w:val="000000"/>
          <w:u w:color="000000"/>
          <w14:textOutline w14:w="12700" w14:cap="flat" w14:cmpd="sng" w14:algn="ctr">
            <w14:noFill/>
            <w14:prstDash w14:val="solid"/>
            <w14:miter w14:lim="400000"/>
          </w14:textOutline>
        </w:rPr>
      </w:pPr>
      <w:r>
        <w:br w:type="page"/>
      </w:r>
    </w:p>
    <w:p w14:paraId="43809700" w14:textId="77777777" w:rsidR="004A32C4" w:rsidRPr="00721044" w:rsidRDefault="004A32C4" w:rsidP="004A32C4">
      <w:pPr>
        <w:pStyle w:val="Heading2"/>
      </w:pPr>
      <w:r>
        <w:lastRenderedPageBreak/>
        <w:t>Elemental maps of Broborg BB1b samples</w:t>
      </w:r>
    </w:p>
    <w:p w14:paraId="372DB404" w14:textId="77777777" w:rsidR="004A32C4" w:rsidRDefault="004A32C4" w:rsidP="004A32C4">
      <w:pPr>
        <w:pStyle w:val="BodyA"/>
        <w:spacing w:line="480" w:lineRule="auto"/>
        <w:rPr>
          <w:b/>
          <w:bCs/>
        </w:rPr>
      </w:pPr>
      <w:r>
        <w:t xml:space="preserve">Below are elemental SEM-EDS maps of BB1b samples (overlayed in </w:t>
      </w:r>
      <w:r>
        <w:rPr>
          <w:color w:val="0070C0"/>
        </w:rPr>
        <w:t>F</w:t>
      </w:r>
      <w:r w:rsidRPr="00891F9C">
        <w:rPr>
          <w:color w:val="0070C0"/>
        </w:rPr>
        <w:t>igure 1</w:t>
      </w:r>
      <w:r>
        <w:rPr>
          <w:color w:val="0070C0"/>
        </w:rPr>
        <w:t>4)</w:t>
      </w:r>
      <w:r w:rsidRPr="00891F9C">
        <w:rPr>
          <w:color w:val="0070C0"/>
        </w:rPr>
        <w:t xml:space="preserve"> </w:t>
      </w:r>
      <w:r>
        <w:t>to allow for observation of the location of various elemental signatures.</w:t>
      </w:r>
      <w:r>
        <w:rPr>
          <w:noProof/>
        </w:rPr>
        <w:drawing>
          <wp:inline distT="0" distB="0" distL="0" distR="0" wp14:anchorId="3C052671" wp14:editId="2CA087AE">
            <wp:extent cx="5943600" cy="6707505"/>
            <wp:effectExtent l="0" t="0" r="0" b="0"/>
            <wp:docPr id="17283753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6707505"/>
                    </a:xfrm>
                    <a:prstGeom prst="rect">
                      <a:avLst/>
                    </a:prstGeom>
                    <a:noFill/>
                    <a:ln>
                      <a:noFill/>
                    </a:ln>
                  </pic:spPr>
                </pic:pic>
              </a:graphicData>
            </a:graphic>
          </wp:inline>
        </w:drawing>
      </w:r>
    </w:p>
    <w:p w14:paraId="6F5FCF33" w14:textId="77777777" w:rsidR="004A32C4" w:rsidRDefault="004A32C4" w:rsidP="004A32C4">
      <w:pPr>
        <w:rPr>
          <w:rFonts w:cs="Arial Unicode MS"/>
          <w:b/>
          <w:bCs/>
          <w:color w:val="000000"/>
          <w:u w:color="000000"/>
          <w14:textOutline w14:w="12700" w14:cap="flat" w14:cmpd="sng" w14:algn="ctr">
            <w14:noFill/>
            <w14:prstDash w14:val="solid"/>
            <w14:miter w14:lim="400000"/>
          </w14:textOutline>
        </w:rPr>
      </w:pPr>
      <w:r>
        <w:t>Figure S2. SEM-EDS elemental maps of sample BB1b</w:t>
      </w:r>
    </w:p>
    <w:p w14:paraId="499CB7E3" w14:textId="77777777" w:rsidR="004A32C4" w:rsidRPr="00721044" w:rsidRDefault="004A32C4" w:rsidP="004A32C4">
      <w:pPr>
        <w:pStyle w:val="Heading2"/>
      </w:pPr>
      <w:r>
        <w:lastRenderedPageBreak/>
        <w:t>SEM and elemental maps of Newberry samples</w:t>
      </w:r>
    </w:p>
    <w:p w14:paraId="1C4749B9" w14:textId="77777777" w:rsidR="004A32C4" w:rsidRPr="004E1ADB" w:rsidRDefault="004A32C4" w:rsidP="004A32C4">
      <w:pPr>
        <w:pStyle w:val="BodyA"/>
        <w:spacing w:line="480" w:lineRule="auto"/>
      </w:pPr>
      <w:r>
        <w:t xml:space="preserve">Below are elemental SEM-EDS maps of Newberry samples (overlayed in </w:t>
      </w:r>
      <w:r>
        <w:rPr>
          <w:color w:val="0070C0"/>
        </w:rPr>
        <w:t>F</w:t>
      </w:r>
      <w:r w:rsidRPr="00891F9C">
        <w:rPr>
          <w:color w:val="0070C0"/>
        </w:rPr>
        <w:t>igure 1</w:t>
      </w:r>
      <w:r>
        <w:rPr>
          <w:color w:val="0070C0"/>
        </w:rPr>
        <w:t>5)</w:t>
      </w:r>
      <w:r w:rsidRPr="00891F9C">
        <w:rPr>
          <w:color w:val="0070C0"/>
        </w:rPr>
        <w:t xml:space="preserve"> </w:t>
      </w:r>
      <w:r>
        <w:t>to allow for observation of the location of various elemental signatures.</w:t>
      </w:r>
    </w:p>
    <w:p w14:paraId="75E3F1E8" w14:textId="77777777" w:rsidR="004A32C4" w:rsidRDefault="004A32C4" w:rsidP="004A32C4">
      <w:pPr>
        <w:pStyle w:val="BodyA"/>
      </w:pPr>
      <w:r w:rsidRPr="00F4745A">
        <w:rPr>
          <w:noProof/>
          <w:lang w:val="en-GB" w:eastAsia="en-GB"/>
        </w:rPr>
        <w:drawing>
          <wp:inline distT="0" distB="0" distL="0" distR="0" wp14:anchorId="2581F4C1" wp14:editId="05976217">
            <wp:extent cx="5827923" cy="6556413"/>
            <wp:effectExtent l="0" t="0" r="1905" b="0"/>
            <wp:docPr id="1034038493" name="Picture 1034038493" descr="A screenshot of a computer screen&#10;&#10;Description automatically generated">
              <a:extLst xmlns:a="http://schemas.openxmlformats.org/drawingml/2006/main">
                <a:ext uri="{FF2B5EF4-FFF2-40B4-BE49-F238E27FC236}">
                  <a16:creationId xmlns:a16="http://schemas.microsoft.com/office/drawing/2014/main" id="{B5C69D70-0AB1-5B03-F5AC-0225CCB9E5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038493" name="Picture 1034038493" descr="A screenshot of a computer screen&#10;&#10;Description automatically generated">
                      <a:extLst>
                        <a:ext uri="{FF2B5EF4-FFF2-40B4-BE49-F238E27FC236}">
                          <a16:creationId xmlns:a16="http://schemas.microsoft.com/office/drawing/2014/main" id="{B5C69D70-0AB1-5B03-F5AC-0225CCB9E5D1}"/>
                        </a:ext>
                      </a:extLst>
                    </pic:cNvPr>
                    <pic:cNvPicPr>
                      <a:picLocks noChangeAspect="1"/>
                    </pic:cNvPicPr>
                  </pic:nvPicPr>
                  <pic:blipFill>
                    <a:blip r:embed="rId6"/>
                    <a:stretch>
                      <a:fillRect/>
                    </a:stretch>
                  </pic:blipFill>
                  <pic:spPr>
                    <a:xfrm>
                      <a:off x="0" y="0"/>
                      <a:ext cx="5832450" cy="6561506"/>
                    </a:xfrm>
                    <a:prstGeom prst="rect">
                      <a:avLst/>
                    </a:prstGeom>
                  </pic:spPr>
                </pic:pic>
              </a:graphicData>
            </a:graphic>
          </wp:inline>
        </w:drawing>
      </w:r>
    </w:p>
    <w:p w14:paraId="44C437DC" w14:textId="77777777" w:rsidR="004A32C4" w:rsidRDefault="004A32C4" w:rsidP="004A32C4">
      <w:pPr>
        <w:pStyle w:val="BodyA"/>
        <w:jc w:val="center"/>
      </w:pPr>
      <w:r>
        <w:t>Figure S3. SEM-EDS elemental maps of sample MJS-1</w:t>
      </w:r>
    </w:p>
    <w:p w14:paraId="369FC006" w14:textId="77777777" w:rsidR="004A32C4" w:rsidRDefault="004A32C4" w:rsidP="004A32C4">
      <w:pPr>
        <w:pStyle w:val="BodyA"/>
        <w:jc w:val="center"/>
      </w:pPr>
    </w:p>
    <w:p w14:paraId="29967C80" w14:textId="77777777" w:rsidR="004A32C4" w:rsidRDefault="004A32C4" w:rsidP="004A32C4">
      <w:pPr>
        <w:pStyle w:val="BodyA"/>
        <w:jc w:val="center"/>
      </w:pPr>
      <w:r w:rsidRPr="00031802">
        <w:rPr>
          <w:noProof/>
          <w:lang w:val="en-GB" w:eastAsia="en-GB"/>
        </w:rPr>
        <w:drawing>
          <wp:inline distT="0" distB="0" distL="0" distR="0" wp14:anchorId="1B9AB4E5" wp14:editId="191A72EF">
            <wp:extent cx="5943600" cy="6686550"/>
            <wp:effectExtent l="0" t="0" r="0" b="0"/>
            <wp:docPr id="291621880" name="Picture 13" descr="A screenshot of a computer screen&#10;&#10;Description automatically generated">
              <a:extLst xmlns:a="http://schemas.openxmlformats.org/drawingml/2006/main">
                <a:ext uri="{FF2B5EF4-FFF2-40B4-BE49-F238E27FC236}">
                  <a16:creationId xmlns:a16="http://schemas.microsoft.com/office/drawing/2014/main" id="{4DDBE09A-2C65-2F09-A820-1CB6A49940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621880" name="Picture 13" descr="A screenshot of a computer screen&#10;&#10;Description automatically generated">
                      <a:extLst>
                        <a:ext uri="{FF2B5EF4-FFF2-40B4-BE49-F238E27FC236}">
                          <a16:creationId xmlns:a16="http://schemas.microsoft.com/office/drawing/2014/main" id="{4DDBE09A-2C65-2F09-A820-1CB6A499405B}"/>
                        </a:ext>
                      </a:extLst>
                    </pic:cNvPr>
                    <pic:cNvPicPr>
                      <a:picLocks noChangeAspect="1"/>
                    </pic:cNvPicPr>
                  </pic:nvPicPr>
                  <pic:blipFill>
                    <a:blip r:embed="rId7"/>
                    <a:stretch>
                      <a:fillRect/>
                    </a:stretch>
                  </pic:blipFill>
                  <pic:spPr>
                    <a:xfrm>
                      <a:off x="0" y="0"/>
                      <a:ext cx="5943600" cy="6686550"/>
                    </a:xfrm>
                    <a:prstGeom prst="rect">
                      <a:avLst/>
                    </a:prstGeom>
                  </pic:spPr>
                </pic:pic>
              </a:graphicData>
            </a:graphic>
          </wp:inline>
        </w:drawing>
      </w:r>
    </w:p>
    <w:p w14:paraId="0D32F792" w14:textId="77777777" w:rsidR="004A32C4" w:rsidRDefault="004A32C4" w:rsidP="004A32C4">
      <w:pPr>
        <w:pStyle w:val="BodyA"/>
        <w:jc w:val="center"/>
      </w:pPr>
      <w:r>
        <w:t>Figure S4. SEM-EDS elemental maps of sample BOF-6</w:t>
      </w:r>
    </w:p>
    <w:p w14:paraId="775050EF" w14:textId="77777777" w:rsidR="004A32C4" w:rsidRDefault="004A32C4" w:rsidP="004A32C4">
      <w:pPr>
        <w:pStyle w:val="BodyA"/>
        <w:jc w:val="center"/>
      </w:pPr>
    </w:p>
    <w:p w14:paraId="5F3DEA2B" w14:textId="77777777" w:rsidR="004A32C4" w:rsidRDefault="004A32C4" w:rsidP="004A32C4">
      <w:pPr>
        <w:pStyle w:val="BodyA"/>
        <w:jc w:val="center"/>
      </w:pPr>
      <w:r>
        <w:rPr>
          <w:noProof/>
          <w:lang w:val="en-GB" w:eastAsia="en-GB"/>
        </w:rPr>
        <w:lastRenderedPageBreak/>
        <w:drawing>
          <wp:inline distT="0" distB="0" distL="0" distR="0" wp14:anchorId="26B80814" wp14:editId="7D1AA527">
            <wp:extent cx="5944235" cy="6005195"/>
            <wp:effectExtent l="0" t="0" r="0" b="0"/>
            <wp:docPr id="1787200047" name="Picture 1787200047" descr="A collage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200047" name="Picture 1787200047" descr="A collage of different colored square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4235" cy="6005195"/>
                    </a:xfrm>
                    <a:prstGeom prst="rect">
                      <a:avLst/>
                    </a:prstGeom>
                    <a:noFill/>
                  </pic:spPr>
                </pic:pic>
              </a:graphicData>
            </a:graphic>
          </wp:inline>
        </w:drawing>
      </w:r>
    </w:p>
    <w:p w14:paraId="654D4B83" w14:textId="77777777" w:rsidR="004A32C4" w:rsidRDefault="004A32C4" w:rsidP="004A32C4">
      <w:pPr>
        <w:pStyle w:val="BodyA"/>
        <w:jc w:val="center"/>
      </w:pPr>
      <w:r>
        <w:t>Figure S5. SEM-EDS elemental maps of sample BOF-9</w:t>
      </w:r>
    </w:p>
    <w:p w14:paraId="6156BCE6" w14:textId="77777777" w:rsidR="004A32C4" w:rsidRDefault="004A32C4" w:rsidP="004A32C4">
      <w:pPr>
        <w:pStyle w:val="BodyA"/>
        <w:rPr>
          <w:lang w:val="en-GB"/>
        </w:rPr>
      </w:pPr>
    </w:p>
    <w:p w14:paraId="4CB5918D" w14:textId="77777777" w:rsidR="00F553FF" w:rsidRDefault="00F553FF"/>
    <w:sectPr w:rsidR="00F553FF" w:rsidSect="004A32C4">
      <w:pgSz w:w="12240" w:h="15840"/>
      <w:pgMar w:top="1440" w:right="1440" w:bottom="1440" w:left="1440" w:header="720" w:footer="720" w:gutter="0"/>
      <w:lnNumType w:countBy="1" w:restart="continuous"/>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2C4"/>
    <w:rsid w:val="003C2EF4"/>
    <w:rsid w:val="00404FE6"/>
    <w:rsid w:val="004A32C4"/>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83F04"/>
  <w15:chartTrackingRefBased/>
  <w15:docId w15:val="{76D9E52A-E22F-4064-BED4-D944E8208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C4"/>
    <w:pPr>
      <w:pBdr>
        <w:top w:val="nil"/>
        <w:left w:val="nil"/>
        <w:bottom w:val="nil"/>
        <w:right w:val="nil"/>
        <w:between w:val="nil"/>
        <w:bar w:val="nil"/>
      </w:pBdr>
      <w:spacing w:after="0" w:line="240" w:lineRule="auto"/>
    </w:pPr>
    <w:rPr>
      <w:rFonts w:ascii="Times New Roman" w:eastAsia="Arial Unicode MS" w:hAnsi="Times New Roman" w:cs="Times New Roman"/>
      <w:kern w:val="0"/>
      <w:sz w:val="24"/>
      <w:szCs w:val="24"/>
      <w:bdr w:val="nil"/>
      <w14:ligatures w14:val="none"/>
    </w:rPr>
  </w:style>
  <w:style w:type="paragraph" w:styleId="Heading1">
    <w:name w:val="heading 1"/>
    <w:basedOn w:val="Normal"/>
    <w:next w:val="Normal"/>
    <w:link w:val="Heading1Char"/>
    <w:uiPriority w:val="9"/>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59" w:lineRule="auto"/>
      <w:outlineLvl w:val="0"/>
    </w:pPr>
    <w:rPr>
      <w:rFonts w:asciiTheme="majorHAnsi" w:eastAsiaTheme="majorEastAsia" w:hAnsiTheme="majorHAnsi" w:cstheme="majorBidi"/>
      <w:color w:val="0F4761" w:themeColor="accent1" w:themeShade="BF"/>
      <w:kern w:val="2"/>
      <w:sz w:val="40"/>
      <w:szCs w:val="40"/>
      <w:bdr w:val="none" w:sz="0" w:space="0" w:color="auto"/>
      <w14:ligatures w14:val="standardContextual"/>
    </w:rPr>
  </w:style>
  <w:style w:type="paragraph" w:styleId="Heading2">
    <w:name w:val="heading 2"/>
    <w:basedOn w:val="Normal"/>
    <w:next w:val="Normal"/>
    <w:link w:val="Heading2Char"/>
    <w:uiPriority w:val="9"/>
    <w:unhideWhenUsed/>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outlineLvl w:val="1"/>
    </w:pPr>
    <w:rPr>
      <w:rFonts w:asciiTheme="majorHAnsi" w:eastAsiaTheme="majorEastAsia" w:hAnsiTheme="majorHAnsi" w:cstheme="majorBidi"/>
      <w:color w:val="0F4761" w:themeColor="accent1" w:themeShade="BF"/>
      <w:kern w:val="2"/>
      <w:sz w:val="32"/>
      <w:szCs w:val="32"/>
      <w:bdr w:val="none" w:sz="0" w:space="0" w:color="auto"/>
      <w14:ligatures w14:val="standardContextual"/>
    </w:rPr>
  </w:style>
  <w:style w:type="paragraph" w:styleId="Heading3">
    <w:name w:val="heading 3"/>
    <w:basedOn w:val="Normal"/>
    <w:next w:val="Normal"/>
    <w:link w:val="Heading3Char"/>
    <w:uiPriority w:val="9"/>
    <w:semiHidden/>
    <w:unhideWhenUsed/>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outlineLvl w:val="2"/>
    </w:pPr>
    <w:rPr>
      <w:rFonts w:asciiTheme="minorHAnsi" w:eastAsiaTheme="majorEastAsia" w:hAnsiTheme="minorHAnsi" w:cstheme="majorBidi"/>
      <w:color w:val="0F4761" w:themeColor="accent1" w:themeShade="BF"/>
      <w:kern w:val="2"/>
      <w:sz w:val="28"/>
      <w:szCs w:val="28"/>
      <w:bdr w:val="none" w:sz="0" w:space="0" w:color="auto"/>
      <w14:ligatures w14:val="standardContextual"/>
    </w:rPr>
  </w:style>
  <w:style w:type="paragraph" w:styleId="Heading4">
    <w:name w:val="heading 4"/>
    <w:basedOn w:val="Normal"/>
    <w:next w:val="Normal"/>
    <w:link w:val="Heading4Char"/>
    <w:uiPriority w:val="9"/>
    <w:semiHidden/>
    <w:unhideWhenUsed/>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3"/>
    </w:pPr>
    <w:rPr>
      <w:rFonts w:asciiTheme="minorHAnsi" w:eastAsiaTheme="majorEastAsia" w:hAnsiTheme="minorHAnsi" w:cstheme="majorBidi"/>
      <w:i/>
      <w:iCs/>
      <w:color w:val="0F4761" w:themeColor="accent1" w:themeShade="BF"/>
      <w:kern w:val="2"/>
      <w:sz w:val="22"/>
      <w:szCs w:val="22"/>
      <w:bdr w:val="none" w:sz="0" w:space="0" w:color="auto"/>
      <w14:ligatures w14:val="standardContextual"/>
    </w:rPr>
  </w:style>
  <w:style w:type="paragraph" w:styleId="Heading5">
    <w:name w:val="heading 5"/>
    <w:basedOn w:val="Normal"/>
    <w:next w:val="Normal"/>
    <w:link w:val="Heading5Char"/>
    <w:uiPriority w:val="9"/>
    <w:semiHidden/>
    <w:unhideWhenUsed/>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4"/>
    </w:pPr>
    <w:rPr>
      <w:rFonts w:asciiTheme="minorHAnsi" w:eastAsiaTheme="majorEastAsia" w:hAnsiTheme="minorHAnsi" w:cstheme="majorBidi"/>
      <w:color w:val="0F4761" w:themeColor="accent1" w:themeShade="BF"/>
      <w:kern w:val="2"/>
      <w:sz w:val="22"/>
      <w:szCs w:val="22"/>
      <w:bdr w:val="none" w:sz="0" w:space="0" w:color="auto"/>
      <w14:ligatures w14:val="standardContextual"/>
    </w:rPr>
  </w:style>
  <w:style w:type="paragraph" w:styleId="Heading6">
    <w:name w:val="heading 6"/>
    <w:basedOn w:val="Normal"/>
    <w:next w:val="Normal"/>
    <w:link w:val="Heading6Char"/>
    <w:uiPriority w:val="9"/>
    <w:semiHidden/>
    <w:unhideWhenUsed/>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5"/>
    </w:pPr>
    <w:rPr>
      <w:rFonts w:asciiTheme="minorHAnsi" w:eastAsiaTheme="majorEastAsia" w:hAnsiTheme="minorHAnsi" w:cstheme="majorBidi"/>
      <w:i/>
      <w:iCs/>
      <w:color w:val="595959" w:themeColor="text1" w:themeTint="A6"/>
      <w:kern w:val="2"/>
      <w:sz w:val="22"/>
      <w:szCs w:val="22"/>
      <w:bdr w:val="none" w:sz="0" w:space="0" w:color="auto"/>
      <w14:ligatures w14:val="standardContextual"/>
    </w:rPr>
  </w:style>
  <w:style w:type="paragraph" w:styleId="Heading7">
    <w:name w:val="heading 7"/>
    <w:basedOn w:val="Normal"/>
    <w:next w:val="Normal"/>
    <w:link w:val="Heading7Char"/>
    <w:uiPriority w:val="9"/>
    <w:semiHidden/>
    <w:unhideWhenUsed/>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6"/>
    </w:pPr>
    <w:rPr>
      <w:rFonts w:asciiTheme="minorHAnsi" w:eastAsiaTheme="majorEastAsia" w:hAnsiTheme="minorHAnsi" w:cstheme="majorBidi"/>
      <w:color w:val="595959" w:themeColor="text1" w:themeTint="A6"/>
      <w:kern w:val="2"/>
      <w:sz w:val="22"/>
      <w:szCs w:val="22"/>
      <w:bdr w:val="none" w:sz="0" w:space="0" w:color="auto"/>
      <w14:ligatures w14:val="standardContextual"/>
    </w:rPr>
  </w:style>
  <w:style w:type="paragraph" w:styleId="Heading8">
    <w:name w:val="heading 8"/>
    <w:basedOn w:val="Normal"/>
    <w:next w:val="Normal"/>
    <w:link w:val="Heading8Char"/>
    <w:uiPriority w:val="9"/>
    <w:semiHidden/>
    <w:unhideWhenUsed/>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7"/>
    </w:pPr>
    <w:rPr>
      <w:rFonts w:asciiTheme="minorHAnsi" w:eastAsiaTheme="majorEastAsia" w:hAnsiTheme="minorHAnsi" w:cstheme="majorBidi"/>
      <w:i/>
      <w:iCs/>
      <w:color w:val="272727" w:themeColor="text1" w:themeTint="D8"/>
      <w:kern w:val="2"/>
      <w:sz w:val="22"/>
      <w:szCs w:val="22"/>
      <w:bdr w:val="none" w:sz="0" w:space="0" w:color="auto"/>
      <w14:ligatures w14:val="standardContextual"/>
    </w:rPr>
  </w:style>
  <w:style w:type="paragraph" w:styleId="Heading9">
    <w:name w:val="heading 9"/>
    <w:basedOn w:val="Normal"/>
    <w:next w:val="Normal"/>
    <w:link w:val="Heading9Char"/>
    <w:uiPriority w:val="9"/>
    <w:semiHidden/>
    <w:unhideWhenUsed/>
    <w:qFormat/>
    <w:rsid w:val="004A32C4"/>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8"/>
    </w:pPr>
    <w:rPr>
      <w:rFonts w:asciiTheme="minorHAnsi" w:eastAsiaTheme="majorEastAsia" w:hAnsiTheme="minorHAnsi" w:cstheme="majorBidi"/>
      <w:color w:val="272727" w:themeColor="text1" w:themeTint="D8"/>
      <w:kern w:val="2"/>
      <w:sz w:val="22"/>
      <w:szCs w:val="22"/>
      <w:bdr w:val="none" w:sz="0" w:space="0" w:color="auto"/>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2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A32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32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32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32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32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32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32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32C4"/>
    <w:rPr>
      <w:rFonts w:eastAsiaTheme="majorEastAsia" w:cstheme="majorBidi"/>
      <w:color w:val="272727" w:themeColor="text1" w:themeTint="D8"/>
    </w:rPr>
  </w:style>
  <w:style w:type="paragraph" w:styleId="Title">
    <w:name w:val="Title"/>
    <w:basedOn w:val="Normal"/>
    <w:next w:val="Normal"/>
    <w:link w:val="TitleChar"/>
    <w:uiPriority w:val="10"/>
    <w:qFormat/>
    <w:rsid w:val="004A32C4"/>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14:ligatures w14:val="standardContextual"/>
    </w:rPr>
  </w:style>
  <w:style w:type="character" w:customStyle="1" w:styleId="TitleChar">
    <w:name w:val="Title Char"/>
    <w:basedOn w:val="DefaultParagraphFont"/>
    <w:link w:val="Title"/>
    <w:uiPriority w:val="10"/>
    <w:rsid w:val="004A32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32C4"/>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pPr>
    <w:rPr>
      <w:rFonts w:asciiTheme="minorHAnsi" w:eastAsiaTheme="majorEastAsia" w:hAnsiTheme="minorHAnsi" w:cstheme="majorBidi"/>
      <w:color w:val="595959" w:themeColor="text1" w:themeTint="A6"/>
      <w:spacing w:val="15"/>
      <w:kern w:val="2"/>
      <w:sz w:val="28"/>
      <w:szCs w:val="28"/>
      <w:bdr w:val="none" w:sz="0" w:space="0" w:color="auto"/>
      <w14:ligatures w14:val="standardContextual"/>
    </w:rPr>
  </w:style>
  <w:style w:type="character" w:customStyle="1" w:styleId="SubtitleChar">
    <w:name w:val="Subtitle Char"/>
    <w:basedOn w:val="DefaultParagraphFont"/>
    <w:link w:val="Subtitle"/>
    <w:uiPriority w:val="11"/>
    <w:rsid w:val="004A32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32C4"/>
    <w:pPr>
      <w:pBdr>
        <w:top w:val="none" w:sz="0" w:space="0" w:color="auto"/>
        <w:left w:val="none" w:sz="0" w:space="0" w:color="auto"/>
        <w:bottom w:val="none" w:sz="0" w:space="0" w:color="auto"/>
        <w:right w:val="none" w:sz="0" w:space="0" w:color="auto"/>
        <w:between w:val="none" w:sz="0" w:space="0" w:color="auto"/>
        <w:bar w:val="none" w:sz="0" w:color="auto"/>
      </w:pBdr>
      <w:spacing w:before="160" w:after="160" w:line="259" w:lineRule="auto"/>
      <w:jc w:val="center"/>
    </w:pPr>
    <w:rPr>
      <w:rFonts w:asciiTheme="minorHAnsi" w:eastAsiaTheme="minorHAnsi" w:hAnsiTheme="minorHAnsi" w:cstheme="minorBidi"/>
      <w:i/>
      <w:iCs/>
      <w:color w:val="404040" w:themeColor="text1" w:themeTint="BF"/>
      <w:kern w:val="2"/>
      <w:sz w:val="22"/>
      <w:szCs w:val="22"/>
      <w:bdr w:val="none" w:sz="0" w:space="0" w:color="auto"/>
      <w14:ligatures w14:val="standardContextual"/>
    </w:rPr>
  </w:style>
  <w:style w:type="character" w:customStyle="1" w:styleId="QuoteChar">
    <w:name w:val="Quote Char"/>
    <w:basedOn w:val="DefaultParagraphFont"/>
    <w:link w:val="Quote"/>
    <w:uiPriority w:val="29"/>
    <w:rsid w:val="004A32C4"/>
    <w:rPr>
      <w:i/>
      <w:iCs/>
      <w:color w:val="404040" w:themeColor="text1" w:themeTint="BF"/>
    </w:rPr>
  </w:style>
  <w:style w:type="paragraph" w:styleId="ListParagraph">
    <w:name w:val="List Paragraph"/>
    <w:basedOn w:val="Normal"/>
    <w:uiPriority w:val="34"/>
    <w:qFormat/>
    <w:rsid w:val="004A32C4"/>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kern w:val="2"/>
      <w:sz w:val="22"/>
      <w:szCs w:val="22"/>
      <w:bdr w:val="none" w:sz="0" w:space="0" w:color="auto"/>
      <w14:ligatures w14:val="standardContextual"/>
    </w:rPr>
  </w:style>
  <w:style w:type="character" w:styleId="IntenseEmphasis">
    <w:name w:val="Intense Emphasis"/>
    <w:basedOn w:val="DefaultParagraphFont"/>
    <w:uiPriority w:val="21"/>
    <w:qFormat/>
    <w:rsid w:val="004A32C4"/>
    <w:rPr>
      <w:i/>
      <w:iCs/>
      <w:color w:val="0F4761" w:themeColor="accent1" w:themeShade="BF"/>
    </w:rPr>
  </w:style>
  <w:style w:type="paragraph" w:styleId="IntenseQuote">
    <w:name w:val="Intense Quote"/>
    <w:basedOn w:val="Normal"/>
    <w:next w:val="Normal"/>
    <w:link w:val="IntenseQuoteChar"/>
    <w:uiPriority w:val="30"/>
    <w:qFormat/>
    <w:rsid w:val="004A32C4"/>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bdr w:val="none" w:sz="0" w:space="0" w:color="auto"/>
      <w14:ligatures w14:val="standardContextual"/>
    </w:rPr>
  </w:style>
  <w:style w:type="character" w:customStyle="1" w:styleId="IntenseQuoteChar">
    <w:name w:val="Intense Quote Char"/>
    <w:basedOn w:val="DefaultParagraphFont"/>
    <w:link w:val="IntenseQuote"/>
    <w:uiPriority w:val="30"/>
    <w:rsid w:val="004A32C4"/>
    <w:rPr>
      <w:i/>
      <w:iCs/>
      <w:color w:val="0F4761" w:themeColor="accent1" w:themeShade="BF"/>
    </w:rPr>
  </w:style>
  <w:style w:type="character" w:styleId="IntenseReference">
    <w:name w:val="Intense Reference"/>
    <w:basedOn w:val="DefaultParagraphFont"/>
    <w:uiPriority w:val="32"/>
    <w:qFormat/>
    <w:rsid w:val="004A32C4"/>
    <w:rPr>
      <w:b/>
      <w:bCs/>
      <w:smallCaps/>
      <w:color w:val="0F4761" w:themeColor="accent1" w:themeShade="BF"/>
      <w:spacing w:val="5"/>
    </w:rPr>
  </w:style>
  <w:style w:type="paragraph" w:customStyle="1" w:styleId="BodyA">
    <w:name w:val="Body A"/>
    <w:link w:val="BodyAChar"/>
    <w:rsid w:val="004A32C4"/>
    <w:pPr>
      <w:pBdr>
        <w:top w:val="nil"/>
        <w:left w:val="nil"/>
        <w:bottom w:val="nil"/>
        <w:right w:val="nil"/>
        <w:between w:val="nil"/>
        <w:bar w:val="nil"/>
      </w:pBdr>
    </w:pPr>
    <w:rPr>
      <w:rFonts w:ascii="Times New Roman" w:eastAsia="Arial Unicode MS" w:hAnsi="Times New Roman" w:cs="Arial Unicode MS"/>
      <w:color w:val="000000"/>
      <w:kern w:val="0"/>
      <w:sz w:val="24"/>
      <w:szCs w:val="24"/>
      <w:u w:color="000000"/>
      <w:bdr w:val="nil"/>
      <w14:textOutline w14:w="12700" w14:cap="flat" w14:cmpd="sng" w14:algn="ctr">
        <w14:noFill/>
        <w14:prstDash w14:val="solid"/>
        <w14:miter w14:lim="400000"/>
      </w14:textOutline>
      <w14:ligatures w14:val="none"/>
    </w:rPr>
  </w:style>
  <w:style w:type="character" w:customStyle="1" w:styleId="None">
    <w:name w:val="None"/>
    <w:rsid w:val="004A32C4"/>
  </w:style>
  <w:style w:type="character" w:styleId="CommentReference">
    <w:name w:val="annotation reference"/>
    <w:basedOn w:val="DefaultParagraphFont"/>
    <w:uiPriority w:val="99"/>
    <w:semiHidden/>
    <w:unhideWhenUsed/>
    <w:rsid w:val="004A32C4"/>
    <w:rPr>
      <w:sz w:val="16"/>
      <w:szCs w:val="16"/>
    </w:rPr>
  </w:style>
  <w:style w:type="character" w:customStyle="1" w:styleId="BodyAChar">
    <w:name w:val="Body A Char"/>
    <w:basedOn w:val="DefaultParagraphFont"/>
    <w:link w:val="BodyA"/>
    <w:rsid w:val="004A32C4"/>
    <w:rPr>
      <w:rFonts w:ascii="Times New Roman" w:eastAsia="Arial Unicode MS" w:hAnsi="Times New Roman" w:cs="Arial Unicode MS"/>
      <w:color w:val="000000"/>
      <w:kern w:val="0"/>
      <w:sz w:val="24"/>
      <w:szCs w:val="24"/>
      <w:u w:color="000000"/>
      <w:bdr w:val="nil"/>
      <w14:textOutline w14:w="12700" w14:cap="flat" w14:cmpd="sng" w14:algn="ctr">
        <w14:noFill/>
        <w14:prstDash w14:val="solid"/>
        <w14:miter w14:lim="400000"/>
      </w14:textOutline>
      <w14:ligatures w14:val="none"/>
    </w:rPr>
  </w:style>
  <w:style w:type="character" w:styleId="LineNumber">
    <w:name w:val="line number"/>
    <w:basedOn w:val="DefaultParagraphFont"/>
    <w:uiPriority w:val="99"/>
    <w:semiHidden/>
    <w:unhideWhenUsed/>
    <w:rsid w:val="004A32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2651</Words>
  <Characters>15117</Characters>
  <Application>Microsoft Office Word</Application>
  <DocSecurity>0</DocSecurity>
  <Lines>125</Lines>
  <Paragraphs>35</Paragraphs>
  <ScaleCrop>false</ScaleCrop>
  <Company>Springer Nature</Company>
  <LinksUpToDate>false</LinksUpToDate>
  <CharactersWithSpaces>17733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2025-01-08T11:41:00Z</dcterms:created>
  <dcterms:modified xsi:type="dcterms:W3CDTF">2025-01-08T11:42:00Z</dcterms:modified>
</cp:coreProperties>
</file>