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AD6FB9" w14:textId="77777777" w:rsidR="00A92AC8" w:rsidRPr="005A0701" w:rsidRDefault="00A92AC8" w:rsidP="00A92AC8">
      <w:pPr>
        <w:rPr>
          <w:b/>
        </w:rPr>
      </w:pPr>
      <w:r>
        <w:rPr>
          <w:b/>
        </w:rPr>
        <w:t>Supplementary Information 1</w:t>
      </w:r>
    </w:p>
    <w:p w14:paraId="12A3DB56" w14:textId="77777777" w:rsidR="00A92AC8" w:rsidRDefault="00A92AC8" w:rsidP="00A92AC8">
      <w:r w:rsidRPr="00DF3319">
        <w:rPr>
          <w:b/>
        </w:rPr>
        <w:t>Country-level models</w:t>
      </w:r>
      <w:r>
        <w:rPr>
          <w:b/>
        </w:rPr>
        <w:t>, covariate inference</w:t>
      </w:r>
    </w:p>
    <w:p w14:paraId="33221E87" w14:textId="77777777" w:rsidR="00A92AC8" w:rsidRPr="00E04B4F" w:rsidRDefault="00A92AC8" w:rsidP="00A92AC8">
      <w:r>
        <w:t xml:space="preserve">Model terms used in the spatiotemporal Bayesian models were found using a combination of OLS stepwise algorithms to determine an optimal set of covariates.  </w:t>
      </w:r>
      <w:r w:rsidRPr="00F536B8">
        <w:t xml:space="preserve">Quality fitting metrics for OLS are not listed here but are in the </w:t>
      </w:r>
      <w:r>
        <w:t>Supplementary Information 2</w:t>
      </w:r>
      <w:r w:rsidRPr="00F536B8">
        <w:t>.</w:t>
      </w:r>
      <w:r>
        <w:t xml:space="preserve">  Parameter and hyperparameter estimates, associated distribution statistics, and model fitting statistics for outflow and inflow models for Kenya are shown in Table S1 and Table S2, respectively. </w:t>
      </w:r>
    </w:p>
    <w:p w14:paraId="3EF9E1EE" w14:textId="77777777" w:rsidR="00A92AC8" w:rsidRDefault="00A92AC8" w:rsidP="00A92AC8">
      <w:r w:rsidRPr="007C34FD">
        <w:rPr>
          <w:noProof/>
        </w:rPr>
        <w:drawing>
          <wp:inline distT="0" distB="0" distL="0" distR="0" wp14:anchorId="2D2B75D9" wp14:editId="7754DFD1">
            <wp:extent cx="5591060" cy="5909250"/>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5603131" cy="5922008"/>
                    </a:xfrm>
                    <a:prstGeom prst="rect">
                      <a:avLst/>
                    </a:prstGeom>
                  </pic:spPr>
                </pic:pic>
              </a:graphicData>
            </a:graphic>
          </wp:inline>
        </w:drawing>
      </w:r>
    </w:p>
    <w:p w14:paraId="135D4CD8" w14:textId="77777777" w:rsidR="00A92AC8" w:rsidRDefault="00A92AC8" w:rsidP="00A92AC8">
      <w:r w:rsidRPr="000875A8">
        <w:rPr>
          <w:b/>
        </w:rPr>
        <w:t xml:space="preserve">Table </w:t>
      </w:r>
      <w:r>
        <w:rPr>
          <w:b/>
        </w:rPr>
        <w:t>S1</w:t>
      </w:r>
      <w:r>
        <w:t xml:space="preserve">. Best fit parameter and hyperparameter estimates shown for the Kenya outflow (FR) model.  Base-10 logarithmic transformations to covariates are denoted by an asterisk in the Statistic column.  Statistics column denotes zonal statistics used to create covariate values for administrative units.  Mean, </w:t>
      </w:r>
      <w:r>
        <w:lastRenderedPageBreak/>
        <w:t>standard deviation (SD), and upper and lower 95% credible interval values are shown. Hyperparameter estimates with upper and lower 95% CI bounds and performance metrics are given.</w:t>
      </w:r>
    </w:p>
    <w:p w14:paraId="7D59A4BA" w14:textId="77777777" w:rsidR="00A92AC8" w:rsidRDefault="00A92AC8" w:rsidP="00A92AC8"/>
    <w:p w14:paraId="73115E7D" w14:textId="77777777" w:rsidR="00A92AC8" w:rsidRDefault="00A92AC8" w:rsidP="00A92AC8">
      <w:r w:rsidRPr="00E71747">
        <w:rPr>
          <w:noProof/>
        </w:rPr>
        <w:drawing>
          <wp:inline distT="0" distB="0" distL="0" distR="0" wp14:anchorId="0E1B5AE7" wp14:editId="4A7AFAB4">
            <wp:extent cx="5282588" cy="4508986"/>
            <wp:effectExtent l="0" t="0" r="635" b="0"/>
            <wp:docPr id="1788627040" name="Picture 1788627040" descr="A table with numbers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8627040" name="Picture 1788627040" descr="A table with numbers and text&#10;&#10;Description automatically generated"/>
                    <pic:cNvPicPr/>
                  </pic:nvPicPr>
                  <pic:blipFill>
                    <a:blip r:embed="rId5"/>
                    <a:stretch>
                      <a:fillRect/>
                    </a:stretch>
                  </pic:blipFill>
                  <pic:spPr>
                    <a:xfrm>
                      <a:off x="0" y="0"/>
                      <a:ext cx="5308376" cy="4530997"/>
                    </a:xfrm>
                    <a:prstGeom prst="rect">
                      <a:avLst/>
                    </a:prstGeom>
                  </pic:spPr>
                </pic:pic>
              </a:graphicData>
            </a:graphic>
          </wp:inline>
        </w:drawing>
      </w:r>
    </w:p>
    <w:p w14:paraId="7C62E967" w14:textId="77777777" w:rsidR="00A92AC8" w:rsidRDefault="00A92AC8" w:rsidP="00A92AC8">
      <w:r w:rsidRPr="000875A8">
        <w:rPr>
          <w:b/>
        </w:rPr>
        <w:t xml:space="preserve">Table </w:t>
      </w:r>
      <w:r>
        <w:rPr>
          <w:b/>
        </w:rPr>
        <w:t>S2</w:t>
      </w:r>
      <w:r>
        <w:t>. Best fit parameter and hyperparameter estimates shown for the Kenya inflow (TO) model.  Base-10 logarithmic transformations to covariates are denoted by an asterisk in the Statistic column.  Statistics column denotes zonal statistics used to create covariate values for administrative units.  Mean, standard deviation (SD), and upper and lower 95% credible interval values are also shown.  Hyperparameter estimates with upper and lower 95% CI bounds and performance metrics are given.</w:t>
      </w:r>
    </w:p>
    <w:p w14:paraId="79A10854" w14:textId="77777777" w:rsidR="00A92AC8" w:rsidRDefault="00A92AC8" w:rsidP="00A92AC8"/>
    <w:p w14:paraId="31C97EB8" w14:textId="77777777" w:rsidR="00A92AC8" w:rsidRDefault="00A92AC8" w:rsidP="00A92AC8">
      <w:r>
        <w:t xml:space="preserve">All two-way interaction terms shown in Tables S1, S2 are significant to the model at a 5% level as indicated by zero exclusion in the 95% credible intervals.  Observe there are no common two-way interaction terms shared between the two Kenya models. This tells us that mobility flow direction is an important aspect to consider in Kenya when analysing a relative change in mobility as their correlations with environmental and socioeconomic conditions differ considerably.  Indeed, the only two common </w:t>
      </w:r>
      <w:r w:rsidRPr="00223233">
        <w:rPr>
          <w:i/>
        </w:rPr>
        <w:t>simple</w:t>
      </w:r>
      <w:r>
        <w:t xml:space="preserve"> main effect terms (i.e. those not used in two-way interactions) were number of days for school holidays and maximum mean gross domestic product per capita.  For each number of days per month taken as school holidays, there is a ~0.3% increase in the relative mobility change for any given month </w:t>
      </w:r>
      <w:r>
        <w:lastRenderedPageBreak/>
        <w:t xml:space="preserve">relative to the January mobility baseline for both inflow and outflow human movement in Kenya.  For each percent increase in maximum mean gross domestic product per capita, there is 0.047% increase in relative mobility change for the inflow for Kenya, and a 0.097% increase in relative mobility change for the outflow for Kenya, which is double that of inflow. </w:t>
      </w:r>
    </w:p>
    <w:p w14:paraId="1A0F2A98" w14:textId="77777777" w:rsidR="00A92AC8" w:rsidRDefault="00A92AC8" w:rsidP="00A92AC8">
      <w:r>
        <w:t>(</w:t>
      </w:r>
      <w:r w:rsidRPr="006C2825">
        <w:rPr>
          <w:u w:val="single"/>
        </w:rPr>
        <w:t>Note</w:t>
      </w:r>
      <w:r>
        <w:t xml:space="preserve">: For log-log regression models, </w:t>
      </w:r>
      <m:oMath>
        <m:func>
          <m:funcPr>
            <m:ctrlPr>
              <w:rPr>
                <w:rFonts w:ascii="Cambria Math" w:hAnsi="Cambria Math"/>
                <w:i/>
              </w:rPr>
            </m:ctrlPr>
          </m:funcPr>
          <m:fName>
            <m:r>
              <m:rPr>
                <m:sty m:val="p"/>
              </m:rPr>
              <w:rPr>
                <w:rFonts w:ascii="Cambria Math" w:hAnsi="Cambria Math"/>
              </w:rPr>
              <m:t>log</m:t>
            </m:r>
          </m:fName>
          <m:e>
            <m:r>
              <w:rPr>
                <w:rFonts w:ascii="Cambria Math" w:hAnsi="Cambria Math"/>
              </w:rPr>
              <m:t>Y</m:t>
            </m:r>
          </m:e>
        </m:func>
        <m:r>
          <w:rPr>
            <w:rFonts w:ascii="Cambria Math" w:hAnsi="Cambria Math"/>
          </w:rPr>
          <m:t>=a+b</m:t>
        </m:r>
        <m:func>
          <m:funcPr>
            <m:ctrlPr>
              <w:rPr>
                <w:rFonts w:ascii="Cambria Math" w:hAnsi="Cambria Math"/>
                <w:i/>
              </w:rPr>
            </m:ctrlPr>
          </m:funcPr>
          <m:fName>
            <m:r>
              <m:rPr>
                <m:sty m:val="p"/>
              </m:rPr>
              <w:rPr>
                <w:rFonts w:ascii="Cambria Math" w:hAnsi="Cambria Math"/>
              </w:rPr>
              <m:t>log</m:t>
            </m:r>
          </m:fName>
          <m:e>
            <m:r>
              <w:rPr>
                <w:rFonts w:ascii="Cambria Math" w:hAnsi="Cambria Math"/>
              </w:rPr>
              <m:t>X</m:t>
            </m:r>
          </m:e>
        </m:func>
        <m:r>
          <w:rPr>
            <w:rFonts w:ascii="Cambria Math" w:hAnsi="Cambria Math"/>
          </w:rPr>
          <m:t>+e</m:t>
        </m:r>
      </m:oMath>
      <w:r>
        <w:t xml:space="preserve">, we infer that for every 1% increase in </w:t>
      </w:r>
      <m:oMath>
        <m:r>
          <w:rPr>
            <w:rFonts w:ascii="Cambria Math" w:hAnsi="Cambria Math"/>
          </w:rPr>
          <m:t>X</m:t>
        </m:r>
      </m:oMath>
      <w:r>
        <w:t xml:space="preserve"> there is a </w:t>
      </w:r>
      <m:oMath>
        <m:r>
          <w:rPr>
            <w:rFonts w:ascii="Cambria Math" w:hAnsi="Cambria Math"/>
          </w:rPr>
          <m:t>b%</m:t>
        </m:r>
      </m:oMath>
      <w:r>
        <w:t xml:space="preserve"> increase in </w:t>
      </w:r>
      <m:oMath>
        <m:r>
          <w:rPr>
            <w:rFonts w:ascii="Cambria Math" w:hAnsi="Cambria Math"/>
          </w:rPr>
          <m:t>Y</m:t>
        </m:r>
      </m:oMath>
      <w:r>
        <w:t xml:space="preserve">, and for log-level regression models, </w:t>
      </w:r>
      <m:oMath>
        <m:func>
          <m:funcPr>
            <m:ctrlPr>
              <w:rPr>
                <w:rFonts w:ascii="Cambria Math" w:hAnsi="Cambria Math"/>
                <w:i/>
              </w:rPr>
            </m:ctrlPr>
          </m:funcPr>
          <m:fName>
            <m:r>
              <m:rPr>
                <m:sty m:val="p"/>
              </m:rPr>
              <w:rPr>
                <w:rFonts w:ascii="Cambria Math" w:hAnsi="Cambria Math"/>
              </w:rPr>
              <m:t>log</m:t>
            </m:r>
          </m:fName>
          <m:e>
            <m:r>
              <w:rPr>
                <w:rFonts w:ascii="Cambria Math" w:hAnsi="Cambria Math"/>
              </w:rPr>
              <m:t>Y</m:t>
            </m:r>
          </m:e>
        </m:func>
        <m:r>
          <w:rPr>
            <w:rFonts w:ascii="Cambria Math" w:hAnsi="Cambria Math"/>
          </w:rPr>
          <m:t>=a+bX+e</m:t>
        </m:r>
      </m:oMath>
      <w:r>
        <w:t xml:space="preserve">, for every unit increase in </w:t>
      </w:r>
      <m:oMath>
        <m:r>
          <w:rPr>
            <w:rFonts w:ascii="Cambria Math" w:hAnsi="Cambria Math"/>
          </w:rPr>
          <m:t>X</m:t>
        </m:r>
      </m:oMath>
      <w:r>
        <w:t xml:space="preserve"> there is a </w:t>
      </w:r>
      <m:oMath>
        <m:r>
          <w:rPr>
            <w:rFonts w:ascii="Cambria Math" w:hAnsi="Cambria Math"/>
          </w:rPr>
          <m:t>100×b%</m:t>
        </m:r>
      </m:oMath>
      <w:r>
        <w:t xml:space="preserve"> increase in </w:t>
      </w:r>
      <m:oMath>
        <m:r>
          <w:rPr>
            <w:rFonts w:ascii="Cambria Math" w:hAnsi="Cambria Math"/>
          </w:rPr>
          <m:t>Y</m:t>
        </m:r>
      </m:oMath>
      <w:r>
        <w:t>.)</w:t>
      </w:r>
    </w:p>
    <w:p w14:paraId="52E1C336" w14:textId="77777777" w:rsidR="00A92AC8" w:rsidRDefault="00A92AC8" w:rsidP="00A92AC8">
      <w:r>
        <w:t>Both main effect terms for any significant two-way interaction are always included in the model regardless of their individual significance.   Interaction effects must be inferred as a set consisting of the two-way interaction term and its corresponding pair of main effects, where the slope estimate for one covariate varies with values of the other covariate in the interaction.  Table S3 lists the common two-way interaction terms across 25 African countries.  For the Kenya outflow (FR) model, the common interaction term consists of mean gross domestic product per capita (mean GDPC) and summed urban extent (sum URBN) as model coefficients with the two-way interaction set</w:t>
      </w:r>
    </w:p>
    <w:p w14:paraId="3A0ADF16" w14:textId="77777777" w:rsidR="00A92AC8" w:rsidRDefault="00A92AC8" w:rsidP="00A92AC8">
      <m:oMathPara>
        <m:oMath>
          <m:r>
            <w:rPr>
              <w:rFonts w:ascii="Cambria Math" w:hAnsi="Cambria Math"/>
            </w:rPr>
            <m:t>-0.0248GDPC-0.1641URBN+0.2667mean_GDPC×sum_URBN.</m:t>
          </m:r>
        </m:oMath>
      </m:oMathPara>
    </w:p>
    <w:p w14:paraId="4E1D1B1E" w14:textId="77777777" w:rsidR="00A92AC8" w:rsidRDefault="00A92AC8" w:rsidP="00A92AC8">
      <w:r>
        <w:t xml:space="preserve">Here, two-way interaction sets have the form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1</m:t>
            </m:r>
          </m:sub>
        </m:sSub>
        <m:r>
          <w:rPr>
            <w:rFonts w:ascii="Cambria Math" w:hAnsi="Cambria Math"/>
          </w:rPr>
          <m:t>A+</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2</m:t>
            </m:r>
          </m:sub>
        </m:sSub>
        <m:r>
          <w:rPr>
            <w:rFonts w:ascii="Cambria Math" w:hAnsi="Cambria Math"/>
          </w:rPr>
          <m:t>B+</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r>
          <w:rPr>
            <w:rFonts w:ascii="Cambria Math" w:hAnsi="Cambria Math"/>
          </w:rPr>
          <m:t>A×B</m:t>
        </m:r>
      </m:oMath>
      <w:r>
        <w:t xml:space="preserve"> for main effects </w:t>
      </w:r>
      <m:oMath>
        <m:r>
          <w:rPr>
            <w:rFonts w:ascii="Cambria Math" w:hAnsi="Cambria Math"/>
          </w:rPr>
          <m:t>A</m:t>
        </m:r>
      </m:oMath>
      <w:r>
        <w:t xml:space="preserve"> and </w:t>
      </w:r>
      <m:oMath>
        <m:r>
          <w:rPr>
            <w:rFonts w:ascii="Cambria Math" w:hAnsi="Cambria Math"/>
          </w:rPr>
          <m:t>B</m:t>
        </m:r>
      </m:oMath>
      <w:r>
        <w:t xml:space="preserve"> and a two-way interaction</w:t>
      </w:r>
      <m:oMath>
        <m:r>
          <w:rPr>
            <w:rFonts w:ascii="Cambria Math" w:hAnsi="Cambria Math"/>
          </w:rPr>
          <m:t xml:space="preserve"> A×B</m:t>
        </m:r>
      </m:oMath>
      <w:r>
        <w:t xml:space="preserve"> with parameter estimates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1</m:t>
            </m:r>
          </m:sub>
        </m:sSub>
      </m:oMath>
      <w:r>
        <w:t xml:space="preserve">,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2</m:t>
            </m:r>
          </m:sub>
        </m:sSub>
      </m:oMath>
      <w:r>
        <w:t xml:space="preserve">, and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oMath>
      <w:r>
        <w:t xml:space="preserve">,.  To find the slope for main effect </w:t>
      </w:r>
      <m:oMath>
        <m:r>
          <w:rPr>
            <w:rFonts w:ascii="Cambria Math" w:hAnsi="Cambria Math"/>
          </w:rPr>
          <m:t>A</m:t>
        </m:r>
      </m:oMath>
      <w:r>
        <w:t xml:space="preserve">, use factored expression </w:t>
      </w:r>
      <m:oMath>
        <m:d>
          <m:dPr>
            <m:ctrlPr>
              <w:rPr>
                <w:rFonts w:ascii="Cambria Math" w:hAnsi="Cambria Math"/>
                <w:i/>
              </w:rPr>
            </m:ctrlPr>
          </m:dPr>
          <m:e>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r>
              <w:rPr>
                <w:rFonts w:ascii="Cambria Math" w:hAnsi="Cambria Math"/>
              </w:rPr>
              <m:t>B</m:t>
            </m:r>
          </m:e>
        </m:d>
        <m:r>
          <w:rPr>
            <w:rFonts w:ascii="Cambria Math" w:hAnsi="Cambria Math"/>
          </w:rPr>
          <m:t>A</m:t>
        </m:r>
      </m:oMath>
      <w:r>
        <w:t xml:space="preserve"> with a slope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1</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r>
          <w:rPr>
            <w:rFonts w:ascii="Cambria Math" w:hAnsi="Cambria Math"/>
          </w:rPr>
          <m:t>B</m:t>
        </m:r>
      </m:oMath>
      <w:r>
        <w:t xml:space="preserve"> that varies over values of </w:t>
      </w:r>
      <m:oMath>
        <m:r>
          <w:rPr>
            <w:rFonts w:ascii="Cambria Math" w:hAnsi="Cambria Math"/>
          </w:rPr>
          <m:t>B</m:t>
        </m:r>
      </m:oMath>
      <w:r>
        <w:t xml:space="preserve">.  Similarly, for </w:t>
      </w:r>
      <m:oMath>
        <m:r>
          <w:rPr>
            <w:rFonts w:ascii="Cambria Math" w:hAnsi="Cambria Math"/>
          </w:rPr>
          <m:t>B</m:t>
        </m:r>
      </m:oMath>
      <w:r>
        <w:t xml:space="preserve">, use factor </w:t>
      </w:r>
      <m:oMath>
        <m:d>
          <m:dPr>
            <m:ctrlPr>
              <w:rPr>
                <w:rFonts w:ascii="Cambria Math" w:hAnsi="Cambria Math"/>
                <w:i/>
              </w:rPr>
            </m:ctrlPr>
          </m:dPr>
          <m:e>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2</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r>
              <w:rPr>
                <w:rFonts w:ascii="Cambria Math" w:hAnsi="Cambria Math"/>
              </w:rPr>
              <m:t>A</m:t>
            </m:r>
          </m:e>
        </m:d>
        <m:r>
          <w:rPr>
            <w:rFonts w:ascii="Cambria Math" w:hAnsi="Cambria Math"/>
          </w:rPr>
          <m:t>B</m:t>
        </m:r>
      </m:oMath>
      <w:r>
        <w:t xml:space="preserve"> with slope </w:t>
      </w:r>
      <m:oMath>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2</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β</m:t>
                </m:r>
              </m:e>
            </m:acc>
          </m:e>
          <m:sub>
            <m:r>
              <w:rPr>
                <w:rFonts w:ascii="Cambria Math" w:hAnsi="Cambria Math"/>
              </w:rPr>
              <m:t>3</m:t>
            </m:r>
          </m:sub>
        </m:sSub>
        <m:r>
          <w:rPr>
            <w:rFonts w:ascii="Cambria Math" w:hAnsi="Cambria Math"/>
          </w:rPr>
          <m:t>A</m:t>
        </m:r>
      </m:oMath>
      <w:r>
        <w:t xml:space="preserve"> that varies over values of</w:t>
      </w:r>
      <m:oMath>
        <m:r>
          <w:rPr>
            <w:rFonts w:ascii="Cambria Math" w:hAnsi="Cambria Math"/>
          </w:rPr>
          <m:t xml:space="preserve"> A</m:t>
        </m:r>
      </m:oMath>
      <w:r>
        <w:t xml:space="preserve">.  For the outflow Kenya model, the </w:t>
      </w:r>
      <m:oMath>
        <m:r>
          <w:rPr>
            <w:rFonts w:ascii="Cambria Math" w:hAnsi="Cambria Math"/>
          </w:rPr>
          <m:t>GDPC×URBN</m:t>
        </m:r>
      </m:oMath>
      <w:r>
        <w:t xml:space="preserve"> interaction slopes for their main effect are calculated in Table S3 under KEN (FR), where the slope for mean GDPC is </w:t>
      </w:r>
      <m:oMath>
        <m:r>
          <w:rPr>
            <w:rFonts w:ascii="Cambria Math" w:hAnsi="Cambria Math"/>
          </w:rPr>
          <m:t>-0.0248+0.2667sum_URBN</m:t>
        </m:r>
      </m:oMath>
      <w:r>
        <w:t xml:space="preserve">, the range of values for sum URBN is </w:t>
      </w:r>
      <m:oMath>
        <m:d>
          <m:dPr>
            <m:begChr m:val="["/>
            <m:endChr m:val="]"/>
            <m:ctrlPr>
              <w:rPr>
                <w:rFonts w:ascii="Cambria Math" w:hAnsi="Cambria Math"/>
                <w:i/>
              </w:rPr>
            </m:ctrlPr>
          </m:dPr>
          <m:e>
            <m:r>
              <w:rPr>
                <w:rFonts w:ascii="Cambria Math" w:hAnsi="Cambria Math"/>
              </w:rPr>
              <m:t>3.176, 6.650</m:t>
            </m:r>
          </m:e>
        </m:d>
      </m:oMath>
      <w:r>
        <w:t xml:space="preserve"> with a slope range for mean GDPC as </w:t>
      </w:r>
      <m:oMath>
        <m:d>
          <m:dPr>
            <m:begChr m:val="["/>
            <m:endChr m:val="]"/>
            <m:ctrlPr>
              <w:rPr>
                <w:rFonts w:ascii="Cambria Math" w:hAnsi="Cambria Math"/>
                <w:i/>
              </w:rPr>
            </m:ctrlPr>
          </m:dPr>
          <m:e>
            <m:r>
              <w:rPr>
                <w:rFonts w:ascii="Cambria Math" w:hAnsi="Cambria Math"/>
              </w:rPr>
              <m:t>0.822, 1.749</m:t>
            </m:r>
          </m:e>
        </m:d>
      </m:oMath>
      <w:r>
        <w:t xml:space="preserve">.  Similarly, factoring the other way, the slope for sum URBN is </w:t>
      </w:r>
      <m:oMath>
        <m:r>
          <w:rPr>
            <w:rFonts w:ascii="Cambria Math" w:hAnsi="Cambria Math"/>
          </w:rPr>
          <m:t>-0.1641+0.2667mean_GDPC</m:t>
        </m:r>
      </m:oMath>
      <w:r>
        <w:t xml:space="preserve">, the range of values for mean GDPC is </w:t>
      </w:r>
      <m:oMath>
        <m:d>
          <m:dPr>
            <m:begChr m:val="["/>
            <m:endChr m:val="]"/>
            <m:ctrlPr>
              <w:rPr>
                <w:rFonts w:ascii="Cambria Math" w:hAnsi="Cambria Math"/>
                <w:i/>
              </w:rPr>
            </m:ctrlPr>
          </m:dPr>
          <m:e>
            <m:r>
              <w:rPr>
                <w:rFonts w:ascii="Cambria Math" w:hAnsi="Cambria Math"/>
              </w:rPr>
              <m:t>3.386, 5.138</m:t>
            </m:r>
          </m:e>
        </m:d>
      </m:oMath>
      <w:r>
        <w:t xml:space="preserve"> with a slope range for sum URBN as </w:t>
      </w:r>
      <m:oMath>
        <m:d>
          <m:dPr>
            <m:begChr m:val="["/>
            <m:endChr m:val="]"/>
            <m:ctrlPr>
              <w:rPr>
                <w:rFonts w:ascii="Cambria Math" w:hAnsi="Cambria Math"/>
                <w:i/>
              </w:rPr>
            </m:ctrlPr>
          </m:dPr>
          <m:e>
            <m:r>
              <w:rPr>
                <w:rFonts w:ascii="Cambria Math" w:hAnsi="Cambria Math"/>
              </w:rPr>
              <m:t>0.739, 1.206</m:t>
            </m:r>
          </m:e>
        </m:d>
      </m:oMath>
      <w:r>
        <w:t xml:space="preserve">.  For each percent increase in mean GDP per capita, there is a 0.882% to 1.749% increase in the relative change in mobility depending on the value of summed urban extent.  For each percent increase in summed urban extent, there is a 0.739% to 1.206% increase in the relative change in mobility depending on the value of mean GDP per capita.  </w:t>
      </w:r>
    </w:p>
    <w:p w14:paraId="4DA63CB8" w14:textId="77777777" w:rsidR="00A92AC8" w:rsidRDefault="00A92AC8" w:rsidP="00A92AC8">
      <w:r>
        <w:t xml:space="preserve">Other common interactions are grouped in the table as </w:t>
      </w:r>
      <m:oMath>
        <m:r>
          <w:rPr>
            <w:rFonts w:ascii="Cambria Math" w:hAnsi="Cambria Math"/>
          </w:rPr>
          <m:t>PREC×ACCS</m:t>
        </m:r>
      </m:oMath>
      <w:r>
        <w:t xml:space="preserve">, </w:t>
      </w:r>
      <m:oMath>
        <m:r>
          <w:rPr>
            <w:rFonts w:ascii="Cambria Math" w:hAnsi="Cambria Math"/>
          </w:rPr>
          <m:t>UWCH×URBN</m:t>
        </m:r>
      </m:oMath>
      <w:r>
        <w:t xml:space="preserve">, and </w:t>
      </w:r>
      <m:oMath>
        <m:r>
          <w:rPr>
            <w:rFonts w:ascii="Cambria Math" w:hAnsi="Cambria Math"/>
          </w:rPr>
          <m:t>TEMP×SECM</m:t>
        </m:r>
      </m:oMath>
      <w:r>
        <w:t>.  To clarify, these additional covariates are precipitation (PREC), accessibility (ACCS), underweight children (UWCH), surface temperature (TEMP), and secondary education for males (SECM). All main effect slopes for these interaction sets are calculated in Table S3 as well.  Table S4 lists all main effects used across all 25 African countries in the country-level models along with a count of how many times each main effect term is significant across all models.</w:t>
      </w:r>
    </w:p>
    <w:p w14:paraId="7D742B1E" w14:textId="77777777" w:rsidR="00A92AC8" w:rsidRDefault="00A92AC8" w:rsidP="00A92AC8"/>
    <w:p w14:paraId="6CA71AA7" w14:textId="77777777" w:rsidR="00A92AC8" w:rsidRDefault="00A92AC8" w:rsidP="00A92AC8">
      <w:r w:rsidRPr="009D258D">
        <w:rPr>
          <w:noProof/>
        </w:rPr>
        <w:lastRenderedPageBreak/>
        <w:drawing>
          <wp:inline distT="0" distB="0" distL="0" distR="0" wp14:anchorId="6AF09A5D" wp14:editId="2B5ECCDC">
            <wp:extent cx="5727700" cy="2833370"/>
            <wp:effectExtent l="0" t="0" r="0" b="0"/>
            <wp:docPr id="101691502" name="Picture 101691502" descr="A table with numbers and letter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691502" name="Picture 101691502" descr="A table with numbers and letters&#10;&#10;Description automatically generated"/>
                    <pic:cNvPicPr/>
                  </pic:nvPicPr>
                  <pic:blipFill>
                    <a:blip r:embed="rId6"/>
                    <a:stretch>
                      <a:fillRect/>
                    </a:stretch>
                  </pic:blipFill>
                  <pic:spPr>
                    <a:xfrm>
                      <a:off x="0" y="0"/>
                      <a:ext cx="5727700" cy="2833370"/>
                    </a:xfrm>
                    <a:prstGeom prst="rect">
                      <a:avLst/>
                    </a:prstGeom>
                  </pic:spPr>
                </pic:pic>
              </a:graphicData>
            </a:graphic>
          </wp:inline>
        </w:drawing>
      </w:r>
    </w:p>
    <w:p w14:paraId="61B66324" w14:textId="77777777" w:rsidR="00A92AC8" w:rsidRDefault="00A92AC8" w:rsidP="00A92AC8">
      <w:r w:rsidRPr="0040651E">
        <w:rPr>
          <w:b/>
        </w:rPr>
        <w:t xml:space="preserve">Table </w:t>
      </w:r>
      <w:r>
        <w:rPr>
          <w:b/>
        </w:rPr>
        <w:t>S3</w:t>
      </w:r>
      <w:r>
        <w:t xml:space="preserve">. Common significant interaction terms of outflow (FR) and inflow (TO) mobility models for 25 African countries.  For main effect terms </w:t>
      </w:r>
      <m:oMath>
        <m:r>
          <w:rPr>
            <w:rFonts w:ascii="Cambria Math" w:hAnsi="Cambria Math"/>
          </w:rPr>
          <m:t>A</m:t>
        </m:r>
      </m:oMath>
      <w:r>
        <w:t xml:space="preserve"> and </w:t>
      </w:r>
      <m:oMath>
        <m:r>
          <w:rPr>
            <w:rFonts w:ascii="Cambria Math" w:hAnsi="Cambria Math"/>
          </w:rPr>
          <m:t>B</m:t>
        </m:r>
      </m:oMath>
      <w:r>
        <w:t xml:space="preserve">, two-way interaction term </w:t>
      </w:r>
      <m:oMath>
        <m:r>
          <w:rPr>
            <w:rFonts w:ascii="Cambria Math" w:hAnsi="Cambria Math"/>
          </w:rPr>
          <m:t>A×B</m:t>
        </m:r>
      </m:oMath>
      <w:r>
        <w:t xml:space="preserve">, and model coefficients </w:t>
      </w:r>
      <m:oMath>
        <m:sSub>
          <m:sSubPr>
            <m:ctrlPr>
              <w:rPr>
                <w:rFonts w:ascii="Cambria Math" w:hAnsi="Cambria Math"/>
                <w:i/>
              </w:rPr>
            </m:ctrlPr>
          </m:sSubPr>
          <m:e>
            <m:r>
              <w:rPr>
                <w:rFonts w:ascii="Cambria Math" w:hAnsi="Cambria Math"/>
              </w:rPr>
              <m:t>β</m:t>
            </m:r>
          </m:e>
          <m:sub>
            <m:r>
              <w:rPr>
                <w:rFonts w:ascii="Cambria Math" w:hAnsi="Cambria Math"/>
              </w:rPr>
              <m:t>1</m:t>
            </m:r>
          </m:sub>
        </m:sSub>
      </m:oMath>
      <w:r>
        <w:t xml:space="preserve">, </w:t>
      </w:r>
      <m:oMath>
        <m:sSub>
          <m:sSubPr>
            <m:ctrlPr>
              <w:rPr>
                <w:rFonts w:ascii="Cambria Math" w:hAnsi="Cambria Math"/>
                <w:i/>
              </w:rPr>
            </m:ctrlPr>
          </m:sSubPr>
          <m:e>
            <m:r>
              <w:rPr>
                <w:rFonts w:ascii="Cambria Math" w:hAnsi="Cambria Math"/>
              </w:rPr>
              <m:t>β</m:t>
            </m:r>
          </m:e>
          <m:sub>
            <m:r>
              <w:rPr>
                <w:rFonts w:ascii="Cambria Math" w:hAnsi="Cambria Math"/>
              </w:rPr>
              <m:t>2</m:t>
            </m:r>
          </m:sub>
        </m:sSub>
      </m:oMath>
      <w:r>
        <w:t xml:space="preserve">, and </w:t>
      </w:r>
      <m:oMath>
        <m:sSub>
          <m:sSubPr>
            <m:ctrlPr>
              <w:rPr>
                <w:rFonts w:ascii="Cambria Math" w:hAnsi="Cambria Math"/>
                <w:i/>
              </w:rPr>
            </m:ctrlPr>
          </m:sSubPr>
          <m:e>
            <m:r>
              <w:rPr>
                <w:rFonts w:ascii="Cambria Math" w:hAnsi="Cambria Math"/>
              </w:rPr>
              <m:t>β</m:t>
            </m:r>
          </m:e>
          <m:sub>
            <m:r>
              <w:rPr>
                <w:rFonts w:ascii="Cambria Math" w:hAnsi="Cambria Math"/>
              </w:rPr>
              <m:t>3</m:t>
            </m:r>
          </m:sub>
        </m:sSub>
      </m:oMath>
      <w:r>
        <w:t xml:space="preserve">, two-way interactions terms always include their main effect terms, written as </w:t>
      </w: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A+</m:t>
        </m:r>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B+</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A×B</m:t>
        </m:r>
      </m:oMath>
      <w:r>
        <w:t xml:space="preserve"> in the model.  Two-way interaction slopes terms for </w:t>
      </w:r>
      <m:oMath>
        <m:r>
          <w:rPr>
            <w:rFonts w:ascii="Cambria Math" w:hAnsi="Cambria Math"/>
          </w:rPr>
          <m:t>A</m:t>
        </m:r>
      </m:oMath>
      <w:r>
        <w:t xml:space="preserve"> and </w:t>
      </w:r>
      <m:oMath>
        <m:r>
          <w:rPr>
            <w:rFonts w:ascii="Cambria Math" w:hAnsi="Cambria Math"/>
          </w:rPr>
          <m:t>B</m:t>
        </m:r>
      </m:oMath>
      <w:r>
        <w:t xml:space="preserve"> are taken by factoring terms as </w:t>
      </w:r>
      <m:oMath>
        <m:d>
          <m:dPr>
            <m:ctrlPr>
              <w:rPr>
                <w:rFonts w:ascii="Cambria Math" w:hAnsi="Cambria Math"/>
                <w:i/>
              </w:rPr>
            </m:ctrlPr>
          </m:dPr>
          <m:e>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B</m:t>
            </m:r>
          </m:e>
        </m:d>
        <m:r>
          <w:rPr>
            <w:rFonts w:ascii="Cambria Math" w:hAnsi="Cambria Math"/>
          </w:rPr>
          <m:t>A</m:t>
        </m:r>
      </m:oMath>
      <w:r>
        <w:t xml:space="preserve"> and </w:t>
      </w:r>
      <m:oMath>
        <m:d>
          <m:dPr>
            <m:ctrlPr>
              <w:rPr>
                <w:rFonts w:ascii="Cambria Math" w:hAnsi="Cambria Math"/>
                <w:i/>
              </w:rPr>
            </m:ctrlPr>
          </m:dPr>
          <m:e>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A</m:t>
            </m:r>
          </m:e>
        </m:d>
        <m:r>
          <w:rPr>
            <w:rFonts w:ascii="Cambria Math" w:hAnsi="Cambria Math"/>
          </w:rPr>
          <m:t>B</m:t>
        </m:r>
      </m:oMath>
      <w:r>
        <w:t xml:space="preserve">, respectively, each with varying slopes given by </w:t>
      </w:r>
      <m:oMath>
        <m:sSub>
          <m:sSubPr>
            <m:ctrlPr>
              <w:rPr>
                <w:rFonts w:ascii="Cambria Math" w:hAnsi="Cambria Math"/>
                <w:i/>
              </w:rPr>
            </m:ctrlPr>
          </m:sSubPr>
          <m:e>
            <m:r>
              <w:rPr>
                <w:rFonts w:ascii="Cambria Math" w:hAnsi="Cambria Math"/>
              </w:rPr>
              <m:t>β</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B</m:t>
        </m:r>
      </m:oMath>
      <w:r>
        <w:t xml:space="preserve"> and </w:t>
      </w:r>
      <m:oMath>
        <m:sSub>
          <m:sSubPr>
            <m:ctrlPr>
              <w:rPr>
                <w:rFonts w:ascii="Cambria Math" w:hAnsi="Cambria Math"/>
                <w:i/>
              </w:rPr>
            </m:ctrlPr>
          </m:sSubPr>
          <m:e>
            <m:r>
              <w:rPr>
                <w:rFonts w:ascii="Cambria Math" w:hAnsi="Cambria Math"/>
              </w:rPr>
              <m:t>β</m:t>
            </m:r>
          </m:e>
          <m:sub>
            <m:r>
              <w:rPr>
                <w:rFonts w:ascii="Cambria Math" w:hAnsi="Cambria Math"/>
              </w:rPr>
              <m:t>2</m:t>
            </m:r>
          </m:sub>
        </m:sSub>
        <m:r>
          <w:rPr>
            <w:rFonts w:ascii="Cambria Math" w:hAnsi="Cambria Math"/>
          </w:rPr>
          <m:t>+</m:t>
        </m:r>
        <m:sSub>
          <m:sSubPr>
            <m:ctrlPr>
              <w:rPr>
                <w:rFonts w:ascii="Cambria Math" w:hAnsi="Cambria Math"/>
                <w:i/>
              </w:rPr>
            </m:ctrlPr>
          </m:sSubPr>
          <m:e>
            <m:r>
              <w:rPr>
                <w:rFonts w:ascii="Cambria Math" w:hAnsi="Cambria Math"/>
              </w:rPr>
              <m:t>β</m:t>
            </m:r>
          </m:e>
          <m:sub>
            <m:r>
              <w:rPr>
                <w:rFonts w:ascii="Cambria Math" w:hAnsi="Cambria Math"/>
              </w:rPr>
              <m:t>3</m:t>
            </m:r>
          </m:sub>
        </m:sSub>
        <m:r>
          <w:rPr>
            <w:rFonts w:ascii="Cambria Math" w:hAnsi="Cambria Math"/>
          </w:rPr>
          <m:t>A</m:t>
        </m:r>
      </m:oMath>
      <w:r>
        <w:t xml:space="preserve">, respectively.  Slope values depend on a range of covariate values for </w:t>
      </w:r>
      <m:oMath>
        <m:r>
          <w:rPr>
            <w:rFonts w:ascii="Cambria Math" w:hAnsi="Cambria Math"/>
          </w:rPr>
          <m:t>B</m:t>
        </m:r>
      </m:oMath>
      <w:r>
        <w:t xml:space="preserve"> and </w:t>
      </w:r>
      <m:oMath>
        <m:r>
          <w:rPr>
            <w:rFonts w:ascii="Cambria Math" w:hAnsi="Cambria Math"/>
          </w:rPr>
          <m:t>A</m:t>
        </m:r>
      </m:oMath>
      <w:r>
        <w:t xml:space="preserve">, respectively.  Finally, the range of slope values for </w:t>
      </w:r>
      <m:oMath>
        <m:r>
          <w:rPr>
            <w:rFonts w:ascii="Cambria Math" w:hAnsi="Cambria Math"/>
          </w:rPr>
          <m:t>A</m:t>
        </m:r>
      </m:oMath>
      <w:r>
        <w:t xml:space="preserve"> and </w:t>
      </w:r>
      <m:oMath>
        <m:r>
          <w:rPr>
            <w:rFonts w:ascii="Cambria Math" w:hAnsi="Cambria Math"/>
          </w:rPr>
          <m:t>B</m:t>
        </m:r>
      </m:oMath>
      <w:r>
        <w:t xml:space="preserve"> are given.</w:t>
      </w:r>
    </w:p>
    <w:p w14:paraId="2D063A44" w14:textId="77777777" w:rsidR="00A92AC8" w:rsidRPr="00096C7F" w:rsidRDefault="00A92AC8" w:rsidP="00A92AC8">
      <w:pPr>
        <w:rPr>
          <w:bCs/>
        </w:rPr>
      </w:pPr>
    </w:p>
    <w:p w14:paraId="62F6028A" w14:textId="77777777" w:rsidR="00A92AC8" w:rsidRDefault="00A92AC8" w:rsidP="00A92AC8">
      <w:r>
        <w:rPr>
          <w:noProof/>
          <w:color w:val="2B579A"/>
          <w:shd w:val="clear" w:color="auto" w:fill="E6E6E6"/>
        </w:rPr>
        <w:lastRenderedPageBreak/>
        <w:drawing>
          <wp:inline distT="0" distB="0" distL="0" distR="0" wp14:anchorId="6EE5DD20" wp14:editId="0361003A">
            <wp:extent cx="5727700" cy="5572760"/>
            <wp:effectExtent l="0" t="0" r="0" b="254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7">
                      <a:extLst>
                        <a:ext uri="{28A0092B-C50C-407E-A947-70E740481C1C}">
                          <a14:useLocalDpi xmlns:a14="http://schemas.microsoft.com/office/drawing/2010/main" val="0"/>
                        </a:ext>
                      </a:extLst>
                    </a:blip>
                    <a:stretch>
                      <a:fillRect/>
                    </a:stretch>
                  </pic:blipFill>
                  <pic:spPr>
                    <a:xfrm>
                      <a:off x="0" y="0"/>
                      <a:ext cx="5727700" cy="5572760"/>
                    </a:xfrm>
                    <a:prstGeom prst="rect">
                      <a:avLst/>
                    </a:prstGeom>
                  </pic:spPr>
                </pic:pic>
              </a:graphicData>
            </a:graphic>
          </wp:inline>
        </w:drawing>
      </w:r>
    </w:p>
    <w:p w14:paraId="12CC5F0C" w14:textId="77777777" w:rsidR="00A92AC8" w:rsidRPr="00834AC7" w:rsidRDefault="00A92AC8" w:rsidP="00A92AC8">
      <w:r w:rsidRPr="00497862">
        <w:rPr>
          <w:b/>
          <w:bCs/>
        </w:rPr>
        <w:t xml:space="preserve">Table </w:t>
      </w:r>
      <w:r>
        <w:rPr>
          <w:b/>
          <w:bCs/>
        </w:rPr>
        <w:t>S</w:t>
      </w:r>
      <w:r w:rsidRPr="00497862">
        <w:rPr>
          <w:b/>
          <w:bCs/>
        </w:rPr>
        <w:t>4</w:t>
      </w:r>
      <w:r>
        <w:t>. Significant main effects terms across all 50 country-level models (25 FR and 25 TO).  Terms are marked with an “X” and total counts are given for each term across all models. There were 43 main effect terms (shown) and 46 two-way interactions (not shown in table).  Details of final model terms for OLS and the corresponding spatiotemporal Bayesian estimates and their performance statistics are found in Supplementary Information 2.</w:t>
      </w:r>
    </w:p>
    <w:p w14:paraId="45670CF3" w14:textId="77777777" w:rsidR="00A92AC8" w:rsidRDefault="00A92AC8" w:rsidP="00A92AC8"/>
    <w:p w14:paraId="1D68ABF5" w14:textId="77777777" w:rsidR="00A92AC8" w:rsidRPr="00A50A0F" w:rsidRDefault="00A92AC8" w:rsidP="00A92AC8">
      <w:pPr>
        <w:rPr>
          <w:b/>
          <w:bCs/>
        </w:rPr>
      </w:pPr>
      <w:r>
        <w:rPr>
          <w:b/>
          <w:bCs/>
        </w:rPr>
        <w:t>Spatial covariate data description</w:t>
      </w:r>
    </w:p>
    <w:p w14:paraId="53999C23" w14:textId="77777777" w:rsidR="00A92AC8" w:rsidRDefault="00A92AC8" w:rsidP="00A92AC8">
      <w:r w:rsidRPr="04604729">
        <w:t xml:space="preserve">Several geospatial datasets, representing correlates and potential drivers of human mobility, were collected, assembled, and processed to produce monthly covariates best matching years of available </w:t>
      </w:r>
      <w:r>
        <w:t>GAMRD</w:t>
      </w:r>
      <w:r w:rsidRPr="04604729">
        <w:t xml:space="preserve"> data. Eleven climatic datasets (Table </w:t>
      </w:r>
      <w:r>
        <w:t>S5</w:t>
      </w:r>
      <w:r w:rsidRPr="04604729">
        <w:t>) were retrieved from the Copernicus ERA-5 Land product (</w:t>
      </w:r>
      <w:hyperlink r:id="rId8" w:anchor="!/dataset/10.24381/cds.68d2bb30?tab=overview">
        <w:r w:rsidRPr="04604729">
          <w:rPr>
            <w:color w:val="1155CC"/>
            <w:u w:val="single"/>
          </w:rPr>
          <w:t>Muñoz Sabater, 2019</w:t>
        </w:r>
      </w:hyperlink>
      <w:r w:rsidRPr="04604729">
        <w:t xml:space="preserve">), owing to its wide array of climatic gridded datasets quasi-globally available in a consistent format and at fine native spatial and temporal resolution (9km and 1 hour, </w:t>
      </w:r>
      <w:r w:rsidRPr="04604729">
        <w:lastRenderedPageBreak/>
        <w:t xml:space="preserve">respectively). Moreover, this product offers monthly averaged data from 1950 to present, allowing for seasonal and monthly variations to be properly computed, observed, and aligned with the </w:t>
      </w:r>
      <w:r w:rsidRPr="001C781B">
        <w:t>obtained GAMRD data.  An additional monthly covariates waw also prepared using the Suomi National Polar-orbiting Partnership (SNPP) Visible Infrared Imaging Radiometer Suite (VIIRS) night-time light data (</w:t>
      </w:r>
      <w:hyperlink r:id="rId9">
        <w:r w:rsidRPr="001C781B">
          <w:t>Elvidge et al., 2017</w:t>
        </w:r>
      </w:hyperlink>
      <w:r w:rsidRPr="04604729">
        <w:rPr>
          <w:rFonts w:ascii="Arial" w:eastAsia="Arial" w:hAnsi="Arial" w:cs="Arial"/>
          <w:color w:val="666666"/>
          <w:sz w:val="18"/>
          <w:szCs w:val="18"/>
        </w:rPr>
        <w:t>)</w:t>
      </w:r>
      <w:r>
        <w:rPr>
          <w:rFonts w:ascii="Arial" w:eastAsia="Arial" w:hAnsi="Arial" w:cs="Arial"/>
          <w:color w:val="666666"/>
          <w:sz w:val="18"/>
          <w:szCs w:val="18"/>
        </w:rPr>
        <w:t>.</w:t>
      </w:r>
    </w:p>
    <w:p w14:paraId="4707C527" w14:textId="77777777" w:rsidR="00A92AC8" w:rsidRDefault="00A92AC8" w:rsidP="00A92AC8"/>
    <w:p w14:paraId="10234C3A" w14:textId="77777777" w:rsidR="00A92AC8" w:rsidRDefault="00A92AC8" w:rsidP="00A92AC8">
      <w:r>
        <w:rPr>
          <w:noProof/>
        </w:rPr>
        <w:object w:dxaOrig="9180" w:dyaOrig="8980" w14:anchorId="01F541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60.5pt;height:447pt;mso-width-percent:0;mso-height-percent:0;mso-width-percent:0;mso-height-percent:0" o:ole="">
            <v:imagedata r:id="rId10" o:title=""/>
          </v:shape>
          <o:OLEObject Type="Embed" ProgID="Excel.Sheet.12" ShapeID="_x0000_i1025" DrawAspect="Content" ObjectID="_1799062301" r:id="rId11"/>
        </w:object>
      </w:r>
    </w:p>
    <w:p w14:paraId="3530057E" w14:textId="77777777" w:rsidR="00A92AC8" w:rsidRDefault="00A92AC8" w:rsidP="00A92AC8">
      <w:r w:rsidRPr="00A060B4">
        <w:rPr>
          <w:b/>
          <w:bCs/>
        </w:rPr>
        <w:t xml:space="preserve">Table </w:t>
      </w:r>
      <w:r>
        <w:rPr>
          <w:b/>
          <w:bCs/>
        </w:rPr>
        <w:t>S</w:t>
      </w:r>
      <w:r w:rsidRPr="00A060B4">
        <w:rPr>
          <w:b/>
          <w:bCs/>
        </w:rPr>
        <w:t>5</w:t>
      </w:r>
      <w:r>
        <w:t>. Geospatial datasets collected, assembled, processed and converted into monthly covariates at the administrative level 1 for 2018 and 2019.</w:t>
      </w:r>
    </w:p>
    <w:p w14:paraId="0E4F8400" w14:textId="77777777" w:rsidR="00A92AC8" w:rsidRDefault="00A92AC8" w:rsidP="00A92AC8">
      <w:r w:rsidRPr="16F1C0E2">
        <w:t xml:space="preserve">Additional covariates that could exhibit a relationship with human mobility were also produced using annual dataset (Table </w:t>
      </w:r>
      <w:r>
        <w:t>S6</w:t>
      </w:r>
      <w:r w:rsidRPr="16F1C0E2">
        <w:t xml:space="preserve">) which are less frequently updated. Therefore, the most recent year available was used, and an assumption was made that their values remain the same throughout each given year. </w:t>
      </w:r>
      <w:r w:rsidRPr="16F1C0E2">
        <w:lastRenderedPageBreak/>
        <w:t>Nevertheless, these covariates can be informative in terms of representing socio-economic characteristics influencing seasonal mobility. For example, it has been observed that more people are moving away from urban areas in favour of more rural/coastal locations during the crop season/summer months (</w:t>
      </w:r>
      <w:hyperlink r:id="rId12">
        <w:r w:rsidRPr="16F1C0E2">
          <w:rPr>
            <w:color w:val="1155CC"/>
            <w:u w:val="single"/>
          </w:rPr>
          <w:t xml:space="preserve">Deville </w:t>
        </w:r>
        <w:r w:rsidRPr="16F1C0E2">
          <w:rPr>
            <w:i/>
            <w:iCs/>
            <w:color w:val="1155CC"/>
            <w:u w:val="single"/>
          </w:rPr>
          <w:t>et al.</w:t>
        </w:r>
        <w:r w:rsidRPr="16F1C0E2">
          <w:rPr>
            <w:color w:val="1155CC"/>
            <w:u w:val="single"/>
          </w:rPr>
          <w:t>, 2014</w:t>
        </w:r>
      </w:hyperlink>
      <w:r w:rsidRPr="16F1C0E2">
        <w:t>;</w:t>
      </w:r>
      <w:hyperlink r:id="rId13">
        <w:r w:rsidRPr="16F1C0E2">
          <w:t xml:space="preserve"> </w:t>
        </w:r>
      </w:hyperlink>
      <w:hyperlink r:id="rId14">
        <w:r w:rsidRPr="16F1C0E2">
          <w:rPr>
            <w:color w:val="1155CC"/>
            <w:u w:val="single"/>
          </w:rPr>
          <w:t xml:space="preserve">Bharti </w:t>
        </w:r>
        <w:r w:rsidRPr="16F1C0E2">
          <w:rPr>
            <w:i/>
            <w:iCs/>
            <w:color w:val="1155CC"/>
            <w:u w:val="single"/>
          </w:rPr>
          <w:t>et al</w:t>
        </w:r>
        <w:r w:rsidRPr="16F1C0E2">
          <w:rPr>
            <w:color w:val="1155CC"/>
            <w:u w:val="single"/>
          </w:rPr>
          <w:t>., 2016</w:t>
        </w:r>
      </w:hyperlink>
      <w:r w:rsidRPr="16F1C0E2">
        <w:t>). Some of these annual covariates were produced using datasets obtained by combining multiple inputs. In particular, the “Proportion Urban Population” dataset was created by combining</w:t>
      </w:r>
      <w:hyperlink r:id="rId15">
        <w:r w:rsidRPr="16F1C0E2">
          <w:t xml:space="preserve"> </w:t>
        </w:r>
      </w:hyperlink>
      <w:hyperlink r:id="rId16">
        <w:r w:rsidRPr="16F1C0E2">
          <w:rPr>
            <w:color w:val="1155CC"/>
            <w:u w:val="single"/>
          </w:rPr>
          <w:t>WorldPop 1km gridded datasets for 2018 and 2019</w:t>
        </w:r>
      </w:hyperlink>
      <w:r w:rsidRPr="16F1C0E2">
        <w:t>, depicting the spatial distribution of the population at the grid cell level, with the</w:t>
      </w:r>
      <w:hyperlink r:id="rId17">
        <w:r w:rsidRPr="16F1C0E2">
          <w:t xml:space="preserve"> </w:t>
        </w:r>
      </w:hyperlink>
      <w:hyperlink r:id="rId18">
        <w:r w:rsidRPr="16F1C0E2">
          <w:rPr>
            <w:color w:val="1155CC"/>
            <w:u w:val="single"/>
          </w:rPr>
          <w:t>2015 GHS Settlement Model grid (GHS-SMOD)</w:t>
        </w:r>
      </w:hyperlink>
      <w:r w:rsidRPr="16F1C0E2">
        <w:t xml:space="preserve"> after classifying each grid cell according to its Degree of Urbanization Level 1 (</w:t>
      </w:r>
      <w:hyperlink r:id="rId19">
        <w:r w:rsidRPr="16F1C0E2">
          <w:rPr>
            <w:color w:val="1155CC"/>
            <w:u w:val="single"/>
          </w:rPr>
          <w:t xml:space="preserve">Florczyk </w:t>
        </w:r>
        <w:r w:rsidRPr="16F1C0E2">
          <w:rPr>
            <w:i/>
            <w:iCs/>
            <w:color w:val="1155CC"/>
            <w:u w:val="single"/>
          </w:rPr>
          <w:t>et al.</w:t>
        </w:r>
        <w:r w:rsidRPr="16F1C0E2">
          <w:rPr>
            <w:color w:val="1155CC"/>
            <w:u w:val="single"/>
          </w:rPr>
          <w:t>, 2019</w:t>
        </w:r>
      </w:hyperlink>
      <w:r w:rsidRPr="16F1C0E2">
        <w:t>). Similarly, the “Average GDP per capita” dataset was created dividing the</w:t>
      </w:r>
      <w:hyperlink r:id="rId20">
        <w:r w:rsidRPr="16F1C0E2">
          <w:t xml:space="preserve"> </w:t>
        </w:r>
      </w:hyperlink>
      <w:hyperlink r:id="rId21">
        <w:r w:rsidRPr="16F1C0E2">
          <w:rPr>
            <w:color w:val="1155CC"/>
            <w:u w:val="single"/>
          </w:rPr>
          <w:t>2015 GDP_PPP_30arcsec datasets</w:t>
        </w:r>
      </w:hyperlink>
      <w:r w:rsidRPr="16F1C0E2">
        <w:t>, produced by</w:t>
      </w:r>
      <w:hyperlink r:id="rId22">
        <w:r w:rsidRPr="16F1C0E2">
          <w:t xml:space="preserve"> </w:t>
        </w:r>
      </w:hyperlink>
      <w:hyperlink r:id="rId23">
        <w:r w:rsidRPr="16F1C0E2">
          <w:rPr>
            <w:color w:val="1155CC"/>
            <w:u w:val="single"/>
          </w:rPr>
          <w:t xml:space="preserve">Kummu </w:t>
        </w:r>
        <w:r w:rsidRPr="16F1C0E2">
          <w:rPr>
            <w:i/>
            <w:iCs/>
            <w:color w:val="1155CC"/>
            <w:u w:val="single"/>
          </w:rPr>
          <w:t>et al.</w:t>
        </w:r>
        <w:r w:rsidRPr="16F1C0E2">
          <w:rPr>
            <w:color w:val="1155CC"/>
            <w:u w:val="single"/>
          </w:rPr>
          <w:t xml:space="preserve"> (2020)</w:t>
        </w:r>
      </w:hyperlink>
      <w:r w:rsidRPr="16F1C0E2">
        <w:t xml:space="preserve"> and representing the average gross domestic production of each grid cell, by the corresponding</w:t>
      </w:r>
      <w:hyperlink r:id="rId24">
        <w:r w:rsidRPr="16F1C0E2">
          <w:t xml:space="preserve"> </w:t>
        </w:r>
      </w:hyperlink>
      <w:hyperlink r:id="rId25">
        <w:r w:rsidRPr="16F1C0E2">
          <w:rPr>
            <w:color w:val="1155CC"/>
            <w:u w:val="single"/>
          </w:rPr>
          <w:t>2015 GHS-POP 1km gridded dataset</w:t>
        </w:r>
      </w:hyperlink>
      <w:r w:rsidRPr="16F1C0E2">
        <w:t xml:space="preserve"> to remove population weighting.</w:t>
      </w:r>
    </w:p>
    <w:p w14:paraId="1B87A395" w14:textId="77777777" w:rsidR="00A92AC8" w:rsidRDefault="00A92AC8" w:rsidP="00A92AC8">
      <w:pPr>
        <w:rPr>
          <w:sz w:val="16"/>
          <w:szCs w:val="16"/>
        </w:rPr>
      </w:pPr>
      <w:r w:rsidRPr="04604729">
        <w:t>To suit seasonal mobility modelling needs</w:t>
      </w:r>
      <w:r>
        <w:t>,</w:t>
      </w:r>
      <w:r w:rsidRPr="04604729">
        <w:t xml:space="preserve"> the gridded datasets outlined in Tables </w:t>
      </w:r>
      <w:r>
        <w:t>S5</w:t>
      </w:r>
      <w:r w:rsidRPr="04604729">
        <w:t xml:space="preserve"> and </w:t>
      </w:r>
      <w:r>
        <w:t>S6</w:t>
      </w:r>
      <w:r w:rsidRPr="04604729">
        <w:t xml:space="preserve"> were used to produce monthly and annual covariates, at the administrative unit level, using</w:t>
      </w:r>
      <w:r>
        <w:t xml:space="preserve"> custom Python scripts (Py v3.6.6) </w:t>
      </w:r>
      <w:r w:rsidRPr="04604729">
        <w:t>calculating zonal statistics and outputting the results as tables</w:t>
      </w:r>
      <w:r>
        <w:t xml:space="preserve"> (see GitHub site)</w:t>
      </w:r>
      <w:r w:rsidRPr="04604729">
        <w:t>. Statistics such as monthly mean, median, minimum, maximum and sum of grid cell values were generated at the administrative unit Level 1 for 2018</w:t>
      </w:r>
      <w:r>
        <w:t xml:space="preserve"> and</w:t>
      </w:r>
      <w:r w:rsidRPr="04604729">
        <w:t xml:space="preserve"> 2019 for all African countries, except Mauritius, Mayotte, and Seychelles. Monthly zonal statistics referring to the Night-time light data, focusing on the sum of the grid cell values located within each administrative unit to calculate its corresponding “Sum of Lights,” were also generated at administrative unit Level 2 for 2018</w:t>
      </w:r>
      <w:r>
        <w:t xml:space="preserve"> and</w:t>
      </w:r>
      <w:r w:rsidRPr="04604729">
        <w:t xml:space="preserve"> 2019. In both cases, to ensure spatial harmonization between these covariates and the </w:t>
      </w:r>
      <w:r>
        <w:t>GAMRD</w:t>
      </w:r>
      <w:r w:rsidRPr="04604729">
        <w:t xml:space="preserve"> data,</w:t>
      </w:r>
      <w:hyperlink r:id="rId26">
        <w:r w:rsidRPr="04604729">
          <w:t xml:space="preserve"> </w:t>
        </w:r>
      </w:hyperlink>
      <w:hyperlink r:id="rId27">
        <w:r w:rsidRPr="04604729">
          <w:rPr>
            <w:color w:val="1155CC"/>
            <w:u w:val="single"/>
          </w:rPr>
          <w:t>GADM (v 3.6) shapefiles</w:t>
        </w:r>
      </w:hyperlink>
      <w:r w:rsidRPr="04604729">
        <w:t xml:space="preserve"> were used both for preparing the tabulated covariates and spatially aggregating the </w:t>
      </w:r>
      <w:r>
        <w:t>GAMRD</w:t>
      </w:r>
      <w:r w:rsidRPr="04604729">
        <w:t xml:space="preserve"> data - allowing for each administrative unit to be uniquely identified across all covariate tables by its unique GADM GID_1 code</w:t>
      </w:r>
      <w:r w:rsidRPr="04604729">
        <w:rPr>
          <w:sz w:val="16"/>
          <w:szCs w:val="16"/>
        </w:rPr>
        <w:t>.</w:t>
      </w:r>
    </w:p>
    <w:p w14:paraId="3D9B4BB8" w14:textId="77777777" w:rsidR="00A92AC8" w:rsidRDefault="00A92AC8" w:rsidP="00A92AC8">
      <w:pPr>
        <w:rPr>
          <w:sz w:val="16"/>
          <w:szCs w:val="16"/>
          <w:highlight w:val="magenta"/>
        </w:rPr>
      </w:pPr>
      <w:r w:rsidRPr="04604729">
        <w:t xml:space="preserve">A simplified version of the workflow used for processing all Copernicus ERA-5 Land climatic gridded datasets is given in Figure </w:t>
      </w:r>
      <w:r>
        <w:t>S1</w:t>
      </w:r>
      <w:r w:rsidRPr="04604729">
        <w:t>. In some instances, the gridded datasets were too coarse to provide values to a very small number of “tiny” administrative units not overlapping any grid cell center. In such situations, a point-filling method was implemented to assign to each tiny administrative unit the value of the grid cell underlying its center. In some cases, administrative units receive no values because of spatial gaps in some of the gridded datasets. In such a situation, it was decided not to introduce any imputed value, through techniques such as nibbling, to avoid artificially affecting the results of the subsequent correlation analysis. Coverage for Mauritius, Mayotte, and Seychelles was so limited that it was decided not to include them in the analysis.</w:t>
      </w:r>
    </w:p>
    <w:p w14:paraId="09B49B5A" w14:textId="77777777" w:rsidR="00A92AC8" w:rsidRDefault="00A92AC8" w:rsidP="00A92AC8">
      <w:r>
        <w:rPr>
          <w:rFonts w:ascii="Arial" w:eastAsia="Arial" w:hAnsi="Arial" w:cs="Arial"/>
          <w:noProof/>
          <w:color w:val="666666"/>
          <w:sz w:val="18"/>
          <w:szCs w:val="18"/>
        </w:rPr>
        <w:lastRenderedPageBreak/>
        <w:drawing>
          <wp:inline distT="114300" distB="114300" distL="114300" distR="114300" wp14:anchorId="3B525E41" wp14:editId="61F6AB65">
            <wp:extent cx="5727700" cy="2318460"/>
            <wp:effectExtent l="0" t="0" r="0" b="5715"/>
            <wp:docPr id="11" name="image7.png" descr="A diagram of data flow&#10;&#10;Description automatically generated"/>
            <wp:cNvGraphicFramePr/>
            <a:graphic xmlns:a="http://schemas.openxmlformats.org/drawingml/2006/main">
              <a:graphicData uri="http://schemas.openxmlformats.org/drawingml/2006/picture">
                <pic:pic xmlns:pic="http://schemas.openxmlformats.org/drawingml/2006/picture">
                  <pic:nvPicPr>
                    <pic:cNvPr id="11" name="image7.png" descr="A diagram of data flow&#10;&#10;Description automatically generated"/>
                    <pic:cNvPicPr preferRelativeResize="0"/>
                  </pic:nvPicPr>
                  <pic:blipFill>
                    <a:blip r:embed="rId28"/>
                    <a:srcRect/>
                    <a:stretch>
                      <a:fillRect/>
                    </a:stretch>
                  </pic:blipFill>
                  <pic:spPr>
                    <a:xfrm>
                      <a:off x="0" y="0"/>
                      <a:ext cx="5727700" cy="2318460"/>
                    </a:xfrm>
                    <a:prstGeom prst="rect">
                      <a:avLst/>
                    </a:prstGeom>
                    <a:ln/>
                  </pic:spPr>
                </pic:pic>
              </a:graphicData>
            </a:graphic>
          </wp:inline>
        </w:drawing>
      </w:r>
    </w:p>
    <w:p w14:paraId="70B88670" w14:textId="77777777" w:rsidR="00A92AC8" w:rsidRDefault="00A92AC8" w:rsidP="00A92AC8">
      <w:r w:rsidRPr="00303290">
        <w:rPr>
          <w:b/>
          <w:bCs/>
        </w:rPr>
        <w:t xml:space="preserve">Figure </w:t>
      </w:r>
      <w:r>
        <w:rPr>
          <w:b/>
          <w:bCs/>
        </w:rPr>
        <w:t>S</w:t>
      </w:r>
      <w:r w:rsidRPr="00303290">
        <w:rPr>
          <w:b/>
          <w:bCs/>
        </w:rPr>
        <w:t>1</w:t>
      </w:r>
      <w:r w:rsidRPr="04604729">
        <w:t xml:space="preserve">. Simplified workflow diagram used for processing all Copernicus ERA-5 Land climatic gridded datasets and producing the corresponding monthly tabulated covariates as “.csv” files. </w:t>
      </w:r>
    </w:p>
    <w:p w14:paraId="720A601C" w14:textId="77777777" w:rsidR="00A92AC8" w:rsidRDefault="00A92AC8" w:rsidP="00A92AC8"/>
    <w:p w14:paraId="131601E5" w14:textId="77777777" w:rsidR="00A92AC8" w:rsidRDefault="00A92AC8" w:rsidP="00A92AC8">
      <w:r>
        <w:rPr>
          <w:noProof/>
        </w:rPr>
        <w:object w:dxaOrig="9260" w:dyaOrig="13180" w14:anchorId="38D79CF7">
          <v:shape id="_x0000_i1026" type="#_x0000_t75" alt="" style="width:460.5pt;height:662.25pt;mso-width-percent:0;mso-height-percent:0;mso-width-percent:0;mso-height-percent:0" o:ole="">
            <v:imagedata r:id="rId29" o:title=""/>
          </v:shape>
          <o:OLEObject Type="Embed" ProgID="Excel.Sheet.12" ShapeID="_x0000_i1026" DrawAspect="Content" ObjectID="_1799062302" r:id="rId30"/>
        </w:object>
      </w:r>
    </w:p>
    <w:p w14:paraId="4E535B13" w14:textId="77777777" w:rsidR="00A92AC8" w:rsidRDefault="00A92AC8" w:rsidP="00A92AC8">
      <w:r w:rsidRPr="00945938">
        <w:rPr>
          <w:b/>
          <w:bCs/>
        </w:rPr>
        <w:lastRenderedPageBreak/>
        <w:t xml:space="preserve">Table </w:t>
      </w:r>
      <w:r>
        <w:rPr>
          <w:b/>
          <w:bCs/>
        </w:rPr>
        <w:t>S</w:t>
      </w:r>
      <w:r w:rsidRPr="00945938">
        <w:rPr>
          <w:b/>
          <w:bCs/>
        </w:rPr>
        <w:t>6</w:t>
      </w:r>
      <w:r>
        <w:t xml:space="preserve">. </w:t>
      </w:r>
      <w:r w:rsidRPr="04604729">
        <w:t>Geospatial datasets collected, assembled, processed, and converted into annual covariates at the administrative unit Level 1 for 2018 and 2019.</w:t>
      </w:r>
    </w:p>
    <w:p w14:paraId="6ED9BA2C" w14:textId="77777777" w:rsidR="00A92AC8" w:rsidRPr="00D31FAA" w:rsidRDefault="00A92AC8" w:rsidP="00A92AC8">
      <w:pPr>
        <w:rPr>
          <w:b/>
          <w:bCs/>
        </w:rPr>
      </w:pPr>
      <w:r w:rsidRPr="00D31FAA">
        <w:rPr>
          <w:b/>
          <w:bCs/>
        </w:rPr>
        <w:t>Performance metrics</w:t>
      </w:r>
      <w:r>
        <w:rPr>
          <w:b/>
          <w:bCs/>
        </w:rPr>
        <w:t xml:space="preserve"> for OLS models</w:t>
      </w:r>
    </w:p>
    <w:p w14:paraId="31C814C2" w14:textId="77777777" w:rsidR="00A92AC8" w:rsidRDefault="00A92AC8" w:rsidP="00A92AC8">
      <w:r>
        <w:t>Common performance metrics such as the coefficient of determination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adjusted coefficient of determination (</w:t>
      </w:r>
      <m:oMath>
        <m:sSubSup>
          <m:sSubSupPr>
            <m:ctrlPr>
              <w:rPr>
                <w:rFonts w:ascii="Cambria Math" w:hAnsi="Cambria Math"/>
                <w:i/>
              </w:rPr>
            </m:ctrlPr>
          </m:sSubSupPr>
          <m:e>
            <m:r>
              <w:rPr>
                <w:rFonts w:ascii="Cambria Math" w:hAnsi="Cambria Math"/>
              </w:rPr>
              <m:t>R</m:t>
            </m:r>
          </m:e>
          <m:sub>
            <m:r>
              <w:rPr>
                <w:rFonts w:ascii="Cambria Math" w:hAnsi="Cambria Math"/>
              </w:rPr>
              <m:t>adj</m:t>
            </m:r>
          </m:sub>
          <m:sup>
            <m:r>
              <w:rPr>
                <w:rFonts w:ascii="Cambria Math" w:hAnsi="Cambria Math"/>
              </w:rPr>
              <m:t>2</m:t>
            </m:r>
          </m:sup>
        </m:sSubSup>
      </m:oMath>
      <w:r>
        <w:t xml:space="preserve">), and various test statistics (i.e. t-value, p-value) are used to assess model performance, and estimated residuals and variance inflation factor (VIF) are used to check model fit and to validate assumptions.  Other performance metrics not commonly used are defined here followed by a description of their usage.  For data of size </w:t>
      </w:r>
      <w:r w:rsidRPr="002A656C">
        <w:rPr>
          <w:i/>
          <w:iCs/>
        </w:rPr>
        <w:t>n</w:t>
      </w:r>
      <w:r>
        <w:t xml:space="preserve"> and number of regressors </w:t>
      </w:r>
      <w:r w:rsidRPr="002A656C">
        <w:rPr>
          <w:i/>
          <w:iCs/>
        </w:rPr>
        <w:t>p</w:t>
      </w:r>
      <w:r>
        <w:t xml:space="preserve">, </w:t>
      </w:r>
    </w:p>
    <w:p w14:paraId="63D12A2B" w14:textId="77777777" w:rsidR="00A92AC8" w:rsidRPr="00A63341" w:rsidRDefault="00A92AC8" w:rsidP="00A92AC8">
      <w:pPr>
        <w:rPr>
          <w:b/>
          <w:bCs/>
          <w:i/>
          <w:iCs/>
        </w:rPr>
      </w:pPr>
      <w:r w:rsidRPr="00A63341">
        <w:rPr>
          <w:b/>
          <w:bCs/>
          <w:i/>
          <w:iCs/>
        </w:rPr>
        <w:t>Variance decomposition proportions (VDP)</w:t>
      </w:r>
    </w:p>
    <w:p w14:paraId="6A4BAFB3" w14:textId="77777777" w:rsidR="00A92AC8" w:rsidRDefault="00A92AC8" w:rsidP="00A92AC8">
      <w:r>
        <w:t>[complete this last, need to simplify expression]</w:t>
      </w:r>
    </w:p>
    <w:p w14:paraId="74A05E6F" w14:textId="77777777" w:rsidR="00A92AC8" w:rsidRPr="00A63341" w:rsidRDefault="00A92AC8" w:rsidP="00A92AC8">
      <w:pPr>
        <w:rPr>
          <w:b/>
          <w:bCs/>
          <w:i/>
          <w:iCs/>
        </w:rPr>
      </w:pPr>
      <w:r w:rsidRPr="00A63341">
        <w:rPr>
          <w:b/>
          <w:bCs/>
          <w:i/>
          <w:iCs/>
        </w:rPr>
        <w:t>Prediction sum of squares (PRESS)</w:t>
      </w:r>
    </w:p>
    <w:p w14:paraId="4753C48E" w14:textId="77777777" w:rsidR="00A92AC8" w:rsidRDefault="00A92AC8" w:rsidP="00A92AC8">
      <w:r>
        <w:t xml:space="preserve">PRESS is a </w:t>
      </w:r>
      <w:r w:rsidRPr="0054763A">
        <w:rPr>
          <w:i/>
          <w:iCs/>
        </w:rPr>
        <w:t>leave-one-out</w:t>
      </w:r>
      <w:r>
        <w:t xml:space="preserve"> statistic that is calculated by omitting each observation individually and then regressing the remaining </w:t>
      </w:r>
      <m:oMath>
        <m:r>
          <w:rPr>
            <w:rFonts w:ascii="Cambria Math" w:hAnsi="Cambria Math"/>
          </w:rPr>
          <m:t>n-1</m:t>
        </m:r>
      </m:oMath>
      <w:r>
        <w:t xml:space="preserve"> observations, denoted by </w:t>
      </w:r>
      <m:oMath>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i(i)</m:t>
            </m:r>
          </m:sub>
        </m:sSub>
      </m:oMath>
      <w:r>
        <w:t xml:space="preserve">.  We calculate the </w:t>
      </w:r>
      <m:oMath>
        <m:sSup>
          <m:sSupPr>
            <m:ctrlPr>
              <w:rPr>
                <w:rFonts w:ascii="Cambria Math" w:hAnsi="Cambria Math"/>
                <w:i/>
              </w:rPr>
            </m:ctrlPr>
          </m:sSupPr>
          <m:e>
            <m:r>
              <w:rPr>
                <w:rFonts w:ascii="Cambria Math" w:hAnsi="Cambria Math"/>
              </w:rPr>
              <m:t>i</m:t>
            </m:r>
          </m:e>
          <m:sup>
            <m:r>
              <w:rPr>
                <w:rFonts w:ascii="Cambria Math" w:hAnsi="Cambria Math"/>
              </w:rPr>
              <m:t>th</m:t>
            </m:r>
          </m:sup>
        </m:sSup>
      </m:oMath>
      <w:r>
        <w:t xml:space="preserve"> PRESS residual as </w:t>
      </w:r>
      <m:oMath>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i(i)</m:t>
            </m:r>
          </m:sub>
        </m:sSub>
      </m:oMath>
      <w:r>
        <w:t>.  Then the PRESS statistics is given by the following sum of squares</w:t>
      </w:r>
    </w:p>
    <w:p w14:paraId="73A85BB7" w14:textId="77777777" w:rsidR="00A92AC8" w:rsidRDefault="00A92AC8" w:rsidP="00A92AC8">
      <w:pPr>
        <w:jc w:val="center"/>
      </w:pPr>
      <m:oMath>
        <m:r>
          <w:rPr>
            <w:rFonts w:ascii="Cambria Math" w:hAnsi="Cambria Math"/>
          </w:rPr>
          <m:t>PRESS=</m:t>
        </m:r>
        <m:nary>
          <m:naryPr>
            <m:chr m:val="∑"/>
            <m:limLoc m:val="subSup"/>
            <m:ctrlPr>
              <w:rPr>
                <w:rFonts w:ascii="Cambria Math" w:hAnsi="Cambria Math"/>
                <w:i/>
              </w:rPr>
            </m:ctrlPr>
          </m:naryPr>
          <m:sub>
            <m:r>
              <w:rPr>
                <w:rFonts w:ascii="Cambria Math" w:hAnsi="Cambria Math"/>
              </w:rPr>
              <m:t>i=1</m:t>
            </m:r>
          </m:sub>
          <m:sup>
            <m:r>
              <w:rPr>
                <w:rFonts w:ascii="Cambria Math" w:hAnsi="Cambria Math"/>
              </w:rPr>
              <m:t>n</m:t>
            </m:r>
          </m:sup>
          <m:e>
            <m:sSup>
              <m:sSupPr>
                <m:ctrlPr>
                  <w:rPr>
                    <w:rFonts w:ascii="Cambria Math" w:hAnsi="Cambria Math"/>
                    <w:i/>
                  </w:rPr>
                </m:ctrlPr>
              </m:sSupPr>
              <m:e>
                <m:d>
                  <m:dPr>
                    <m:ctrlPr>
                      <w:rPr>
                        <w:rFonts w:ascii="Cambria Math" w:hAnsi="Cambria Math"/>
                        <w:i/>
                      </w:rPr>
                    </m:ctrlPr>
                  </m:dPr>
                  <m:e>
                    <m:sSub>
                      <m:sSubPr>
                        <m:ctrlPr>
                          <w:rPr>
                            <w:rFonts w:ascii="Cambria Math" w:hAnsi="Cambria Math"/>
                            <w:i/>
                          </w:rPr>
                        </m:ctrlPr>
                      </m:sSubPr>
                      <m:e>
                        <m:r>
                          <w:rPr>
                            <w:rFonts w:ascii="Cambria Math" w:hAnsi="Cambria Math"/>
                          </w:rPr>
                          <m:t>y</m:t>
                        </m:r>
                      </m:e>
                      <m:sub>
                        <m:r>
                          <w:rPr>
                            <w:rFonts w:ascii="Cambria Math" w:hAnsi="Cambria Math"/>
                          </w:rPr>
                          <m:t>i</m:t>
                        </m:r>
                      </m:sub>
                    </m:sSub>
                    <m:r>
                      <w:rPr>
                        <w:rFonts w:ascii="Cambria Math" w:hAnsi="Cambria Math"/>
                      </w:rPr>
                      <m:t>-</m:t>
                    </m:r>
                    <m:sSub>
                      <m:sSubPr>
                        <m:ctrlPr>
                          <w:rPr>
                            <w:rFonts w:ascii="Cambria Math" w:hAnsi="Cambria Math"/>
                            <w:i/>
                          </w:rPr>
                        </m:ctrlPr>
                      </m:sSubPr>
                      <m:e>
                        <m:acc>
                          <m:accPr>
                            <m:ctrlPr>
                              <w:rPr>
                                <w:rFonts w:ascii="Cambria Math" w:hAnsi="Cambria Math"/>
                                <w:i/>
                              </w:rPr>
                            </m:ctrlPr>
                          </m:accPr>
                          <m:e>
                            <m:r>
                              <w:rPr>
                                <w:rFonts w:ascii="Cambria Math" w:hAnsi="Cambria Math"/>
                              </w:rPr>
                              <m:t>y</m:t>
                            </m:r>
                          </m:e>
                        </m:acc>
                      </m:e>
                      <m:sub>
                        <m:r>
                          <w:rPr>
                            <w:rFonts w:ascii="Cambria Math" w:hAnsi="Cambria Math"/>
                          </w:rPr>
                          <m:t>i(i)</m:t>
                        </m:r>
                      </m:sub>
                    </m:sSub>
                  </m:e>
                </m:d>
              </m:e>
              <m:sup>
                <m:r>
                  <w:rPr>
                    <w:rFonts w:ascii="Cambria Math" w:hAnsi="Cambria Math"/>
                  </w:rPr>
                  <m:t>2</m:t>
                </m:r>
              </m:sup>
            </m:sSup>
          </m:e>
        </m:nary>
      </m:oMath>
      <w:r>
        <w:t>.</w:t>
      </w:r>
    </w:p>
    <w:p w14:paraId="1CD37D69" w14:textId="77777777" w:rsidR="00A92AC8" w:rsidRDefault="00A92AC8" w:rsidP="00A92AC8">
      <w:r>
        <w:t xml:space="preserve">In general, the smaller the PRESS value, the better the predictability of the model.  </w:t>
      </w:r>
    </w:p>
    <w:p w14:paraId="787ED76B" w14:textId="77777777" w:rsidR="00A92AC8" w:rsidRPr="00A63341" w:rsidRDefault="00A92AC8" w:rsidP="00A92AC8">
      <w:pPr>
        <w:rPr>
          <w:b/>
          <w:bCs/>
          <w:i/>
          <w:iCs/>
        </w:rPr>
      </w:pPr>
      <w:r w:rsidRPr="00A63341">
        <w:rPr>
          <w:b/>
          <w:bCs/>
          <w:i/>
          <w:iCs/>
        </w:rPr>
        <w:t>Predictive R</w:t>
      </w:r>
      <w:r w:rsidRPr="00A63341">
        <w:rPr>
          <w:b/>
          <w:bCs/>
          <w:i/>
          <w:iCs/>
          <w:vertAlign w:val="superscript"/>
        </w:rPr>
        <w:t>2</w:t>
      </w:r>
    </w:p>
    <w:p w14:paraId="351B1F81" w14:textId="77777777" w:rsidR="00A92AC8" w:rsidRDefault="00A92AC8" w:rsidP="00A92AC8">
      <w:r>
        <w:t xml:space="preserve">PRESS can also be used to assess model overfit through predicted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which is defined as</w:t>
      </w:r>
    </w:p>
    <w:p w14:paraId="6C94669C" w14:textId="77777777" w:rsidR="00A92AC8" w:rsidRDefault="00A92AC8" w:rsidP="00A92AC8">
      <w:pPr>
        <w:jc w:val="center"/>
      </w:pPr>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r>
          <w:rPr>
            <w:rFonts w:ascii="Cambria Math" w:hAnsi="Cambria Math"/>
          </w:rPr>
          <m:t>=1-</m:t>
        </m:r>
        <m:f>
          <m:fPr>
            <m:ctrlPr>
              <w:rPr>
                <w:rFonts w:ascii="Cambria Math" w:hAnsi="Cambria Math"/>
                <w:i/>
              </w:rPr>
            </m:ctrlPr>
          </m:fPr>
          <m:num>
            <m:r>
              <w:rPr>
                <w:rFonts w:ascii="Cambria Math" w:hAnsi="Cambria Math"/>
              </w:rPr>
              <m:t>PRESS</m:t>
            </m:r>
          </m:num>
          <m:den>
            <m:r>
              <w:rPr>
                <w:rFonts w:ascii="Cambria Math" w:hAnsi="Cambria Math"/>
              </w:rPr>
              <m:t>SST</m:t>
            </m:r>
          </m:den>
        </m:f>
      </m:oMath>
      <w:r>
        <w:t>,</w:t>
      </w:r>
    </w:p>
    <w:p w14:paraId="14316B35" w14:textId="77777777" w:rsidR="00A92AC8" w:rsidRPr="00C65D44" w:rsidRDefault="00A92AC8" w:rsidP="00A92AC8">
      <w:r>
        <w:t xml:space="preserve">where </w:t>
      </w:r>
      <m:oMath>
        <m:r>
          <w:rPr>
            <w:rFonts w:ascii="Cambria Math" w:hAnsi="Cambria Math"/>
          </w:rPr>
          <m:t>SST</m:t>
        </m:r>
      </m:oMath>
      <w:r>
        <w:t xml:space="preserve"> is the total sum of squares.  </w:t>
      </w:r>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oMath>
      <w:r>
        <w:t xml:space="preserve"> values will always be less than </w:t>
      </w:r>
      <w:bookmarkStart w:id="0" w:name="_Hlk186490569"/>
      <m:oMath>
        <m:sSup>
          <m:sSupPr>
            <m:ctrlPr>
              <w:rPr>
                <w:rFonts w:ascii="Cambria Math" w:hAnsi="Cambria Math"/>
                <w:i/>
              </w:rPr>
            </m:ctrlPr>
          </m:sSupPr>
          <m:e>
            <m:r>
              <w:rPr>
                <w:rFonts w:ascii="Cambria Math" w:hAnsi="Cambria Math"/>
              </w:rPr>
              <m:t>R</m:t>
            </m:r>
          </m:e>
          <m:sup>
            <m:r>
              <w:rPr>
                <w:rFonts w:ascii="Cambria Math" w:hAnsi="Cambria Math"/>
              </w:rPr>
              <m:t>2</m:t>
            </m:r>
          </m:sup>
        </m:sSup>
      </m:oMath>
      <w:bookmarkEnd w:id="0"/>
      <w:r>
        <w:t xml:space="preserve">, but for a well fit model, </w:t>
      </w:r>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oMath>
      <w:r>
        <w:t xml:space="preserve"> values usually exceed half the value of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Negative values or very small values relative to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indicates an overfit model.  For OLS regression, </w:t>
      </w:r>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oMath>
      <w:r>
        <w:t xml:space="preserve"> is used to validate the model.</w:t>
      </w:r>
    </w:p>
    <w:p w14:paraId="46EA7F89" w14:textId="77777777" w:rsidR="00A92AC8" w:rsidRDefault="00A92AC8" w:rsidP="00A92AC8">
      <w:r>
        <w:t>VIF metrics combined with variance decomposition proportions (VDP) tables are used to assess model ill conditioning due to multicollinearity among model terms.  VIF values over 10 are considered high and should be addressed, and while moderate VIF values between 5 and 10 are suspect, they are usually not too problematic for statistical inference</w:t>
      </w:r>
      <w:r>
        <w:fldChar w:fldCharType="begin"/>
      </w:r>
      <w:r>
        <w:instrText xml:space="preserve"> ADDIN ZOTERO_ITEM CSL_CITATION {"citationID":"2xoFUlzf","properties":{"formattedCitation":"\\super 40\\nosupersub{}","plainCitation":"40","noteIndex":0},"citationItems":[{"id":4608,"uris":["http://zotero.org/users/5414536/items/TTTRAECD"],"itemData":{"id":4608,"type":"article-journal","abstract":"A procedure that can be used to evaluate the variance inflation factors and tolerance indices in linear regression models is discussed. The method permits both point and interval estimation of these factors and indices associated with explanatory variables considered for inclusion in a regression model. The approach makes use of popular latent variable modeling software to obtain these point and interval estimates. The procedure allows more informed evaluation of these quantities when addressing multicollinearity-related issues in empirical research using regression models. The method is illustrated on an empirical example using the popular software Mplus. Results of a simulation study investigating the capabilities of the procedure are also presented.","container-title":"Educational and Psychological Measurement","DOI":"10.1177/0013164418817803","ISSN":"0013-1644, 1552-3888","issue":"5","journalAbbreviation":"Educational and Psychological Measurement","language":"en","page":"874-882","source":"DOI.org (Crossref)","title":"Evaluation of Variance Inflation Factors in Regression Models Using Latent Variable Modeling Methods","volume":"79","author":[{"family":"Marcoulides","given":"Katerina M."},{"family":"Raykov","given":"Tenko"}],"issued":{"date-parts":[["2019",10]]}}}],"schema":"https://github.com/citation-style-language/schema/raw/master/csl-citation.json"} </w:instrText>
      </w:r>
      <w:r>
        <w:fldChar w:fldCharType="separate"/>
      </w:r>
      <w:r w:rsidRPr="00A766AF">
        <w:rPr>
          <w:rFonts w:eastAsia="SimSun"/>
          <w:szCs w:val="24"/>
          <w:vertAlign w:val="superscript"/>
          <w:lang w:eastAsia="en-US"/>
        </w:rPr>
        <w:t>40</w:t>
      </w:r>
      <w:r>
        <w:fldChar w:fldCharType="end"/>
      </w:r>
      <w:r>
        <w:t>.  Although VIF indicates problems with model specification, the metric does not address which terms are involved in the multicollinearity.  A VDP isolates which two (or more) terms are generating the collinearity, where a high condition index indicates the presence of high collinearity and corresponding high VDP values identifies the collinear terms</w:t>
      </w:r>
      <w:r>
        <w:fldChar w:fldCharType="begin"/>
      </w:r>
      <w:r>
        <w:instrText xml:space="preserve"> ADDIN ZOTERO_ITEM CSL_CITATION {"citationID":"UHeADT3X","properties":{"formattedCitation":"\\super 41\\nosupersub{}","plainCitation":"41","noteIndex":0},"citationItems":[{"id":1924,"uris":["http://zotero.org/users/5414536/items/I7M34WEN"],"itemData":{"id":1924,"type":"book","abstract":"This book provides practicing statisticians and econometricians with new tools for assessing quality and reliability of regression estimates. Diagnostic techniques are developed that aid in the systematic location of data points that are unusual or inordinately influential, and measure the presence and intensity of collinear relations among the regression data and help to identify variables involved in each and pinpoint estimated coefficients potentially most adversely affected. It emphasizes diagnostics and includes suggestions for remedial action.","event-place":"New York","ISBN":"978-0-471-05856-4","language":"English","note":"OCLC: 5333704","publisher":"Wiley","publisher-place":"New York","source":"Open WorldCat","title":"Regression diagnostics: identifying influential data and sources of collinearity","title-short":"Regression diagnostics","author":[{"family":"Belsley","given":"David A"},{"family":"Kuh","given":"Edwin"},{"family":"Welsch","given":"Roy E"}],"issued":{"date-parts":[["1980"]]}}}],"schema":"https://github.com/citation-style-language/schema/raw/master/csl-citation.json"} </w:instrText>
      </w:r>
      <w:r>
        <w:fldChar w:fldCharType="separate"/>
      </w:r>
      <w:r w:rsidRPr="00A766AF">
        <w:rPr>
          <w:rFonts w:eastAsia="SimSun"/>
          <w:szCs w:val="24"/>
          <w:vertAlign w:val="superscript"/>
          <w:lang w:eastAsia="en-US"/>
        </w:rPr>
        <w:t>41</w:t>
      </w:r>
      <w:r>
        <w:fldChar w:fldCharType="end"/>
      </w:r>
      <w:r>
        <w:t xml:space="preserve">.  Predicted </w:t>
      </w:r>
      <w:r w:rsidRPr="00C772B7">
        <w:rPr>
          <w:i/>
          <w:iCs/>
        </w:rPr>
        <w:t>R</w:t>
      </w:r>
      <w:r w:rsidRPr="007C16B2">
        <w:rPr>
          <w:vertAlign w:val="superscript"/>
        </w:rPr>
        <w:t>2</w:t>
      </w:r>
      <w:r>
        <w:t>, which is based on a PRESS statistic</w:t>
      </w:r>
      <w:r>
        <w:fldChar w:fldCharType="begin"/>
      </w:r>
      <w:r>
        <w:instrText xml:space="preserve"> ADDIN ZOTERO_ITEM CSL_CITATION {"citationID":"RKXtJ6UK","properties":{"formattedCitation":"\\super 42\\nosupersub{}","plainCitation":"42","noteIndex":0},"citationItems":[{"id":4610,"uris":["http://zotero.org/users/5414536/items/58Z9F4KS"],"itemData":{"id":4610,"type":"article-journal","abstract":"There is a well-known simple formula for computing prediction sum of squares (PRESS) residuals in a regression problem without having to refit the curve for each observation. This note shows that the same basic result holds for fitting a regression function when the regression coefficients are subject to linear constraints.","container-title":"The American Statistician","DOI":"10.2307/2686028","ISSN":"0003-1305","issue":"2","note":"publisher: [American Statistical Association, Taylor &amp; Francis, Ltd.]","page":"116-118","source":"JSTOR","title":"A Note on the Prediction Sum of Squares Statistic for Restricted Least Squares","volume":"54","author":[{"family":"Tarpey","given":"Thaddeus"}],"issued":{"date-parts":[["2000"]]}}}],"schema":"https://github.com/citation-style-language/schema/raw/master/csl-citation.json"} </w:instrText>
      </w:r>
      <w:r>
        <w:fldChar w:fldCharType="separate"/>
      </w:r>
      <w:r w:rsidRPr="00A766AF">
        <w:rPr>
          <w:rFonts w:eastAsia="SimSun"/>
          <w:szCs w:val="24"/>
          <w:vertAlign w:val="superscript"/>
          <w:lang w:eastAsia="en-US"/>
        </w:rPr>
        <w:t>42</w:t>
      </w:r>
      <w:r>
        <w:fldChar w:fldCharType="end"/>
      </w:r>
      <w:r>
        <w:rPr>
          <w:vertAlign w:val="superscript"/>
        </w:rPr>
        <w:t>,</w:t>
      </w:r>
      <w:r>
        <w:fldChar w:fldCharType="begin"/>
      </w:r>
      <w:r>
        <w:instrText xml:space="preserve"> ADDIN ZOTERO_ITEM CSL_CITATION {"citationID":"dO55U1Yu","properties":{"formattedCitation":"\\super 43\\nosupersub{}","plainCitation":"43","noteIndex":0},"citationItems":[{"id":4612,"uris":["http://zotero.org/users/5414536/items/AQYYLV52"],"itemData":{"id":4612,"type":"article-journal","abstract":"The amount of variance explained is widely reported for quantifying the model fit of a multiple linear regression model. The default adjusted R-squared estimator has the disadvantage of not being unbiased. The theoretically optimal Olkin-Pratt estimator is unbiased. Despite this, it is not being used due to being difficult to compute. In this paper, I present an algorithm for the exact and fast computation of the Olkin-Pratt estimator, which facilitates its use. I compare the Olkin-Pratt, the adjusted R-squared, and 18 alternative estimators using a simulation study. The metrics I use for comparison closely resemble established theoretical optimality properties. Importantly, the exact Olkin-Pratt estimator is shown to be optimal under the standard metric, which considers an estimator optimal if it has the least mean squared error among all unbiased estimators. Under the important alternative metric, which aims for the estimator with the lowest mean squared error, no optimal estimator could be identified. Based on these results, I provide careful recommendations on when to use which estimator, which first and foremost depends on the choice of which metric is deemed most appropriate. If such a choice is infeasible, I recommend using the exact Olkin-Pratt instead of the default adjusted R-squared estimator. To facilitate this, I provide the R package altR2, which implements the Olkin-Pratt estimator as well as all other estimators.","container-title":"Collabra: Psychology","DOI":"10.1525/collabra.343","ISSN":"2474-7394","issue":"1","journalAbbreviation":"Collabra: Psychology","page":"45","source":"Silverchair","title":"Improving on Adjusted R-Squared","volume":"6","author":[{"family":"Karch","given":"Julian"}],"editor":[{"family":"Ravenzwaaij","given":"Don","non-dropping-particle":"van"},{"family":"Ravenzwaaij","given":"Don","non-dropping-particle":"van"}],"issued":{"date-parts":[["2020",9,29]]}}}],"schema":"https://github.com/citation-style-language/schema/raw/master/csl-citation.json"} </w:instrText>
      </w:r>
      <w:r>
        <w:fldChar w:fldCharType="separate"/>
      </w:r>
      <w:r w:rsidRPr="00A766AF">
        <w:rPr>
          <w:rFonts w:eastAsia="SimSun"/>
          <w:szCs w:val="24"/>
          <w:vertAlign w:val="superscript"/>
          <w:lang w:eastAsia="en-US"/>
        </w:rPr>
        <w:t>43</w:t>
      </w:r>
      <w:r>
        <w:fldChar w:fldCharType="end"/>
      </w:r>
      <w:r>
        <w:t xml:space="preserve">, is used to evaluate model overfit as values for an overfit model are quite small relative to the </w:t>
      </w:r>
      <w:r w:rsidRPr="00C772B7">
        <w:rPr>
          <w:i/>
          <w:iCs/>
        </w:rPr>
        <w:t>R</w:t>
      </w:r>
      <w:r w:rsidRPr="007C16B2">
        <w:rPr>
          <w:vertAlign w:val="superscript"/>
        </w:rPr>
        <w:t>2</w:t>
      </w:r>
      <w:r>
        <w:t xml:space="preserve">.  Predicted </w:t>
      </w:r>
      <w:r w:rsidRPr="00C772B7">
        <w:rPr>
          <w:i/>
          <w:iCs/>
        </w:rPr>
        <w:t>R</w:t>
      </w:r>
      <w:r w:rsidRPr="007C16B2">
        <w:rPr>
          <w:vertAlign w:val="superscript"/>
        </w:rPr>
        <w:t>2</w:t>
      </w:r>
      <w:r>
        <w:t xml:space="preserve"> values that are at least half the </w:t>
      </w:r>
      <w:r w:rsidRPr="00C772B7">
        <w:rPr>
          <w:i/>
          <w:iCs/>
        </w:rPr>
        <w:t>R</w:t>
      </w:r>
      <w:r w:rsidRPr="003D1517">
        <w:rPr>
          <w:vertAlign w:val="superscript"/>
        </w:rPr>
        <w:t>2</w:t>
      </w:r>
      <w:r>
        <w:t xml:space="preserve"> value indicates no overfit; and hence, models on the Bayesian side are already pre-validated through OLS model validation.  Performance statistics are listed for all OLS regression models in the Supplementary Information 2, where the ratios for </w:t>
      </w:r>
      <m:oMath>
        <m:sSubSup>
          <m:sSubSupPr>
            <m:ctrlPr>
              <w:rPr>
                <w:rFonts w:ascii="Cambria Math" w:hAnsi="Cambria Math"/>
                <w:i/>
              </w:rPr>
            </m:ctrlPr>
          </m:sSubSupPr>
          <m:e>
            <m:r>
              <w:rPr>
                <w:rFonts w:ascii="Cambria Math" w:hAnsi="Cambria Math"/>
              </w:rPr>
              <m:t>R</m:t>
            </m:r>
          </m:e>
          <m:sub>
            <m:r>
              <w:rPr>
                <w:rFonts w:ascii="Cambria Math" w:hAnsi="Cambria Math"/>
              </w:rPr>
              <m:t>adj</m:t>
            </m:r>
          </m:sub>
          <m:sup>
            <m:r>
              <w:rPr>
                <w:rFonts w:ascii="Cambria Math" w:hAnsi="Cambria Math"/>
              </w:rPr>
              <m:t>2</m:t>
            </m:r>
          </m:sup>
        </m:sSubSup>
      </m:oMath>
      <w:r>
        <w:t xml:space="preserve"> to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and </w:t>
      </w:r>
      <m:oMath>
        <m:sSubSup>
          <m:sSubSupPr>
            <m:ctrlPr>
              <w:rPr>
                <w:rFonts w:ascii="Cambria Math" w:hAnsi="Cambria Math"/>
                <w:i/>
              </w:rPr>
            </m:ctrlPr>
          </m:sSubSupPr>
          <m:e>
            <m:r>
              <w:rPr>
                <w:rFonts w:ascii="Cambria Math" w:hAnsi="Cambria Math"/>
              </w:rPr>
              <m:t>R</m:t>
            </m:r>
          </m:e>
          <m:sub>
            <m:r>
              <w:rPr>
                <w:rFonts w:ascii="Cambria Math" w:hAnsi="Cambria Math"/>
              </w:rPr>
              <m:t>pred</m:t>
            </m:r>
          </m:sub>
          <m:sup>
            <m:r>
              <w:rPr>
                <w:rFonts w:ascii="Cambria Math" w:hAnsi="Cambria Math"/>
              </w:rPr>
              <m:t>2</m:t>
            </m:r>
          </m:sup>
        </m:sSubSup>
      </m:oMath>
      <w:r>
        <w:t xml:space="preserve"> to </w:t>
      </w:r>
      <m:oMath>
        <m:sSup>
          <m:sSupPr>
            <m:ctrlPr>
              <w:rPr>
                <w:rFonts w:ascii="Cambria Math" w:hAnsi="Cambria Math"/>
                <w:i/>
              </w:rPr>
            </m:ctrlPr>
          </m:sSupPr>
          <m:e>
            <m:r>
              <w:rPr>
                <w:rFonts w:ascii="Cambria Math" w:hAnsi="Cambria Math"/>
              </w:rPr>
              <m:t>R</m:t>
            </m:r>
          </m:e>
          <m:sup>
            <m:r>
              <w:rPr>
                <w:rFonts w:ascii="Cambria Math" w:hAnsi="Cambria Math"/>
              </w:rPr>
              <m:t>2</m:t>
            </m:r>
          </m:sup>
        </m:sSup>
      </m:oMath>
      <w:r>
        <w:t xml:space="preserve"> facilitate model quality assessment.</w:t>
      </w:r>
    </w:p>
    <w:p w14:paraId="7021575C" w14:textId="77777777" w:rsidR="00DE6AE2" w:rsidRDefault="00DE6AE2"/>
    <w:sectPr w:rsidR="00DE6AE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2AC8"/>
    <w:rsid w:val="00A3738C"/>
    <w:rsid w:val="00A92AC8"/>
    <w:rsid w:val="00DE6AE2"/>
    <w:rsid w:val="00F06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C5CCA"/>
  <w15:chartTrackingRefBased/>
  <w15:docId w15:val="{283329FF-8034-4A2E-8D65-AB069D4C6D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2AC8"/>
    <w:rPr>
      <w:rFonts w:ascii="Calibri" w:eastAsia="Calibri" w:hAnsi="Calibri" w:cs="Calibri"/>
      <w:kern w:val="0"/>
      <w:lang w:val="en-GB" w:eastAsia="en-GB"/>
      <w14:ligatures w14:val="none"/>
    </w:rPr>
  </w:style>
  <w:style w:type="paragraph" w:styleId="Heading1">
    <w:name w:val="heading 1"/>
    <w:basedOn w:val="Normal"/>
    <w:next w:val="Normal"/>
    <w:link w:val="Heading1Char"/>
    <w:uiPriority w:val="9"/>
    <w:qFormat/>
    <w:rsid w:val="00A92AC8"/>
    <w:pPr>
      <w:keepNext/>
      <w:keepLines/>
      <w:spacing w:before="360" w:after="80"/>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92AC8"/>
    <w:pPr>
      <w:keepNext/>
      <w:keepLines/>
      <w:spacing w:before="160" w:after="80"/>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92AC8"/>
    <w:pPr>
      <w:keepNext/>
      <w:keepLines/>
      <w:spacing w:before="160" w:after="80"/>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92AC8"/>
    <w:pPr>
      <w:keepNext/>
      <w:keepLines/>
      <w:spacing w:before="80" w:after="40"/>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A92AC8"/>
    <w:pPr>
      <w:keepNext/>
      <w:keepLines/>
      <w:spacing w:before="80" w:after="40"/>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A92AC8"/>
    <w:pPr>
      <w:keepNext/>
      <w:keepLines/>
      <w:spacing w:before="40" w:after="0"/>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A92AC8"/>
    <w:pPr>
      <w:keepNext/>
      <w:keepLines/>
      <w:spacing w:before="40" w:after="0"/>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A92AC8"/>
    <w:pPr>
      <w:keepNext/>
      <w:keepLines/>
      <w:spacing w:after="0"/>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A92AC8"/>
    <w:pPr>
      <w:keepNext/>
      <w:keepLines/>
      <w:spacing w:after="0"/>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92AC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92AC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92AC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92AC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92AC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92AC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92AC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92AC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92AC8"/>
    <w:rPr>
      <w:rFonts w:eastAsiaTheme="majorEastAsia" w:cstheme="majorBidi"/>
      <w:color w:val="272727" w:themeColor="text1" w:themeTint="D8"/>
    </w:rPr>
  </w:style>
  <w:style w:type="paragraph" w:styleId="Title">
    <w:name w:val="Title"/>
    <w:basedOn w:val="Normal"/>
    <w:next w:val="Normal"/>
    <w:link w:val="TitleChar"/>
    <w:uiPriority w:val="10"/>
    <w:qFormat/>
    <w:rsid w:val="00A92AC8"/>
    <w:pPr>
      <w:spacing w:after="80" w:line="240" w:lineRule="auto"/>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92AC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92AC8"/>
    <w:pPr>
      <w:numPr>
        <w:ilvl w:val="1"/>
      </w:numPr>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92AC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92AC8"/>
    <w:pPr>
      <w:spacing w:before="160"/>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A92AC8"/>
    <w:rPr>
      <w:i/>
      <w:iCs/>
      <w:color w:val="404040" w:themeColor="text1" w:themeTint="BF"/>
    </w:rPr>
  </w:style>
  <w:style w:type="paragraph" w:styleId="ListParagraph">
    <w:name w:val="List Paragraph"/>
    <w:basedOn w:val="Normal"/>
    <w:uiPriority w:val="34"/>
    <w:qFormat/>
    <w:rsid w:val="00A92AC8"/>
    <w:pPr>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A92AC8"/>
    <w:rPr>
      <w:i/>
      <w:iCs/>
      <w:color w:val="0F4761" w:themeColor="accent1" w:themeShade="BF"/>
    </w:rPr>
  </w:style>
  <w:style w:type="paragraph" w:styleId="IntenseQuote">
    <w:name w:val="Intense Quote"/>
    <w:basedOn w:val="Normal"/>
    <w:next w:val="Normal"/>
    <w:link w:val="IntenseQuoteChar"/>
    <w:uiPriority w:val="30"/>
    <w:qFormat/>
    <w:rsid w:val="00A92AC8"/>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A92AC8"/>
    <w:rPr>
      <w:i/>
      <w:iCs/>
      <w:color w:val="0F4761" w:themeColor="accent1" w:themeShade="BF"/>
    </w:rPr>
  </w:style>
  <w:style w:type="character" w:styleId="IntenseReference">
    <w:name w:val="Intense Reference"/>
    <w:basedOn w:val="DefaultParagraphFont"/>
    <w:uiPriority w:val="32"/>
    <w:qFormat/>
    <w:rsid w:val="00A92AC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ds.climate.copernicus.eu/cdsapp" TargetMode="External"/><Relationship Id="rId13" Type="http://schemas.openxmlformats.org/officeDocument/2006/relationships/hyperlink" Target="https://www.nature.com/articles/srep34541" TargetMode="External"/><Relationship Id="rId18" Type="http://schemas.openxmlformats.org/officeDocument/2006/relationships/hyperlink" Target="https://ghsl.jrc.ec.europa.eu/download.php?ds=pop" TargetMode="External"/><Relationship Id="rId26" Type="http://schemas.openxmlformats.org/officeDocument/2006/relationships/hyperlink" Target="https://gadm.org/download_country_v3.html" TargetMode="External"/><Relationship Id="rId3" Type="http://schemas.openxmlformats.org/officeDocument/2006/relationships/webSettings" Target="webSettings.xml"/><Relationship Id="rId21" Type="http://schemas.openxmlformats.org/officeDocument/2006/relationships/hyperlink" Target="https://datadryad.org/stash/dataset/doi:10.5061/dryad.dk1j0" TargetMode="External"/><Relationship Id="rId7" Type="http://schemas.openxmlformats.org/officeDocument/2006/relationships/image" Target="media/image4.png"/><Relationship Id="rId12" Type="http://schemas.openxmlformats.org/officeDocument/2006/relationships/hyperlink" Target="https://www.pnas.org/doi/10.1073/pnas.1408439111" TargetMode="External"/><Relationship Id="rId17" Type="http://schemas.openxmlformats.org/officeDocument/2006/relationships/hyperlink" Target="https://ghsl.jrc.ec.europa.eu/download.php?ds=pop" TargetMode="External"/><Relationship Id="rId25" Type="http://schemas.openxmlformats.org/officeDocument/2006/relationships/hyperlink" Target="https://ghsl.jrc.ec.europa.eu/download.php?ds=pop" TargetMode="External"/><Relationship Id="rId2" Type="http://schemas.openxmlformats.org/officeDocument/2006/relationships/settings" Target="settings.xml"/><Relationship Id="rId16" Type="http://schemas.openxmlformats.org/officeDocument/2006/relationships/hyperlink" Target="https://www.worldpop.org/geodata/listing?id=75" TargetMode="External"/><Relationship Id="rId20" Type="http://schemas.openxmlformats.org/officeDocument/2006/relationships/hyperlink" Target="https://datadryad.org/stash/dataset/doi:10.5061/dryad.dk1j0" TargetMode="External"/><Relationship Id="rId29" Type="http://schemas.openxmlformats.org/officeDocument/2006/relationships/image" Target="media/image7.emf"/><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package" Target="embeddings/Microsoft_Excel_Worksheet.xlsx"/><Relationship Id="rId24" Type="http://schemas.openxmlformats.org/officeDocument/2006/relationships/hyperlink" Target="https://ghsl.jrc.ec.europa.eu/download.php?ds=pop" TargetMode="External"/><Relationship Id="rId32"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hyperlink" Target="https://www.worldpop.org/geodata/listing?id=75" TargetMode="External"/><Relationship Id="rId23" Type="http://schemas.openxmlformats.org/officeDocument/2006/relationships/hyperlink" Target="https://www.nature.com/articles/sdata20184" TargetMode="External"/><Relationship Id="rId28" Type="http://schemas.openxmlformats.org/officeDocument/2006/relationships/image" Target="media/image6.png"/><Relationship Id="rId10" Type="http://schemas.openxmlformats.org/officeDocument/2006/relationships/image" Target="media/image5.emf"/><Relationship Id="rId19" Type="http://schemas.openxmlformats.org/officeDocument/2006/relationships/hyperlink" Target="https://ghsl.jrc.ec.europa.eu/documents/GHSL_Data_Package_2019.pdf" TargetMode="External"/><Relationship Id="rId31"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hyperlink" Target="https://www.tandfonline.com/doi/full/10.1080/01431161.2017.1342050" TargetMode="External"/><Relationship Id="rId14" Type="http://schemas.openxmlformats.org/officeDocument/2006/relationships/hyperlink" Target="https://www.nature.com/articles/srep34541" TargetMode="External"/><Relationship Id="rId22" Type="http://schemas.openxmlformats.org/officeDocument/2006/relationships/hyperlink" Target="https://www.nature.com/articles/sdata20184" TargetMode="External"/><Relationship Id="rId27" Type="http://schemas.openxmlformats.org/officeDocument/2006/relationships/hyperlink" Target="https://gadm.org/download_country_v3.html" TargetMode="External"/><Relationship Id="rId30" Type="http://schemas.openxmlformats.org/officeDocument/2006/relationships/package" Target="embeddings/Microsoft_Excel_Worksheet1.xls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3329</Words>
  <Characters>18977</Characters>
  <Application>Microsoft Office Word</Application>
  <DocSecurity>0</DocSecurity>
  <Lines>158</Lines>
  <Paragraphs>44</Paragraphs>
  <ScaleCrop>false</ScaleCrop>
  <Company>Springer Nature</Company>
  <LinksUpToDate>false</LinksUpToDate>
  <CharactersWithSpaces>22262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2025-01-22T09:14:00Z</dcterms:created>
  <dcterms:modified xsi:type="dcterms:W3CDTF">2025-01-22T09:15:00Z</dcterms:modified>
</cp:coreProperties>
</file>