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A75" w:rsidRPr="00E301B7" w:rsidRDefault="00F93890" w:rsidP="00F93890">
      <w:pPr>
        <w:pStyle w:val="NormalWeb"/>
        <w:tabs>
          <w:tab w:val="left" w:pos="0"/>
        </w:tabs>
        <w:spacing w:line="360" w:lineRule="auto"/>
        <w:jc w:val="both"/>
        <w:rPr>
          <w:b/>
          <w:lang w:val="en-GB"/>
        </w:rPr>
      </w:pPr>
      <w:r w:rsidRPr="00E301B7">
        <w:rPr>
          <w:b/>
          <w:lang w:val="en-GB"/>
        </w:rPr>
        <w:t xml:space="preserve">2. </w:t>
      </w:r>
      <w:r w:rsidR="008D3772" w:rsidRPr="00E301B7">
        <w:rPr>
          <w:b/>
          <w:lang w:val="en-GB"/>
        </w:rPr>
        <w:t>MATHEMATICAL FORMULATION</w:t>
      </w:r>
    </w:p>
    <w:p w:rsidR="001C294C" w:rsidRPr="0051359D" w:rsidRDefault="00983021" w:rsidP="00935003">
      <w:pPr>
        <w:pStyle w:val="NormalWeb"/>
        <w:spacing w:line="360" w:lineRule="auto"/>
        <w:jc w:val="both"/>
        <w:rPr>
          <w:b/>
          <w:sz w:val="20"/>
          <w:szCs w:val="20"/>
          <w:lang w:val="en-GB"/>
        </w:rPr>
      </w:pPr>
      <w:r w:rsidRPr="0051359D">
        <w:rPr>
          <w:sz w:val="20"/>
          <w:szCs w:val="20"/>
        </w:rPr>
        <w:t xml:space="preserve">Mathematics is an essential component of any simulation. This chapter is dedicated to describing the mathematical </w:t>
      </w:r>
      <w:r w:rsidR="00935003" w:rsidRPr="0051359D">
        <w:rPr>
          <w:sz w:val="20"/>
          <w:szCs w:val="20"/>
        </w:rPr>
        <w:t>modeling</w:t>
      </w:r>
      <w:r w:rsidRPr="0051359D">
        <w:rPr>
          <w:sz w:val="20"/>
          <w:szCs w:val="20"/>
        </w:rPr>
        <w:t xml:space="preserve"> of the subject under investigation. Throughout this work, it is noted that Darcy's flow model serves as the foundation for most recent research. The focus of this study is on the porous material confined within a simple geometric surface. The governing equations, which vary depending on the </w:t>
      </w:r>
      <w:r w:rsidR="007C5AE7" w:rsidRPr="0051359D">
        <w:rPr>
          <w:sz w:val="20"/>
          <w:szCs w:val="20"/>
        </w:rPr>
        <w:t>geometry,</w:t>
      </w:r>
      <w:r w:rsidRPr="0051359D">
        <w:rPr>
          <w:sz w:val="20"/>
          <w:szCs w:val="20"/>
        </w:rPr>
        <w:t xml:space="preserve"> are presented in their respective forms.</w:t>
      </w:r>
      <w:r w:rsidR="00F73D23" w:rsidRPr="0051359D">
        <w:rPr>
          <w:sz w:val="20"/>
          <w:szCs w:val="20"/>
        </w:rPr>
        <w:t xml:space="preserve"> </w:t>
      </w:r>
      <w:r w:rsidR="008F5A75" w:rsidRPr="0051359D">
        <w:rPr>
          <w:sz w:val="20"/>
          <w:szCs w:val="20"/>
        </w:rPr>
        <w:t xml:space="preserve">In order to </w:t>
      </w:r>
      <w:r w:rsidR="00935003" w:rsidRPr="0051359D">
        <w:rPr>
          <w:sz w:val="20"/>
          <w:szCs w:val="20"/>
        </w:rPr>
        <w:t>minimize</w:t>
      </w:r>
      <w:r w:rsidR="008F5A75" w:rsidRPr="0051359D">
        <w:rPr>
          <w:sz w:val="20"/>
          <w:szCs w:val="20"/>
        </w:rPr>
        <w:t xml:space="preserve"> the heat content in the bottom portion of the physical domain, the lower wall of a non-square cavity is heated with both uniform and non-uniform temperatures in this study. Additionally, the impact of radiation is examined. While keeping the boundary conditions, the lower surface of the cavity is heated differentially using a power law coefficient (λ). The top horizontal surface of the chamber is cold, and its two angled walls are </w:t>
      </w:r>
      <w:r w:rsidR="00983CFB" w:rsidRPr="0051359D">
        <w:rPr>
          <w:sz w:val="20"/>
          <w:szCs w:val="20"/>
        </w:rPr>
        <w:t>adopted isentropic process</w:t>
      </w:r>
      <w:r w:rsidR="008F5A75" w:rsidRPr="0051359D">
        <w:rPr>
          <w:sz w:val="20"/>
          <w:szCs w:val="20"/>
        </w:rPr>
        <w:t>.</w:t>
      </w:r>
    </w:p>
    <w:p w:rsidR="001C294C" w:rsidRPr="0051359D" w:rsidRDefault="001C294C" w:rsidP="001C294C">
      <w:pPr>
        <w:jc w:val="center"/>
        <w:rPr>
          <w:sz w:val="20"/>
        </w:rPr>
      </w:pPr>
    </w:p>
    <w:p w:rsidR="001C294C" w:rsidRPr="0051359D" w:rsidRDefault="00F13329" w:rsidP="001C294C">
      <w:pPr>
        <w:jc w:val="center"/>
        <w:rPr>
          <w:sz w:val="20"/>
        </w:rPr>
      </w:pPr>
      <w:r w:rsidRPr="0051359D">
        <w:rPr>
          <w:noProof/>
          <w:sz w:val="20"/>
          <w:lang w:val="en-US"/>
        </w:rPr>
        <w:drawing>
          <wp:inline distT="0" distB="0" distL="0" distR="0">
            <wp:extent cx="3659815" cy="1733107"/>
            <wp:effectExtent l="19050" t="0" r="0" b="0"/>
            <wp:docPr id="5" name="Picture 30" descr="E:\APPLIED SCIENCE PAPER-2022\Plagerism Report-2023\Draft Report Files-2023\Porus Domain-2023- power law.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APPLIED SCIENCE PAPER-2022\Plagerism Report-2023\Draft Report Files-2023\Porus Domain-2023- power law.tif"/>
                    <pic:cNvPicPr>
                      <a:picLocks noChangeAspect="1" noChangeArrowheads="1"/>
                    </pic:cNvPicPr>
                  </pic:nvPicPr>
                  <pic:blipFill>
                    <a:blip r:embed="rId8"/>
                    <a:srcRect/>
                    <a:stretch>
                      <a:fillRect/>
                    </a:stretch>
                  </pic:blipFill>
                  <pic:spPr bwMode="auto">
                    <a:xfrm>
                      <a:off x="0" y="0"/>
                      <a:ext cx="3668723" cy="1737325"/>
                    </a:xfrm>
                    <a:prstGeom prst="rect">
                      <a:avLst/>
                    </a:prstGeom>
                    <a:noFill/>
                    <a:ln w="9525">
                      <a:noFill/>
                      <a:miter lim="800000"/>
                      <a:headEnd/>
                      <a:tailEnd/>
                    </a:ln>
                  </pic:spPr>
                </pic:pic>
              </a:graphicData>
            </a:graphic>
          </wp:inline>
        </w:drawing>
      </w:r>
    </w:p>
    <w:p w:rsidR="008F5A75" w:rsidRPr="0051359D" w:rsidRDefault="001C294C" w:rsidP="00F13329">
      <w:pPr>
        <w:pStyle w:val="FigureCaption"/>
        <w:rPr>
          <w:bCs/>
          <w:szCs w:val="20"/>
        </w:rPr>
      </w:pPr>
      <w:r w:rsidRPr="0051359D">
        <w:rPr>
          <w:szCs w:val="20"/>
        </w:rPr>
        <w:t>Fig</w:t>
      </w:r>
      <w:r w:rsidR="00A46529" w:rsidRPr="0051359D">
        <w:rPr>
          <w:szCs w:val="20"/>
        </w:rPr>
        <w:t>ure</w:t>
      </w:r>
      <w:r w:rsidRPr="0051359D">
        <w:rPr>
          <w:szCs w:val="20"/>
        </w:rPr>
        <w:t>. 1.</w:t>
      </w:r>
      <w:r w:rsidR="00A46529" w:rsidRPr="0051359D">
        <w:rPr>
          <w:szCs w:val="20"/>
        </w:rPr>
        <w:t xml:space="preserve"> </w:t>
      </w:r>
      <w:r w:rsidR="00070C18" w:rsidRPr="0051359D">
        <w:rPr>
          <w:szCs w:val="20"/>
        </w:rPr>
        <w:t>Working</w:t>
      </w:r>
      <w:r w:rsidRPr="0051359D">
        <w:rPr>
          <w:szCs w:val="20"/>
        </w:rPr>
        <w:t xml:space="preserve"> model</w:t>
      </w:r>
      <w:r w:rsidR="00A46529" w:rsidRPr="0051359D">
        <w:rPr>
          <w:rStyle w:val="CharChar"/>
          <w:bCs/>
          <w:sz w:val="20"/>
          <w:szCs w:val="20"/>
          <w:lang w:val="en-GB"/>
        </w:rPr>
        <w:t xml:space="preserve"> </w:t>
      </w:r>
    </w:p>
    <w:p w:rsidR="0095748C" w:rsidRPr="0051359D" w:rsidRDefault="000057DA" w:rsidP="000057DA">
      <w:pPr>
        <w:pStyle w:val="6Sectionheadings"/>
        <w:numPr>
          <w:ilvl w:val="0"/>
          <w:numId w:val="0"/>
        </w:numPr>
        <w:spacing w:line="360" w:lineRule="auto"/>
        <w:jc w:val="both"/>
        <w:rPr>
          <w:b w:val="0"/>
          <w:sz w:val="20"/>
        </w:rPr>
      </w:pPr>
      <w:r w:rsidRPr="0051359D">
        <w:rPr>
          <w:b w:val="0"/>
          <w:sz w:val="20"/>
        </w:rPr>
        <w:t xml:space="preserve">The </w:t>
      </w:r>
      <w:r w:rsidR="00071C8A" w:rsidRPr="0051359D">
        <w:rPr>
          <w:b w:val="0"/>
          <w:sz w:val="20"/>
        </w:rPr>
        <w:t>fundamental</w:t>
      </w:r>
      <w:r w:rsidRPr="0051359D">
        <w:rPr>
          <w:b w:val="0"/>
          <w:sz w:val="20"/>
        </w:rPr>
        <w:t xml:space="preserve"> equations for steady, two-dimensional </w:t>
      </w:r>
      <w:r w:rsidR="0020726A" w:rsidRPr="0051359D">
        <w:rPr>
          <w:b w:val="0"/>
          <w:sz w:val="20"/>
        </w:rPr>
        <w:t>buoyant heat transfer</w:t>
      </w:r>
      <w:r w:rsidRPr="0051359D">
        <w:rPr>
          <w:b w:val="0"/>
          <w:sz w:val="20"/>
        </w:rPr>
        <w:t xml:space="preserve"> </w:t>
      </w:r>
      <w:r w:rsidR="0020726A" w:rsidRPr="0051359D">
        <w:rPr>
          <w:b w:val="0"/>
          <w:sz w:val="20"/>
        </w:rPr>
        <w:t>distribution</w:t>
      </w:r>
      <w:r w:rsidRPr="0051359D">
        <w:rPr>
          <w:b w:val="0"/>
          <w:sz w:val="20"/>
        </w:rPr>
        <w:t xml:space="preserve"> in a porous cavity, </w:t>
      </w:r>
      <w:r w:rsidR="00FF021E" w:rsidRPr="0051359D">
        <w:rPr>
          <w:b w:val="0"/>
          <w:sz w:val="20"/>
        </w:rPr>
        <w:t xml:space="preserve">built </w:t>
      </w:r>
      <w:r w:rsidRPr="0051359D">
        <w:rPr>
          <w:b w:val="0"/>
          <w:sz w:val="20"/>
        </w:rPr>
        <w:t>on the principles of mass, momentum, and energy conservation, are typically derived from the Darcy-Brinkman model or a similar model that incorporates the effects of porosity. These equations generally include</w:t>
      </w:r>
      <w:r w:rsidR="002B5D30" w:rsidRPr="0051359D">
        <w:rPr>
          <w:b w:val="0"/>
          <w:sz w:val="20"/>
        </w:rPr>
        <w:t xml:space="preserve">. </w:t>
      </w:r>
    </w:p>
    <w:p w:rsidR="0095748C" w:rsidRPr="0051359D" w:rsidRDefault="0095748C" w:rsidP="002E33E9">
      <w:pPr>
        <w:pStyle w:val="NormalWeb"/>
        <w:spacing w:line="360" w:lineRule="auto"/>
        <w:ind w:left="360"/>
        <w:jc w:val="both"/>
        <w:rPr>
          <w:sz w:val="20"/>
          <w:szCs w:val="20"/>
        </w:rPr>
      </w:pPr>
      <w:r w:rsidRPr="0051359D">
        <w:rPr>
          <w:rStyle w:val="Strong"/>
          <w:sz w:val="20"/>
          <w:szCs w:val="20"/>
        </w:rPr>
        <w:t>Continuity Equation (Mass Conservation):</w:t>
      </w:r>
    </w:p>
    <w:p w:rsidR="0095748C" w:rsidRPr="0051359D" w:rsidRDefault="0095748C" w:rsidP="000F7CC5">
      <w:pPr>
        <w:pStyle w:val="NormalWeb"/>
        <w:spacing w:line="360" w:lineRule="auto"/>
        <w:ind w:left="720"/>
        <w:jc w:val="both"/>
        <w:rPr>
          <w:sz w:val="20"/>
          <w:szCs w:val="20"/>
        </w:rPr>
      </w:pPr>
      <w:r w:rsidRPr="0051359D">
        <w:rPr>
          <w:sz w:val="20"/>
          <w:szCs w:val="20"/>
        </w:rPr>
        <w:t xml:space="preserve">The mass conservation for </w:t>
      </w:r>
      <w:r w:rsidR="0037679E" w:rsidRPr="0051359D">
        <w:rPr>
          <w:sz w:val="20"/>
          <w:szCs w:val="20"/>
        </w:rPr>
        <w:t>porous medium</w:t>
      </w:r>
      <w:r w:rsidRPr="0051359D">
        <w:rPr>
          <w:sz w:val="20"/>
          <w:szCs w:val="20"/>
        </w:rPr>
        <w:t xml:space="preserve"> is given by:</w:t>
      </w:r>
    </w:p>
    <w:p w:rsidR="0095748C" w:rsidRPr="0051359D" w:rsidRDefault="0078206F" w:rsidP="000F7CC5">
      <w:pPr>
        <w:pStyle w:val="NormalWeb"/>
        <w:spacing w:line="360" w:lineRule="auto"/>
        <w:ind w:left="720"/>
        <w:jc w:val="both"/>
        <w:rPr>
          <w:position w:val="-28"/>
          <w:sz w:val="20"/>
          <w:szCs w:val="20"/>
        </w:rPr>
      </w:pPr>
      <w:r w:rsidRPr="0051359D">
        <w:rPr>
          <w:position w:val="-28"/>
          <w:sz w:val="20"/>
          <w:szCs w:val="20"/>
        </w:rPr>
        <w:t xml:space="preserve">    </w:t>
      </w:r>
      <w:r w:rsidR="0095748C" w:rsidRPr="0051359D">
        <w:rPr>
          <w:position w:val="-28"/>
          <w:sz w:val="20"/>
          <w:szCs w:val="20"/>
        </w:rPr>
        <w:object w:dxaOrig="1219"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32.55pt" o:ole="">
            <v:imagedata r:id="rId9" o:title=""/>
          </v:shape>
          <o:OLEObject Type="Embed" ProgID="Equation.3" ShapeID="_x0000_i1025" DrawAspect="Content" ObjectID="_1797190961" r:id="rId10"/>
        </w:object>
      </w:r>
      <w:r w:rsidRPr="0051359D">
        <w:rPr>
          <w:sz w:val="20"/>
          <w:szCs w:val="20"/>
        </w:rPr>
        <w:t xml:space="preserve">                                                                                                                                     </w:t>
      </w:r>
      <w:r w:rsidR="008E6D06" w:rsidRPr="0051359D">
        <w:rPr>
          <w:sz w:val="20"/>
          <w:szCs w:val="20"/>
        </w:rPr>
        <w:t xml:space="preserve">    </w:t>
      </w:r>
      <w:r w:rsidRPr="0051359D">
        <w:rPr>
          <w:sz w:val="20"/>
          <w:szCs w:val="20"/>
        </w:rPr>
        <w:t xml:space="preserve">   (1)</w:t>
      </w:r>
    </w:p>
    <w:p w:rsidR="0095748C" w:rsidRPr="0051359D" w:rsidRDefault="00B870BC" w:rsidP="000F7CC5">
      <w:pPr>
        <w:pStyle w:val="NormalWeb"/>
        <w:spacing w:line="360" w:lineRule="auto"/>
        <w:ind w:left="720"/>
        <w:jc w:val="both"/>
        <w:rPr>
          <w:sz w:val="20"/>
          <w:szCs w:val="20"/>
        </w:rPr>
      </w:pPr>
      <w:r w:rsidRPr="0051359D">
        <w:rPr>
          <w:sz w:val="20"/>
          <w:szCs w:val="20"/>
        </w:rPr>
        <w:t>Where</w:t>
      </w:r>
      <w:r w:rsidR="0095748C" w:rsidRPr="0051359D">
        <w:rPr>
          <w:sz w:val="20"/>
          <w:szCs w:val="20"/>
        </w:rPr>
        <w:t xml:space="preserve"> </w:t>
      </w:r>
      <w:r w:rsidR="0095748C" w:rsidRPr="0051359D">
        <w:rPr>
          <w:rStyle w:val="katex-mathml"/>
          <w:sz w:val="20"/>
          <w:szCs w:val="20"/>
        </w:rPr>
        <w:t>u</w:t>
      </w:r>
      <w:r w:rsidR="0095748C" w:rsidRPr="0051359D">
        <w:rPr>
          <w:sz w:val="20"/>
          <w:szCs w:val="20"/>
        </w:rPr>
        <w:t xml:space="preserve"> and </w:t>
      </w:r>
      <w:r w:rsidR="0095748C" w:rsidRPr="0051359D">
        <w:rPr>
          <w:rStyle w:val="katex-mathml"/>
          <w:sz w:val="20"/>
          <w:szCs w:val="20"/>
        </w:rPr>
        <w:t>v</w:t>
      </w:r>
      <w:r w:rsidR="0095748C" w:rsidRPr="0051359D">
        <w:rPr>
          <w:sz w:val="20"/>
          <w:szCs w:val="20"/>
        </w:rPr>
        <w:t xml:space="preserve"> are the velocity components in the </w:t>
      </w:r>
      <w:r w:rsidR="0095748C" w:rsidRPr="0051359D">
        <w:rPr>
          <w:rStyle w:val="katex-mathml"/>
          <w:sz w:val="20"/>
          <w:szCs w:val="20"/>
        </w:rPr>
        <w:t>x</w:t>
      </w:r>
      <w:r w:rsidR="0095748C" w:rsidRPr="0051359D">
        <w:rPr>
          <w:sz w:val="20"/>
          <w:szCs w:val="20"/>
        </w:rPr>
        <w:t xml:space="preserve">- and </w:t>
      </w:r>
      <w:r w:rsidR="000F7CC5" w:rsidRPr="0051359D">
        <w:rPr>
          <w:sz w:val="20"/>
          <w:szCs w:val="20"/>
        </w:rPr>
        <w:t xml:space="preserve"> </w:t>
      </w:r>
      <w:r w:rsidR="0095748C" w:rsidRPr="0051359D">
        <w:rPr>
          <w:rStyle w:val="katex-mathml"/>
          <w:sz w:val="20"/>
          <w:szCs w:val="20"/>
        </w:rPr>
        <w:t>y</w:t>
      </w:r>
      <w:r w:rsidR="0095748C" w:rsidRPr="0051359D">
        <w:rPr>
          <w:sz w:val="20"/>
          <w:szCs w:val="20"/>
        </w:rPr>
        <w:t>-directions, respectively.</w:t>
      </w:r>
    </w:p>
    <w:p w:rsidR="0095748C" w:rsidRPr="0051359D" w:rsidRDefault="0095748C" w:rsidP="002E33E9">
      <w:pPr>
        <w:pStyle w:val="NormalWeb"/>
        <w:spacing w:line="360" w:lineRule="auto"/>
        <w:ind w:left="360"/>
        <w:jc w:val="both"/>
        <w:rPr>
          <w:sz w:val="20"/>
          <w:szCs w:val="20"/>
        </w:rPr>
      </w:pPr>
      <w:r w:rsidRPr="0051359D">
        <w:rPr>
          <w:rStyle w:val="Strong"/>
          <w:sz w:val="20"/>
          <w:szCs w:val="20"/>
        </w:rPr>
        <w:t>Momentum Equations (Darcy</w:t>
      </w:r>
      <w:r w:rsidR="000F7CC5" w:rsidRPr="0051359D">
        <w:rPr>
          <w:rStyle w:val="Strong"/>
          <w:sz w:val="20"/>
          <w:szCs w:val="20"/>
        </w:rPr>
        <w:t xml:space="preserve"> </w:t>
      </w:r>
      <w:r w:rsidRPr="0051359D">
        <w:rPr>
          <w:rStyle w:val="Strong"/>
          <w:sz w:val="20"/>
          <w:szCs w:val="20"/>
        </w:rPr>
        <w:t xml:space="preserve"> Model):</w:t>
      </w:r>
    </w:p>
    <w:p w:rsidR="0095748C" w:rsidRPr="0051359D" w:rsidRDefault="0095748C" w:rsidP="000F7CC5">
      <w:pPr>
        <w:pStyle w:val="NormalWeb"/>
        <w:spacing w:line="360" w:lineRule="auto"/>
        <w:ind w:left="720"/>
        <w:jc w:val="both"/>
        <w:rPr>
          <w:sz w:val="20"/>
          <w:szCs w:val="20"/>
        </w:rPr>
      </w:pPr>
      <w:r w:rsidRPr="0051359D">
        <w:rPr>
          <w:sz w:val="20"/>
          <w:szCs w:val="20"/>
        </w:rPr>
        <w:t xml:space="preserve">The momentum equations </w:t>
      </w:r>
      <w:r w:rsidR="007F0133" w:rsidRPr="0051359D">
        <w:rPr>
          <w:sz w:val="20"/>
          <w:szCs w:val="20"/>
        </w:rPr>
        <w:t>consider</w:t>
      </w:r>
      <w:r w:rsidRPr="0051359D">
        <w:rPr>
          <w:sz w:val="20"/>
          <w:szCs w:val="20"/>
        </w:rPr>
        <w:t xml:space="preserve"> for the forces acting on the fluid. In a porous medium, these </w:t>
      </w:r>
      <w:r w:rsidR="008E6D06" w:rsidRPr="0051359D">
        <w:rPr>
          <w:sz w:val="20"/>
          <w:szCs w:val="20"/>
        </w:rPr>
        <w:t xml:space="preserve">correlations </w:t>
      </w:r>
      <w:r w:rsidRPr="0051359D">
        <w:rPr>
          <w:sz w:val="20"/>
          <w:szCs w:val="20"/>
        </w:rPr>
        <w:t xml:space="preserve">are modified to include permeability effects. The </w:t>
      </w:r>
      <w:r w:rsidRPr="0051359D">
        <w:rPr>
          <w:rStyle w:val="katex-mathml"/>
          <w:sz w:val="20"/>
          <w:szCs w:val="20"/>
        </w:rPr>
        <w:t>x</w:t>
      </w:r>
      <w:r w:rsidRPr="0051359D">
        <w:rPr>
          <w:sz w:val="20"/>
          <w:szCs w:val="20"/>
        </w:rPr>
        <w:t xml:space="preserve">- and </w:t>
      </w:r>
      <w:r w:rsidRPr="0051359D">
        <w:rPr>
          <w:rStyle w:val="katex-mathml"/>
          <w:sz w:val="20"/>
          <w:szCs w:val="20"/>
        </w:rPr>
        <w:t>y</w:t>
      </w:r>
      <w:r w:rsidRPr="0051359D">
        <w:rPr>
          <w:sz w:val="20"/>
          <w:szCs w:val="20"/>
        </w:rPr>
        <w:t>-momentum equations are:</w:t>
      </w:r>
    </w:p>
    <w:p w:rsidR="0095748C" w:rsidRPr="0051359D" w:rsidRDefault="008E6D06" w:rsidP="000F7CC5">
      <w:pPr>
        <w:pStyle w:val="NormalWeb"/>
        <w:spacing w:line="360" w:lineRule="auto"/>
        <w:ind w:left="1080"/>
        <w:jc w:val="both"/>
        <w:rPr>
          <w:sz w:val="20"/>
          <w:szCs w:val="20"/>
        </w:rPr>
      </w:pPr>
      <w:r w:rsidRPr="0051359D">
        <w:rPr>
          <w:rStyle w:val="katex-mathml"/>
          <w:b/>
          <w:bCs/>
          <w:sz w:val="20"/>
          <w:szCs w:val="20"/>
        </w:rPr>
        <w:lastRenderedPageBreak/>
        <w:t xml:space="preserve">X </w:t>
      </w:r>
      <w:r w:rsidR="0095748C" w:rsidRPr="0051359D">
        <w:rPr>
          <w:rStyle w:val="Strong"/>
          <w:sz w:val="20"/>
          <w:szCs w:val="20"/>
        </w:rPr>
        <w:t>-</w:t>
      </w:r>
      <w:r w:rsidRPr="0051359D">
        <w:rPr>
          <w:rStyle w:val="Strong"/>
          <w:sz w:val="20"/>
          <w:szCs w:val="20"/>
        </w:rPr>
        <w:t xml:space="preserve"> </w:t>
      </w:r>
      <w:r w:rsidR="00B870BC" w:rsidRPr="0051359D">
        <w:rPr>
          <w:rStyle w:val="Strong"/>
          <w:sz w:val="20"/>
          <w:szCs w:val="20"/>
        </w:rPr>
        <w:t>Direction</w:t>
      </w:r>
      <w:r w:rsidR="0095748C" w:rsidRPr="0051359D">
        <w:rPr>
          <w:rStyle w:val="Strong"/>
          <w:sz w:val="20"/>
          <w:szCs w:val="20"/>
        </w:rPr>
        <w:t>:</w:t>
      </w:r>
    </w:p>
    <w:p w:rsidR="000F7CC5" w:rsidRPr="0051359D" w:rsidRDefault="000F7CC5" w:rsidP="000F7CC5">
      <w:pPr>
        <w:pStyle w:val="NormalWeb"/>
        <w:spacing w:line="360" w:lineRule="auto"/>
        <w:ind w:left="1440"/>
        <w:jc w:val="both"/>
        <w:rPr>
          <w:position w:val="-28"/>
          <w:sz w:val="20"/>
          <w:szCs w:val="20"/>
        </w:rPr>
      </w:pPr>
      <w:r w:rsidRPr="0051359D">
        <w:rPr>
          <w:position w:val="-28"/>
          <w:sz w:val="20"/>
          <w:szCs w:val="20"/>
        </w:rPr>
        <w:object w:dxaOrig="1180" w:dyaOrig="660">
          <v:shape id="_x0000_i1026" type="#_x0000_t75" style="width:58.25pt;height:32.55pt" o:ole="">
            <v:imagedata r:id="rId11" o:title=""/>
          </v:shape>
          <o:OLEObject Type="Embed" ProgID="Equation.3" ShapeID="_x0000_i1026" DrawAspect="Content" ObjectID="_1797190962" r:id="rId12"/>
        </w:object>
      </w:r>
      <w:r w:rsidR="0078206F" w:rsidRPr="0051359D">
        <w:rPr>
          <w:position w:val="-28"/>
          <w:sz w:val="20"/>
          <w:szCs w:val="20"/>
        </w:rPr>
        <w:t xml:space="preserve">                                                                                                                          </w:t>
      </w:r>
      <w:r w:rsidR="008E6D06" w:rsidRPr="0051359D">
        <w:rPr>
          <w:position w:val="-28"/>
          <w:sz w:val="20"/>
          <w:szCs w:val="20"/>
        </w:rPr>
        <w:t xml:space="preserve">      </w:t>
      </w:r>
      <w:r w:rsidR="0078206F" w:rsidRPr="0051359D">
        <w:rPr>
          <w:position w:val="-28"/>
          <w:sz w:val="20"/>
          <w:szCs w:val="20"/>
        </w:rPr>
        <w:t xml:space="preserve">  </w:t>
      </w:r>
      <w:r w:rsidR="0078206F" w:rsidRPr="0051359D">
        <w:rPr>
          <w:sz w:val="20"/>
          <w:szCs w:val="20"/>
        </w:rPr>
        <w:t>(2)</w:t>
      </w:r>
    </w:p>
    <w:p w:rsidR="0095748C" w:rsidRPr="0051359D" w:rsidRDefault="000F7CC5" w:rsidP="000F7CC5">
      <w:pPr>
        <w:pStyle w:val="NormalWeb"/>
        <w:spacing w:line="360" w:lineRule="auto"/>
        <w:ind w:left="1440"/>
        <w:jc w:val="both"/>
        <w:rPr>
          <w:sz w:val="20"/>
          <w:szCs w:val="20"/>
        </w:rPr>
      </w:pPr>
      <w:r w:rsidRPr="0051359D">
        <w:rPr>
          <w:sz w:val="20"/>
          <w:szCs w:val="20"/>
        </w:rPr>
        <w:t>Where</w:t>
      </w:r>
      <w:r w:rsidR="0095748C" w:rsidRPr="0051359D">
        <w:rPr>
          <w:sz w:val="20"/>
          <w:szCs w:val="20"/>
        </w:rPr>
        <w:t xml:space="preserve"> </w:t>
      </w:r>
      <w:r w:rsidR="0095748C" w:rsidRPr="0051359D">
        <w:rPr>
          <w:rStyle w:val="katex-mathml"/>
          <w:b/>
          <w:i/>
          <w:sz w:val="20"/>
          <w:szCs w:val="20"/>
        </w:rPr>
        <w:t>K</w:t>
      </w:r>
      <w:r w:rsidR="008E6D06" w:rsidRPr="0051359D">
        <w:rPr>
          <w:rStyle w:val="katex-mathml"/>
          <w:sz w:val="20"/>
          <w:szCs w:val="20"/>
        </w:rPr>
        <w:t xml:space="preserve"> </w:t>
      </w:r>
      <w:r w:rsidRPr="0051359D">
        <w:rPr>
          <w:rStyle w:val="katex-mathml"/>
          <w:sz w:val="20"/>
          <w:szCs w:val="20"/>
        </w:rPr>
        <w:t xml:space="preserve"> </w:t>
      </w:r>
      <w:r w:rsidR="0095748C" w:rsidRPr="0051359D">
        <w:rPr>
          <w:sz w:val="20"/>
          <w:szCs w:val="20"/>
        </w:rPr>
        <w:t xml:space="preserve"> is the permeability of the porous medium, and</w:t>
      </w:r>
      <w:r w:rsidRPr="0051359D">
        <w:rPr>
          <w:sz w:val="20"/>
          <w:szCs w:val="20"/>
        </w:rPr>
        <w:t xml:space="preserve"> </w:t>
      </w:r>
      <w:r w:rsidR="0095748C" w:rsidRPr="0051359D">
        <w:rPr>
          <w:sz w:val="20"/>
          <w:szCs w:val="20"/>
        </w:rPr>
        <w:t xml:space="preserve"> </w:t>
      </w:r>
      <w:r w:rsidR="0095748C" w:rsidRPr="0051359D">
        <w:rPr>
          <w:rStyle w:val="katex-mathml"/>
          <w:sz w:val="20"/>
          <w:szCs w:val="20"/>
        </w:rPr>
        <w:t>p</w:t>
      </w:r>
      <w:r w:rsidR="0095748C" w:rsidRPr="0051359D">
        <w:rPr>
          <w:sz w:val="20"/>
          <w:szCs w:val="20"/>
        </w:rPr>
        <w:t xml:space="preserve"> is the pressure.</w:t>
      </w:r>
    </w:p>
    <w:p w:rsidR="0095748C" w:rsidRPr="0051359D" w:rsidRDefault="00B870BC" w:rsidP="000F7CC5">
      <w:pPr>
        <w:pStyle w:val="NormalWeb"/>
        <w:spacing w:line="360" w:lineRule="auto"/>
        <w:ind w:left="1080"/>
        <w:jc w:val="both"/>
        <w:rPr>
          <w:sz w:val="20"/>
          <w:szCs w:val="20"/>
        </w:rPr>
      </w:pPr>
      <w:r w:rsidRPr="0051359D">
        <w:rPr>
          <w:rStyle w:val="katex-mathml"/>
          <w:b/>
          <w:bCs/>
          <w:sz w:val="20"/>
          <w:szCs w:val="20"/>
        </w:rPr>
        <w:t>Y-direction</w:t>
      </w:r>
      <w:r w:rsidR="0095748C" w:rsidRPr="0051359D">
        <w:rPr>
          <w:rStyle w:val="Strong"/>
          <w:sz w:val="20"/>
          <w:szCs w:val="20"/>
        </w:rPr>
        <w:t>:</w:t>
      </w:r>
    </w:p>
    <w:p w:rsidR="000F7CC5" w:rsidRPr="0051359D" w:rsidRDefault="000F7CC5" w:rsidP="000F7CC5">
      <w:pPr>
        <w:pStyle w:val="NormalWeb"/>
        <w:spacing w:line="360" w:lineRule="auto"/>
        <w:ind w:left="1440"/>
        <w:jc w:val="both"/>
        <w:rPr>
          <w:rFonts w:eastAsiaTheme="minorEastAsia"/>
          <w:position w:val="-30"/>
          <w:sz w:val="20"/>
          <w:szCs w:val="20"/>
        </w:rPr>
      </w:pPr>
      <w:r w:rsidRPr="0051359D">
        <w:rPr>
          <w:rFonts w:eastAsiaTheme="minorEastAsia"/>
          <w:position w:val="-30"/>
          <w:sz w:val="20"/>
          <w:szCs w:val="20"/>
        </w:rPr>
        <w:object w:dxaOrig="1840" w:dyaOrig="720">
          <v:shape id="_x0000_i1027" type="#_x0000_t75" style="width:2in;height:36.3pt" o:ole="">
            <v:imagedata r:id="rId13" o:title=""/>
          </v:shape>
          <o:OLEObject Type="Embed" ProgID="Equation.3" ShapeID="_x0000_i1027" DrawAspect="Content" ObjectID="_1797190963" r:id="rId14"/>
        </w:object>
      </w:r>
      <w:r w:rsidR="0078206F" w:rsidRPr="0051359D">
        <w:rPr>
          <w:rFonts w:eastAsiaTheme="minorEastAsia"/>
          <w:position w:val="-30"/>
          <w:sz w:val="20"/>
          <w:szCs w:val="20"/>
        </w:rPr>
        <w:t xml:space="preserve">                                                                                            </w:t>
      </w:r>
      <w:r w:rsidR="0078206F" w:rsidRPr="0051359D">
        <w:rPr>
          <w:sz w:val="20"/>
          <w:szCs w:val="20"/>
        </w:rPr>
        <w:t>(3)</w:t>
      </w:r>
    </w:p>
    <w:p w:rsidR="0095748C" w:rsidRPr="0051359D" w:rsidRDefault="008E6D06" w:rsidP="000F7CC5">
      <w:pPr>
        <w:pStyle w:val="NormalWeb"/>
        <w:spacing w:line="360" w:lineRule="auto"/>
        <w:ind w:left="1440"/>
        <w:jc w:val="both"/>
        <w:rPr>
          <w:sz w:val="20"/>
          <w:szCs w:val="20"/>
        </w:rPr>
      </w:pPr>
      <w:r w:rsidRPr="0051359D">
        <w:rPr>
          <w:sz w:val="20"/>
          <w:szCs w:val="20"/>
        </w:rPr>
        <w:t>Where</w:t>
      </w:r>
      <w:r w:rsidR="0095748C" w:rsidRPr="0051359D">
        <w:rPr>
          <w:sz w:val="20"/>
          <w:szCs w:val="20"/>
        </w:rPr>
        <w:t xml:space="preserve"> </w:t>
      </w:r>
      <w:r w:rsidR="0095748C" w:rsidRPr="0051359D">
        <w:rPr>
          <w:rStyle w:val="katex-mathml"/>
          <w:b/>
          <w:i/>
          <w:sz w:val="20"/>
          <w:szCs w:val="20"/>
        </w:rPr>
        <w:t>ρ</w:t>
      </w:r>
      <w:r w:rsidR="0095748C" w:rsidRPr="0051359D">
        <w:rPr>
          <w:sz w:val="20"/>
          <w:szCs w:val="20"/>
        </w:rPr>
        <w:t xml:space="preserve"> is the fluid density, </w:t>
      </w:r>
      <w:r w:rsidR="0095748C" w:rsidRPr="0051359D">
        <w:rPr>
          <w:rStyle w:val="katex-mathml"/>
          <w:sz w:val="20"/>
          <w:szCs w:val="20"/>
        </w:rPr>
        <w:t>g</w:t>
      </w:r>
      <w:r w:rsidR="0095748C" w:rsidRPr="0051359D">
        <w:rPr>
          <w:sz w:val="20"/>
          <w:szCs w:val="20"/>
        </w:rPr>
        <w:t xml:space="preserve"> is the gravitational acceleration,.</w:t>
      </w:r>
    </w:p>
    <w:p w:rsidR="0095748C" w:rsidRPr="0051359D" w:rsidRDefault="0095748C" w:rsidP="002E33E9">
      <w:pPr>
        <w:pStyle w:val="NormalWeb"/>
        <w:spacing w:line="360" w:lineRule="auto"/>
        <w:ind w:left="360"/>
        <w:jc w:val="both"/>
        <w:rPr>
          <w:sz w:val="20"/>
          <w:szCs w:val="20"/>
        </w:rPr>
      </w:pPr>
      <w:r w:rsidRPr="0051359D">
        <w:rPr>
          <w:rStyle w:val="Strong"/>
          <w:sz w:val="20"/>
          <w:szCs w:val="20"/>
        </w:rPr>
        <w:t>Energy Equation (Thermal Energy Conservation):</w:t>
      </w:r>
    </w:p>
    <w:p w:rsidR="0095748C" w:rsidRPr="0051359D" w:rsidRDefault="0095748C" w:rsidP="000F7CC5">
      <w:pPr>
        <w:pStyle w:val="NormalWeb"/>
        <w:spacing w:line="360" w:lineRule="auto"/>
        <w:ind w:left="720"/>
        <w:jc w:val="both"/>
        <w:rPr>
          <w:sz w:val="20"/>
          <w:szCs w:val="20"/>
        </w:rPr>
      </w:pPr>
      <w:r w:rsidRPr="0051359D">
        <w:rPr>
          <w:sz w:val="20"/>
          <w:szCs w:val="20"/>
        </w:rPr>
        <w:t xml:space="preserve">The energy equation for </w:t>
      </w:r>
      <w:r w:rsidR="00F167FC" w:rsidRPr="0051359D">
        <w:rPr>
          <w:sz w:val="20"/>
          <w:szCs w:val="20"/>
        </w:rPr>
        <w:t>buoyant energy transfer</w:t>
      </w:r>
      <w:r w:rsidRPr="0051359D">
        <w:rPr>
          <w:sz w:val="20"/>
          <w:szCs w:val="20"/>
        </w:rPr>
        <w:t xml:space="preserve"> in a </w:t>
      </w:r>
      <w:r w:rsidR="00044FAF" w:rsidRPr="0051359D">
        <w:rPr>
          <w:sz w:val="20"/>
          <w:szCs w:val="20"/>
        </w:rPr>
        <w:t>working medium</w:t>
      </w:r>
      <w:r w:rsidRPr="0051359D">
        <w:rPr>
          <w:sz w:val="20"/>
          <w:szCs w:val="20"/>
        </w:rPr>
        <w:t xml:space="preserve"> is governed by the balance between conduction and convection. It is given by:</w:t>
      </w:r>
    </w:p>
    <w:p w:rsidR="000F7CC5" w:rsidRPr="0051359D" w:rsidRDefault="000F7CC5" w:rsidP="000F7CC5">
      <w:pPr>
        <w:pStyle w:val="NormalWeb"/>
        <w:spacing w:line="360" w:lineRule="auto"/>
        <w:ind w:left="720"/>
        <w:jc w:val="both"/>
        <w:rPr>
          <w:rFonts w:eastAsiaTheme="minorEastAsia"/>
          <w:position w:val="-32"/>
          <w:sz w:val="20"/>
          <w:szCs w:val="20"/>
        </w:rPr>
      </w:pPr>
      <w:r w:rsidRPr="0051359D">
        <w:rPr>
          <w:rFonts w:eastAsiaTheme="minorEastAsia"/>
          <w:position w:val="-32"/>
          <w:sz w:val="20"/>
          <w:szCs w:val="20"/>
        </w:rPr>
        <w:object w:dxaOrig="2940" w:dyaOrig="760">
          <v:shape id="_x0000_i1028" type="#_x0000_t75" style="width:147.15pt;height:38.2pt" o:ole="">
            <v:imagedata r:id="rId15" o:title=""/>
          </v:shape>
          <o:OLEObject Type="Embed" ProgID="Equation.3" ShapeID="_x0000_i1028" DrawAspect="Content" ObjectID="_1797190964" r:id="rId16"/>
        </w:object>
      </w:r>
      <w:r w:rsidR="0078206F" w:rsidRPr="0051359D">
        <w:rPr>
          <w:rFonts w:eastAsiaTheme="minorEastAsia"/>
          <w:position w:val="-32"/>
          <w:sz w:val="20"/>
          <w:szCs w:val="20"/>
        </w:rPr>
        <w:t xml:space="preserve">                                                                                                       </w:t>
      </w:r>
      <w:r w:rsidR="00B870BC" w:rsidRPr="0051359D">
        <w:rPr>
          <w:rFonts w:eastAsiaTheme="minorEastAsia"/>
          <w:position w:val="-32"/>
          <w:sz w:val="20"/>
          <w:szCs w:val="20"/>
        </w:rPr>
        <w:t xml:space="preserve">    </w:t>
      </w:r>
      <w:r w:rsidR="0078206F" w:rsidRPr="0051359D">
        <w:rPr>
          <w:rFonts w:eastAsiaTheme="minorEastAsia"/>
          <w:position w:val="-32"/>
          <w:sz w:val="20"/>
          <w:szCs w:val="20"/>
        </w:rPr>
        <w:t xml:space="preserve"> </w:t>
      </w:r>
      <w:r w:rsidR="0078206F" w:rsidRPr="0051359D">
        <w:rPr>
          <w:sz w:val="20"/>
          <w:szCs w:val="20"/>
        </w:rPr>
        <w:t>(4)</w:t>
      </w:r>
    </w:p>
    <w:p w:rsidR="0095748C" w:rsidRPr="0051359D" w:rsidRDefault="008E6D06" w:rsidP="000F7CC5">
      <w:pPr>
        <w:pStyle w:val="NormalWeb"/>
        <w:spacing w:line="360" w:lineRule="auto"/>
        <w:ind w:left="720"/>
        <w:jc w:val="both"/>
        <w:rPr>
          <w:sz w:val="20"/>
          <w:szCs w:val="20"/>
        </w:rPr>
      </w:pPr>
      <w:r w:rsidRPr="0051359D">
        <w:rPr>
          <w:sz w:val="20"/>
          <w:szCs w:val="20"/>
        </w:rPr>
        <w:t>Where</w:t>
      </w:r>
      <w:r w:rsidR="0095748C" w:rsidRPr="0051359D">
        <w:rPr>
          <w:sz w:val="20"/>
          <w:szCs w:val="20"/>
        </w:rPr>
        <w:t xml:space="preserve"> </w:t>
      </w:r>
      <w:r w:rsidR="0095748C" w:rsidRPr="0051359D">
        <w:rPr>
          <w:rStyle w:val="katex-mathml"/>
          <w:sz w:val="20"/>
          <w:szCs w:val="20"/>
        </w:rPr>
        <w:t>T</w:t>
      </w:r>
      <w:r w:rsidR="0095748C" w:rsidRPr="0051359D">
        <w:rPr>
          <w:sz w:val="20"/>
          <w:szCs w:val="20"/>
        </w:rPr>
        <w:t xml:space="preserve"> is the temperature, and </w:t>
      </w:r>
      <w:r w:rsidR="0095748C" w:rsidRPr="0051359D">
        <w:rPr>
          <w:rStyle w:val="katex-mathml"/>
          <w:sz w:val="20"/>
          <w:szCs w:val="20"/>
        </w:rPr>
        <w:t>α</w:t>
      </w:r>
      <w:r w:rsidR="0095748C" w:rsidRPr="0051359D">
        <w:rPr>
          <w:sz w:val="20"/>
          <w:szCs w:val="20"/>
        </w:rPr>
        <w:t xml:space="preserve"> is the thermal diffusivity of the fluid.</w:t>
      </w:r>
    </w:p>
    <w:p w:rsidR="0095748C" w:rsidRPr="0051359D" w:rsidRDefault="0095748C" w:rsidP="000F7CC5">
      <w:pPr>
        <w:pStyle w:val="NormalWeb"/>
        <w:spacing w:line="360" w:lineRule="auto"/>
        <w:jc w:val="both"/>
        <w:rPr>
          <w:sz w:val="20"/>
          <w:szCs w:val="20"/>
        </w:rPr>
      </w:pPr>
      <w:r w:rsidRPr="0051359D">
        <w:rPr>
          <w:sz w:val="20"/>
          <w:szCs w:val="20"/>
        </w:rPr>
        <w:t xml:space="preserve">The </w:t>
      </w:r>
      <w:r w:rsidR="00E72BD6" w:rsidRPr="0051359D">
        <w:rPr>
          <w:sz w:val="20"/>
          <w:szCs w:val="20"/>
        </w:rPr>
        <w:t>expressions</w:t>
      </w:r>
      <w:r w:rsidRPr="0051359D">
        <w:rPr>
          <w:sz w:val="20"/>
          <w:szCs w:val="20"/>
        </w:rPr>
        <w:t xml:space="preserve"> can be made dimensionless using suitable scaling variables for velocity, temperature, and coordinates. Typically, the dimensionless parameters involved include:</w:t>
      </w:r>
    </w:p>
    <w:p w:rsidR="0095748C" w:rsidRPr="0051359D" w:rsidRDefault="0095748C" w:rsidP="008E6D06">
      <w:pPr>
        <w:numPr>
          <w:ilvl w:val="0"/>
          <w:numId w:val="43"/>
        </w:numPr>
        <w:spacing w:before="100" w:beforeAutospacing="1" w:after="100" w:afterAutospacing="1" w:line="360" w:lineRule="auto"/>
        <w:rPr>
          <w:sz w:val="20"/>
        </w:rPr>
      </w:pPr>
      <w:r w:rsidRPr="0051359D">
        <w:rPr>
          <w:sz w:val="20"/>
        </w:rPr>
        <w:t>Rayleigh number (Ra): characterizing the buoyancy force.</w:t>
      </w:r>
    </w:p>
    <w:p w:rsidR="0095748C" w:rsidRPr="0051359D" w:rsidRDefault="0095748C" w:rsidP="008E6D06">
      <w:pPr>
        <w:numPr>
          <w:ilvl w:val="0"/>
          <w:numId w:val="43"/>
        </w:numPr>
        <w:spacing w:before="100" w:beforeAutospacing="1" w:after="100" w:afterAutospacing="1" w:line="360" w:lineRule="auto"/>
        <w:rPr>
          <w:sz w:val="20"/>
        </w:rPr>
      </w:pPr>
      <w:r w:rsidRPr="0051359D">
        <w:rPr>
          <w:sz w:val="20"/>
        </w:rPr>
        <w:t xml:space="preserve">Prandtl number (Pr): characterizing the ratio of </w:t>
      </w:r>
      <w:r w:rsidR="002B5966" w:rsidRPr="0051359D">
        <w:rPr>
          <w:sz w:val="20"/>
        </w:rPr>
        <w:t>kinematic viscosity</w:t>
      </w:r>
      <w:r w:rsidRPr="0051359D">
        <w:rPr>
          <w:sz w:val="20"/>
        </w:rPr>
        <w:t xml:space="preserve"> to thermal diffusivity.</w:t>
      </w:r>
    </w:p>
    <w:p w:rsidR="0095748C" w:rsidRPr="0051359D" w:rsidRDefault="0095748C" w:rsidP="000F7CC5">
      <w:pPr>
        <w:pStyle w:val="NormalWeb"/>
        <w:spacing w:line="360" w:lineRule="auto"/>
        <w:jc w:val="both"/>
        <w:rPr>
          <w:sz w:val="20"/>
          <w:szCs w:val="20"/>
        </w:rPr>
      </w:pPr>
      <w:r w:rsidRPr="0051359D">
        <w:rPr>
          <w:sz w:val="20"/>
          <w:szCs w:val="20"/>
        </w:rPr>
        <w:t>The non-dimensional forms of the governing equations are then more commonly used in the analysis of natural convection problems in porous cavities.</w:t>
      </w:r>
    </w:p>
    <w:p w:rsidR="001C294C" w:rsidRPr="0051359D" w:rsidRDefault="001C294C" w:rsidP="000F7CC5">
      <w:pPr>
        <w:pStyle w:val="6Sectionheadings"/>
        <w:numPr>
          <w:ilvl w:val="0"/>
          <w:numId w:val="0"/>
        </w:numPr>
        <w:spacing w:line="360" w:lineRule="auto"/>
        <w:jc w:val="both"/>
        <w:rPr>
          <w:sz w:val="20"/>
        </w:rPr>
      </w:pPr>
      <w:r w:rsidRPr="0051359D">
        <w:rPr>
          <w:b w:val="0"/>
          <w:position w:val="-28"/>
          <w:sz w:val="20"/>
        </w:rPr>
        <w:t xml:space="preserve"> </w:t>
      </w:r>
      <w:r w:rsidRPr="0051359D">
        <w:rPr>
          <w:position w:val="-30"/>
          <w:sz w:val="20"/>
        </w:rPr>
        <w:t xml:space="preserve">  </w:t>
      </w:r>
      <w:r w:rsidRPr="0051359D">
        <w:rPr>
          <w:position w:val="-30"/>
          <w:sz w:val="20"/>
        </w:rPr>
        <w:object w:dxaOrig="1600" w:dyaOrig="720">
          <v:shape id="_x0000_i1029" type="#_x0000_t75" style="width:80.15pt;height:36.3pt" o:ole="">
            <v:imagedata r:id="rId17" o:title=""/>
          </v:shape>
          <o:OLEObject Type="Embed" ProgID="Equation.3" ShapeID="_x0000_i1029" DrawAspect="Content" ObjectID="_1797190965" r:id="rId18"/>
        </w:object>
      </w:r>
      <w:r w:rsidRPr="0051359D">
        <w:rPr>
          <w:position w:val="-30"/>
          <w:sz w:val="20"/>
        </w:rPr>
        <w:t xml:space="preserve">                                                 </w:t>
      </w:r>
      <w:r w:rsidR="000C110C" w:rsidRPr="0051359D">
        <w:rPr>
          <w:position w:val="-30"/>
          <w:sz w:val="20"/>
        </w:rPr>
        <w:t xml:space="preserve">                                                                           </w:t>
      </w:r>
      <w:r w:rsidR="00F6294C" w:rsidRPr="0051359D">
        <w:rPr>
          <w:position w:val="-30"/>
          <w:sz w:val="20"/>
        </w:rPr>
        <w:t xml:space="preserve">  </w:t>
      </w:r>
      <w:r w:rsidR="000C110C" w:rsidRPr="0051359D">
        <w:rPr>
          <w:position w:val="-30"/>
          <w:sz w:val="20"/>
        </w:rPr>
        <w:t xml:space="preserve"> </w:t>
      </w:r>
      <w:r w:rsidRPr="0051359D">
        <w:rPr>
          <w:position w:val="-30"/>
          <w:sz w:val="20"/>
        </w:rPr>
        <w:t xml:space="preserve">   </w:t>
      </w:r>
      <w:r w:rsidR="0078587A" w:rsidRPr="0051359D">
        <w:rPr>
          <w:position w:val="-30"/>
          <w:sz w:val="20"/>
        </w:rPr>
        <w:t xml:space="preserve"> </w:t>
      </w:r>
      <w:r w:rsidR="0078206F" w:rsidRPr="0051359D">
        <w:rPr>
          <w:position w:val="-30"/>
          <w:sz w:val="20"/>
        </w:rPr>
        <w:t xml:space="preserve">       </w:t>
      </w:r>
      <w:r w:rsidR="0078206F" w:rsidRPr="0051359D">
        <w:rPr>
          <w:b w:val="0"/>
          <w:position w:val="-30"/>
          <w:sz w:val="20"/>
        </w:rPr>
        <w:t xml:space="preserve">  </w:t>
      </w:r>
      <w:r w:rsidR="008E6D06" w:rsidRPr="0051359D">
        <w:rPr>
          <w:b w:val="0"/>
          <w:position w:val="-30"/>
          <w:sz w:val="20"/>
        </w:rPr>
        <w:t xml:space="preserve">      </w:t>
      </w:r>
      <w:r w:rsidR="0078587A" w:rsidRPr="0051359D">
        <w:rPr>
          <w:b w:val="0"/>
          <w:position w:val="-30"/>
          <w:sz w:val="20"/>
        </w:rPr>
        <w:t xml:space="preserve"> </w:t>
      </w:r>
      <w:r w:rsidRPr="0051359D">
        <w:rPr>
          <w:b w:val="0"/>
          <w:sz w:val="20"/>
        </w:rPr>
        <w:t>(</w:t>
      </w:r>
      <w:r w:rsidR="0078206F" w:rsidRPr="0051359D">
        <w:rPr>
          <w:b w:val="0"/>
          <w:sz w:val="20"/>
        </w:rPr>
        <w:t>5</w:t>
      </w:r>
      <w:r w:rsidRPr="0051359D">
        <w:rPr>
          <w:b w:val="0"/>
          <w:sz w:val="20"/>
        </w:rPr>
        <w:t>)</w:t>
      </w:r>
    </w:p>
    <w:p w:rsidR="001C294C" w:rsidRPr="0051359D" w:rsidRDefault="001C294C" w:rsidP="00BD3674">
      <w:pPr>
        <w:ind w:firstLine="0"/>
        <w:rPr>
          <w:sz w:val="20"/>
        </w:rPr>
      </w:pPr>
      <w:r w:rsidRPr="0051359D">
        <w:rPr>
          <w:sz w:val="20"/>
        </w:rPr>
        <w:t>Nu</w:t>
      </w:r>
      <w:r w:rsidRPr="0051359D">
        <w:rPr>
          <w:sz w:val="20"/>
          <w:vertAlign w:val="subscript"/>
        </w:rPr>
        <w:t xml:space="preserve">Local </w:t>
      </w:r>
      <w:r w:rsidRPr="0051359D">
        <w:rPr>
          <w:sz w:val="20"/>
        </w:rPr>
        <w:t xml:space="preserve">= </w:t>
      </w:r>
      <w:r w:rsidRPr="0051359D">
        <w:rPr>
          <w:position w:val="-30"/>
          <w:sz w:val="20"/>
        </w:rPr>
        <w:object w:dxaOrig="1440" w:dyaOrig="720">
          <v:shape id="_x0000_i1030" type="#_x0000_t75" style="width:1in;height:36.3pt" o:ole="">
            <v:imagedata r:id="rId19" o:title=""/>
          </v:shape>
          <o:OLEObject Type="Embed" ProgID="Equation.3" ShapeID="_x0000_i1030" DrawAspect="Content" ObjectID="_1797190966" r:id="rId20"/>
        </w:object>
      </w:r>
      <w:r w:rsidRPr="0051359D">
        <w:rPr>
          <w:position w:val="-30"/>
          <w:sz w:val="20"/>
        </w:rPr>
        <w:t xml:space="preserve">                                       </w:t>
      </w:r>
      <w:r w:rsidRPr="0051359D">
        <w:rPr>
          <w:position w:val="-30"/>
          <w:sz w:val="20"/>
        </w:rPr>
        <w:tab/>
      </w:r>
      <w:r w:rsidRPr="0051359D">
        <w:rPr>
          <w:position w:val="-30"/>
          <w:sz w:val="20"/>
        </w:rPr>
        <w:tab/>
      </w:r>
      <w:r w:rsidRPr="0051359D">
        <w:rPr>
          <w:position w:val="-30"/>
          <w:sz w:val="20"/>
        </w:rPr>
        <w:tab/>
      </w:r>
      <w:r w:rsidRPr="0051359D">
        <w:rPr>
          <w:position w:val="-30"/>
          <w:sz w:val="20"/>
        </w:rPr>
        <w:tab/>
      </w:r>
      <w:r w:rsidRPr="0051359D">
        <w:rPr>
          <w:position w:val="-30"/>
          <w:sz w:val="20"/>
        </w:rPr>
        <w:tab/>
      </w:r>
      <w:r w:rsidRPr="0051359D">
        <w:rPr>
          <w:position w:val="-30"/>
          <w:sz w:val="20"/>
        </w:rPr>
        <w:tab/>
      </w:r>
      <w:r w:rsidRPr="0051359D">
        <w:rPr>
          <w:position w:val="-30"/>
          <w:sz w:val="20"/>
        </w:rPr>
        <w:tab/>
        <w:t xml:space="preserve">          </w:t>
      </w:r>
      <w:r w:rsidR="000C110C" w:rsidRPr="0051359D">
        <w:rPr>
          <w:position w:val="-30"/>
          <w:sz w:val="20"/>
        </w:rPr>
        <w:t xml:space="preserve">     </w:t>
      </w:r>
      <w:r w:rsidR="00F6294C" w:rsidRPr="0051359D">
        <w:rPr>
          <w:position w:val="-30"/>
          <w:sz w:val="20"/>
        </w:rPr>
        <w:t xml:space="preserve"> </w:t>
      </w:r>
      <w:r w:rsidR="0078587A" w:rsidRPr="0051359D">
        <w:rPr>
          <w:position w:val="-30"/>
          <w:sz w:val="20"/>
        </w:rPr>
        <w:t xml:space="preserve"> </w:t>
      </w:r>
      <w:r w:rsidR="000C110C" w:rsidRPr="0051359D">
        <w:rPr>
          <w:position w:val="-30"/>
          <w:sz w:val="20"/>
        </w:rPr>
        <w:t xml:space="preserve"> </w:t>
      </w:r>
      <w:r w:rsidR="008E6D06" w:rsidRPr="0051359D">
        <w:rPr>
          <w:position w:val="-30"/>
          <w:sz w:val="20"/>
        </w:rPr>
        <w:t xml:space="preserve">    </w:t>
      </w:r>
      <w:r w:rsidRPr="0051359D">
        <w:rPr>
          <w:position w:val="-30"/>
          <w:sz w:val="20"/>
        </w:rPr>
        <w:t xml:space="preserve">  </w:t>
      </w:r>
      <w:r w:rsidRPr="0051359D">
        <w:rPr>
          <w:sz w:val="20"/>
        </w:rPr>
        <w:t>(</w:t>
      </w:r>
      <w:r w:rsidR="0078206F" w:rsidRPr="0051359D">
        <w:rPr>
          <w:sz w:val="20"/>
        </w:rPr>
        <w:t>6</w:t>
      </w:r>
      <w:r w:rsidRPr="0051359D">
        <w:rPr>
          <w:sz w:val="20"/>
        </w:rPr>
        <w:t>)</w:t>
      </w:r>
    </w:p>
    <w:p w:rsidR="001C294C" w:rsidRPr="0051359D" w:rsidRDefault="001C294C" w:rsidP="00825C91">
      <w:pPr>
        <w:ind w:firstLine="0"/>
        <w:rPr>
          <w:sz w:val="20"/>
        </w:rPr>
      </w:pPr>
      <w:r w:rsidRPr="0051359D">
        <w:rPr>
          <w:position w:val="-32"/>
          <w:sz w:val="20"/>
        </w:rPr>
        <w:t xml:space="preserve"> </w:t>
      </w:r>
    </w:p>
    <w:p w:rsidR="00983021" w:rsidRPr="0051359D" w:rsidRDefault="00983021" w:rsidP="00DB410A">
      <w:pPr>
        <w:rPr>
          <w:sz w:val="20"/>
        </w:rPr>
      </w:pPr>
    </w:p>
    <w:p w:rsidR="00A47C1A" w:rsidRPr="00E301B7" w:rsidRDefault="002E33E9" w:rsidP="002E33E9">
      <w:pPr>
        <w:pStyle w:val="Heading2"/>
        <w:numPr>
          <w:ilvl w:val="0"/>
          <w:numId w:val="0"/>
        </w:numPr>
        <w:spacing w:after="120"/>
        <w:rPr>
          <w:sz w:val="24"/>
          <w:szCs w:val="24"/>
        </w:rPr>
      </w:pPr>
      <w:r w:rsidRPr="00E301B7">
        <w:rPr>
          <w:sz w:val="24"/>
          <w:szCs w:val="24"/>
        </w:rPr>
        <w:lastRenderedPageBreak/>
        <w:t xml:space="preserve">3. </w:t>
      </w:r>
      <w:r w:rsidR="00825C91" w:rsidRPr="00E301B7">
        <w:rPr>
          <w:sz w:val="24"/>
          <w:szCs w:val="24"/>
        </w:rPr>
        <w:t xml:space="preserve">GRID </w:t>
      </w:r>
      <w:r w:rsidR="003E5878" w:rsidRPr="00E301B7">
        <w:rPr>
          <w:sz w:val="24"/>
          <w:szCs w:val="24"/>
        </w:rPr>
        <w:t>REFINEMENT STUDY</w:t>
      </w:r>
    </w:p>
    <w:p w:rsidR="009412D6" w:rsidRPr="0051359D" w:rsidRDefault="007B6AA8" w:rsidP="009412D6">
      <w:pPr>
        <w:pStyle w:val="91TableFigureTitle"/>
        <w:spacing w:line="360" w:lineRule="auto"/>
        <w:jc w:val="both"/>
        <w:rPr>
          <w:b w:val="0"/>
          <w:sz w:val="20"/>
        </w:rPr>
      </w:pPr>
      <w:r w:rsidRPr="0051359D">
        <w:rPr>
          <w:b w:val="0"/>
          <w:sz w:val="20"/>
        </w:rPr>
        <w:t xml:space="preserve">A </w:t>
      </w:r>
      <w:r w:rsidRPr="0051359D">
        <w:rPr>
          <w:rStyle w:val="Strong"/>
          <w:sz w:val="20"/>
        </w:rPr>
        <w:t xml:space="preserve">grid </w:t>
      </w:r>
      <w:r w:rsidR="00795BC1" w:rsidRPr="0051359D">
        <w:rPr>
          <w:rStyle w:val="Strong"/>
          <w:sz w:val="20"/>
        </w:rPr>
        <w:t>refinement</w:t>
      </w:r>
      <w:r w:rsidRPr="0051359D">
        <w:rPr>
          <w:rStyle w:val="Strong"/>
          <w:sz w:val="20"/>
        </w:rPr>
        <w:t xml:space="preserve"> test</w:t>
      </w:r>
      <w:r w:rsidRPr="0051359D">
        <w:rPr>
          <w:b w:val="0"/>
          <w:sz w:val="20"/>
        </w:rPr>
        <w:t xml:space="preserve"> was </w:t>
      </w:r>
      <w:r w:rsidR="00C213F0" w:rsidRPr="0051359D">
        <w:rPr>
          <w:b w:val="0"/>
          <w:sz w:val="20"/>
        </w:rPr>
        <w:t>exemined</w:t>
      </w:r>
      <w:r w:rsidRPr="0051359D">
        <w:rPr>
          <w:b w:val="0"/>
          <w:sz w:val="20"/>
        </w:rPr>
        <w:t xml:space="preserve"> for a </w:t>
      </w:r>
      <w:r w:rsidR="00195CD5" w:rsidRPr="0051359D">
        <w:rPr>
          <w:b w:val="0"/>
          <w:sz w:val="20"/>
        </w:rPr>
        <w:t>buoyant heat transfer</w:t>
      </w:r>
      <w:r w:rsidRPr="0051359D">
        <w:rPr>
          <w:b w:val="0"/>
          <w:sz w:val="20"/>
        </w:rPr>
        <w:t xml:space="preserve"> in a porous cavity at a </w:t>
      </w:r>
      <w:r w:rsidRPr="0051359D">
        <w:rPr>
          <w:b w:val="0"/>
          <w:i/>
          <w:sz w:val="20"/>
        </w:rPr>
        <w:t xml:space="preserve">Ra </w:t>
      </w:r>
      <w:r w:rsidR="00195CD5" w:rsidRPr="0051359D">
        <w:rPr>
          <w:b w:val="0"/>
          <w:i/>
          <w:sz w:val="20"/>
        </w:rPr>
        <w:t>=</w:t>
      </w:r>
      <w:r w:rsidRPr="0051359D">
        <w:rPr>
          <w:b w:val="0"/>
          <w:i/>
          <w:sz w:val="20"/>
        </w:rPr>
        <w:t xml:space="preserve"> 1000</w:t>
      </w:r>
      <w:r w:rsidRPr="0051359D">
        <w:rPr>
          <w:b w:val="0"/>
          <w:sz w:val="20"/>
        </w:rPr>
        <w:t xml:space="preserve">. </w:t>
      </w:r>
      <w:r w:rsidR="00795BC1" w:rsidRPr="0051359D">
        <w:rPr>
          <w:b w:val="0"/>
          <w:sz w:val="20"/>
        </w:rPr>
        <w:t>Different mesh sizes were used to discretize the computing domain, ranging from a coarse grid of 30 × 30, 40 × 40, 50 × 50, to 60 × 60.</w:t>
      </w:r>
      <w:r w:rsidRPr="0051359D">
        <w:rPr>
          <w:b w:val="0"/>
          <w:sz w:val="20"/>
        </w:rPr>
        <w:t xml:space="preserve">The results showed that as the mesh was refined, the solution gradually stabilized, with noticeable improvements in accuracy. However, beyond a mesh size of </w:t>
      </w:r>
      <w:r w:rsidRPr="0051359D">
        <w:rPr>
          <w:rStyle w:val="katex-mathml"/>
          <w:b w:val="0"/>
          <w:sz w:val="20"/>
        </w:rPr>
        <w:t>40×40</w:t>
      </w:r>
      <w:r w:rsidRPr="0051359D">
        <w:rPr>
          <w:b w:val="0"/>
          <w:sz w:val="20"/>
        </w:rPr>
        <w:t xml:space="preserve">, no significant changes in the flow or temperature fields were observed, indicating that the solution had converged. Therefore, a mesh size of </w:t>
      </w:r>
      <w:r w:rsidRPr="0051359D">
        <w:rPr>
          <w:rStyle w:val="katex-mathml"/>
          <w:b w:val="0"/>
          <w:sz w:val="20"/>
        </w:rPr>
        <w:t xml:space="preserve">40×40 </w:t>
      </w:r>
      <w:r w:rsidRPr="0051359D">
        <w:rPr>
          <w:b w:val="0"/>
          <w:sz w:val="20"/>
        </w:rPr>
        <w:t>was deemed sufficient to capture the key flow characteristics while maintaining computational efficiency</w:t>
      </w:r>
      <w:r w:rsidR="009412D6" w:rsidRPr="0051359D">
        <w:rPr>
          <w:b w:val="0"/>
          <w:sz w:val="20"/>
        </w:rPr>
        <w:t>.</w:t>
      </w:r>
    </w:p>
    <w:p w:rsidR="00532A04" w:rsidRPr="0051359D" w:rsidRDefault="00532A04" w:rsidP="009412D6">
      <w:pPr>
        <w:pStyle w:val="91TableFigureTitle"/>
        <w:spacing w:line="360" w:lineRule="auto"/>
        <w:jc w:val="center"/>
        <w:rPr>
          <w:b w:val="0"/>
          <w:sz w:val="20"/>
        </w:rPr>
      </w:pPr>
      <w:r w:rsidRPr="0051359D">
        <w:rPr>
          <w:sz w:val="20"/>
        </w:rPr>
        <w:t xml:space="preserve">Table 1: </w:t>
      </w:r>
      <w:r w:rsidR="00F918F6" w:rsidRPr="0051359D">
        <w:rPr>
          <w:sz w:val="20"/>
        </w:rPr>
        <w:t>Mesh</w:t>
      </w:r>
      <w:r w:rsidRPr="0051359D">
        <w:rPr>
          <w:sz w:val="20"/>
        </w:rPr>
        <w:t xml:space="preserve"> </w:t>
      </w:r>
      <w:r w:rsidR="00F918F6" w:rsidRPr="0051359D">
        <w:rPr>
          <w:sz w:val="20"/>
        </w:rPr>
        <w:t xml:space="preserve">convergence </w:t>
      </w:r>
      <w:r w:rsidR="009412D6" w:rsidRPr="0051359D">
        <w:rPr>
          <w:sz w:val="20"/>
        </w:rPr>
        <w:t>Test</w:t>
      </w:r>
      <w:r w:rsidRPr="0051359D">
        <w:rPr>
          <w:sz w:val="20"/>
        </w:rPr>
        <w:t xml:space="preserve"> for </w:t>
      </w:r>
      <w:r w:rsidRPr="0051359D">
        <w:rPr>
          <w:i/>
          <w:sz w:val="20"/>
        </w:rPr>
        <w:t>Ra = 10</w:t>
      </w:r>
      <w:r w:rsidRPr="0051359D">
        <w:rPr>
          <w:i/>
          <w:sz w:val="20"/>
          <w:vertAlign w:val="superscript"/>
        </w:rPr>
        <w:t>3</w:t>
      </w:r>
    </w:p>
    <w:tbl>
      <w:tblPr>
        <w:tblW w:w="0" w:type="auto"/>
        <w:jc w:val="center"/>
        <w:tblBorders>
          <w:top w:val="single" w:sz="4" w:space="0" w:color="auto"/>
          <w:bottom w:val="single" w:sz="4" w:space="0" w:color="auto"/>
          <w:insideH w:val="single" w:sz="4" w:space="0" w:color="auto"/>
        </w:tblBorders>
        <w:tblCellMar>
          <w:left w:w="57" w:type="dxa"/>
          <w:right w:w="57" w:type="dxa"/>
        </w:tblCellMar>
        <w:tblLook w:val="04A0"/>
      </w:tblPr>
      <w:tblGrid>
        <w:gridCol w:w="1153"/>
        <w:gridCol w:w="1560"/>
        <w:gridCol w:w="1105"/>
      </w:tblGrid>
      <w:tr w:rsidR="00825C91" w:rsidRPr="0051359D" w:rsidTr="006A3785">
        <w:trPr>
          <w:trHeight w:val="382"/>
          <w:jc w:val="center"/>
        </w:trPr>
        <w:tc>
          <w:tcPr>
            <w:tcW w:w="1153" w:type="dxa"/>
            <w:vAlign w:val="center"/>
          </w:tcPr>
          <w:p w:rsidR="00825C91" w:rsidRPr="0051359D" w:rsidRDefault="00F918F6"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Mesh</w:t>
            </w:r>
            <w:r w:rsidR="00825C91" w:rsidRPr="0051359D">
              <w:rPr>
                <w:rFonts w:ascii="Times New Roman" w:hAnsi="Times New Roman"/>
                <w:sz w:val="20"/>
                <w:szCs w:val="20"/>
              </w:rPr>
              <w:t xml:space="preserve"> size</w:t>
            </w:r>
          </w:p>
        </w:tc>
        <w:tc>
          <w:tcPr>
            <w:tcW w:w="1560" w:type="dxa"/>
          </w:tcPr>
          <w:p w:rsidR="00825C91" w:rsidRPr="0051359D" w:rsidRDefault="00825C91"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position w:val="-6"/>
                <w:sz w:val="20"/>
                <w:szCs w:val="20"/>
              </w:rPr>
              <w:object w:dxaOrig="336" w:dyaOrig="312">
                <v:shape id="_x0000_i1031" type="#_x0000_t75" style="width:16.3pt;height:15.65pt" o:ole="">
                  <v:imagedata r:id="rId21" o:title=""/>
                </v:shape>
                <o:OLEObject Type="Embed" ProgID="Equation.3" ShapeID="_x0000_i1031" DrawAspect="Content" ObjectID="_1797190967" r:id="rId22"/>
              </w:object>
            </w:r>
            <w:r w:rsidRPr="0051359D">
              <w:rPr>
                <w:rFonts w:ascii="Times New Roman" w:hAnsi="Times New Roman"/>
                <w:sz w:val="20"/>
                <w:szCs w:val="20"/>
              </w:rPr>
              <w:t>[Present]</w:t>
            </w:r>
          </w:p>
        </w:tc>
        <w:tc>
          <w:tcPr>
            <w:tcW w:w="1105" w:type="dxa"/>
          </w:tcPr>
          <w:p w:rsidR="00825C91" w:rsidRPr="0051359D" w:rsidRDefault="00825C91" w:rsidP="00105AAC">
            <w:pPr>
              <w:pStyle w:val="ListParagraph"/>
              <w:spacing w:after="0" w:line="360" w:lineRule="auto"/>
              <w:ind w:left="0"/>
              <w:jc w:val="center"/>
              <w:rPr>
                <w:rFonts w:ascii="Times New Roman" w:hAnsi="Times New Roman"/>
                <w:sz w:val="20"/>
                <w:szCs w:val="20"/>
              </w:rPr>
            </w:pPr>
            <w:r w:rsidRPr="0051359D">
              <w:rPr>
                <w:rFonts w:ascii="Times New Roman" w:hAnsi="Times New Roman"/>
                <w:position w:val="-6"/>
                <w:sz w:val="20"/>
                <w:szCs w:val="20"/>
              </w:rPr>
              <w:object w:dxaOrig="336" w:dyaOrig="312">
                <v:shape id="_x0000_i1032" type="#_x0000_t75" style="width:16.3pt;height:15.65pt" o:ole="">
                  <v:imagedata r:id="rId23" o:title=""/>
                </v:shape>
                <o:OLEObject Type="Embed" ProgID="Equation.3" ShapeID="_x0000_i1032" DrawAspect="Content" ObjectID="_1797190968" r:id="rId24"/>
              </w:object>
            </w:r>
            <w:r w:rsidRPr="0051359D">
              <w:rPr>
                <w:rFonts w:ascii="Times New Roman" w:hAnsi="Times New Roman"/>
                <w:sz w:val="20"/>
                <w:szCs w:val="20"/>
              </w:rPr>
              <w:t xml:space="preserve"> [1]</w:t>
            </w:r>
          </w:p>
        </w:tc>
      </w:tr>
      <w:tr w:rsidR="00825C91" w:rsidRPr="0051359D" w:rsidTr="006A3785">
        <w:trPr>
          <w:jc w:val="center"/>
        </w:trPr>
        <w:tc>
          <w:tcPr>
            <w:tcW w:w="1153" w:type="dxa"/>
          </w:tcPr>
          <w:p w:rsidR="00825C91" w:rsidRPr="0051359D" w:rsidRDefault="00D5788C" w:rsidP="00D5788C">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10</w:t>
            </w:r>
            <w:r w:rsidR="00825C91" w:rsidRPr="0051359D">
              <w:rPr>
                <w:rFonts w:ascii="Times New Roman" w:hAnsi="Times New Roman"/>
                <w:sz w:val="20"/>
                <w:szCs w:val="20"/>
              </w:rPr>
              <w:t xml:space="preserve"> x 1</w:t>
            </w:r>
            <w:r w:rsidRPr="0051359D">
              <w:rPr>
                <w:rFonts w:ascii="Times New Roman" w:hAnsi="Times New Roman"/>
                <w:sz w:val="20"/>
                <w:szCs w:val="20"/>
              </w:rPr>
              <w:t>0</w:t>
            </w:r>
          </w:p>
        </w:tc>
        <w:tc>
          <w:tcPr>
            <w:tcW w:w="1560" w:type="dxa"/>
          </w:tcPr>
          <w:p w:rsidR="00825C91" w:rsidRPr="0051359D" w:rsidRDefault="00825C91"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4.683</w:t>
            </w:r>
          </w:p>
        </w:tc>
        <w:tc>
          <w:tcPr>
            <w:tcW w:w="1105" w:type="dxa"/>
            <w:vMerge w:val="restart"/>
          </w:tcPr>
          <w:p w:rsidR="00825C91" w:rsidRPr="0051359D" w:rsidRDefault="00825C91" w:rsidP="006A3785">
            <w:pPr>
              <w:pStyle w:val="ListParagraph"/>
              <w:spacing w:line="360" w:lineRule="auto"/>
              <w:ind w:left="0"/>
              <w:rPr>
                <w:rFonts w:ascii="Times New Roman" w:hAnsi="Times New Roman"/>
                <w:sz w:val="20"/>
                <w:szCs w:val="20"/>
              </w:rPr>
            </w:pPr>
          </w:p>
          <w:p w:rsidR="00825C91" w:rsidRPr="0051359D" w:rsidRDefault="00825C91" w:rsidP="006A3785">
            <w:pPr>
              <w:pStyle w:val="ListParagraph"/>
              <w:spacing w:before="240" w:after="0" w:line="360" w:lineRule="auto"/>
              <w:ind w:left="0"/>
              <w:jc w:val="center"/>
              <w:rPr>
                <w:rFonts w:ascii="Times New Roman" w:hAnsi="Times New Roman"/>
                <w:sz w:val="20"/>
                <w:szCs w:val="20"/>
              </w:rPr>
            </w:pPr>
          </w:p>
          <w:p w:rsidR="00825C91" w:rsidRPr="0051359D" w:rsidRDefault="00825C91" w:rsidP="006A3785">
            <w:pPr>
              <w:spacing w:line="360" w:lineRule="auto"/>
              <w:rPr>
                <w:sz w:val="20"/>
              </w:rPr>
            </w:pPr>
            <w:r w:rsidRPr="0051359D">
              <w:rPr>
                <w:sz w:val="20"/>
              </w:rPr>
              <w:t xml:space="preserve">       6.935</w:t>
            </w:r>
          </w:p>
        </w:tc>
      </w:tr>
      <w:tr w:rsidR="00825C91" w:rsidRPr="0051359D" w:rsidTr="006A3785">
        <w:trPr>
          <w:jc w:val="center"/>
        </w:trPr>
        <w:tc>
          <w:tcPr>
            <w:tcW w:w="1153" w:type="dxa"/>
          </w:tcPr>
          <w:p w:rsidR="00825C91" w:rsidRPr="0051359D" w:rsidRDefault="00D5788C" w:rsidP="00D5788C">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20</w:t>
            </w:r>
            <w:r w:rsidR="00825C91" w:rsidRPr="0051359D">
              <w:rPr>
                <w:rFonts w:ascii="Times New Roman" w:hAnsi="Times New Roman"/>
                <w:sz w:val="20"/>
                <w:szCs w:val="20"/>
              </w:rPr>
              <w:t xml:space="preserve"> x </w:t>
            </w:r>
            <w:r w:rsidRPr="0051359D">
              <w:rPr>
                <w:rFonts w:ascii="Times New Roman" w:hAnsi="Times New Roman"/>
                <w:sz w:val="20"/>
                <w:szCs w:val="20"/>
              </w:rPr>
              <w:t>20</w:t>
            </w:r>
          </w:p>
        </w:tc>
        <w:tc>
          <w:tcPr>
            <w:tcW w:w="1560" w:type="dxa"/>
          </w:tcPr>
          <w:p w:rsidR="00825C91" w:rsidRPr="0051359D" w:rsidRDefault="00825C91"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6.543</w:t>
            </w:r>
          </w:p>
        </w:tc>
        <w:tc>
          <w:tcPr>
            <w:tcW w:w="1105" w:type="dxa"/>
            <w:vMerge/>
          </w:tcPr>
          <w:p w:rsidR="00825C91" w:rsidRPr="0051359D" w:rsidRDefault="00825C91" w:rsidP="00825C91">
            <w:pPr>
              <w:pStyle w:val="ListParagraph"/>
              <w:numPr>
                <w:ilvl w:val="0"/>
                <w:numId w:val="22"/>
              </w:numPr>
              <w:spacing w:line="360" w:lineRule="auto"/>
              <w:ind w:left="284" w:firstLine="480"/>
              <w:jc w:val="right"/>
              <w:rPr>
                <w:rFonts w:ascii="Times New Roman" w:hAnsi="Times New Roman"/>
                <w:sz w:val="20"/>
                <w:szCs w:val="20"/>
              </w:rPr>
            </w:pPr>
          </w:p>
        </w:tc>
      </w:tr>
      <w:tr w:rsidR="00825C91" w:rsidRPr="0051359D" w:rsidTr="006A3785">
        <w:trPr>
          <w:jc w:val="center"/>
        </w:trPr>
        <w:tc>
          <w:tcPr>
            <w:tcW w:w="1153" w:type="dxa"/>
          </w:tcPr>
          <w:p w:rsidR="00825C91" w:rsidRPr="0051359D" w:rsidRDefault="00D5788C" w:rsidP="00D5788C">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30</w:t>
            </w:r>
            <w:r w:rsidR="00825C91" w:rsidRPr="0051359D">
              <w:rPr>
                <w:rFonts w:ascii="Times New Roman" w:hAnsi="Times New Roman"/>
                <w:sz w:val="20"/>
                <w:szCs w:val="20"/>
              </w:rPr>
              <w:t xml:space="preserve"> x </w:t>
            </w:r>
            <w:r w:rsidRPr="0051359D">
              <w:rPr>
                <w:rFonts w:ascii="Times New Roman" w:hAnsi="Times New Roman"/>
                <w:sz w:val="20"/>
                <w:szCs w:val="20"/>
              </w:rPr>
              <w:t>30</w:t>
            </w:r>
          </w:p>
        </w:tc>
        <w:tc>
          <w:tcPr>
            <w:tcW w:w="1560" w:type="dxa"/>
          </w:tcPr>
          <w:p w:rsidR="00825C91" w:rsidRPr="0051359D" w:rsidRDefault="00825C91"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6.862</w:t>
            </w:r>
          </w:p>
        </w:tc>
        <w:tc>
          <w:tcPr>
            <w:tcW w:w="1105" w:type="dxa"/>
            <w:vMerge/>
          </w:tcPr>
          <w:p w:rsidR="00825C91" w:rsidRPr="0051359D" w:rsidRDefault="00825C91" w:rsidP="00825C91">
            <w:pPr>
              <w:pStyle w:val="ListParagraph"/>
              <w:numPr>
                <w:ilvl w:val="0"/>
                <w:numId w:val="22"/>
              </w:numPr>
              <w:spacing w:after="0" w:line="360" w:lineRule="auto"/>
              <w:ind w:left="284" w:firstLine="480"/>
              <w:jc w:val="right"/>
              <w:rPr>
                <w:rFonts w:ascii="Times New Roman" w:hAnsi="Times New Roman"/>
                <w:sz w:val="20"/>
                <w:szCs w:val="20"/>
              </w:rPr>
            </w:pPr>
          </w:p>
        </w:tc>
      </w:tr>
      <w:tr w:rsidR="00825C91" w:rsidRPr="0051359D" w:rsidTr="006A3785">
        <w:trPr>
          <w:jc w:val="center"/>
        </w:trPr>
        <w:tc>
          <w:tcPr>
            <w:tcW w:w="1153" w:type="dxa"/>
          </w:tcPr>
          <w:p w:rsidR="00825C91" w:rsidRPr="0051359D" w:rsidRDefault="00D5788C" w:rsidP="00D5788C">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40</w:t>
            </w:r>
            <w:r w:rsidR="00825C91" w:rsidRPr="0051359D">
              <w:rPr>
                <w:rFonts w:ascii="Times New Roman" w:hAnsi="Times New Roman"/>
                <w:sz w:val="20"/>
                <w:szCs w:val="20"/>
              </w:rPr>
              <w:t xml:space="preserve"> x </w:t>
            </w:r>
            <w:r w:rsidRPr="0051359D">
              <w:rPr>
                <w:rFonts w:ascii="Times New Roman" w:hAnsi="Times New Roman"/>
                <w:sz w:val="20"/>
                <w:szCs w:val="20"/>
              </w:rPr>
              <w:t>40</w:t>
            </w:r>
          </w:p>
        </w:tc>
        <w:tc>
          <w:tcPr>
            <w:tcW w:w="1560" w:type="dxa"/>
          </w:tcPr>
          <w:p w:rsidR="00825C91" w:rsidRPr="0051359D" w:rsidRDefault="00825C91" w:rsidP="00864D60">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6.93</w:t>
            </w:r>
            <w:r w:rsidR="00864D60" w:rsidRPr="0051359D">
              <w:rPr>
                <w:rFonts w:ascii="Times New Roman" w:hAnsi="Times New Roman"/>
                <w:sz w:val="20"/>
                <w:szCs w:val="20"/>
              </w:rPr>
              <w:t>5</w:t>
            </w:r>
          </w:p>
        </w:tc>
        <w:tc>
          <w:tcPr>
            <w:tcW w:w="1105" w:type="dxa"/>
            <w:vMerge/>
          </w:tcPr>
          <w:p w:rsidR="00825C91" w:rsidRPr="0051359D" w:rsidRDefault="00825C91" w:rsidP="00825C91">
            <w:pPr>
              <w:pStyle w:val="ListParagraph"/>
              <w:numPr>
                <w:ilvl w:val="0"/>
                <w:numId w:val="22"/>
              </w:numPr>
              <w:spacing w:line="360" w:lineRule="auto"/>
              <w:ind w:left="284" w:firstLine="480"/>
              <w:jc w:val="right"/>
              <w:rPr>
                <w:rFonts w:ascii="Times New Roman" w:hAnsi="Times New Roman"/>
                <w:sz w:val="20"/>
                <w:szCs w:val="20"/>
              </w:rPr>
            </w:pPr>
          </w:p>
        </w:tc>
      </w:tr>
      <w:tr w:rsidR="00825C91" w:rsidRPr="0051359D" w:rsidTr="006A3785">
        <w:trPr>
          <w:jc w:val="center"/>
        </w:trPr>
        <w:tc>
          <w:tcPr>
            <w:tcW w:w="1153" w:type="dxa"/>
          </w:tcPr>
          <w:p w:rsidR="00825C91" w:rsidRPr="0051359D" w:rsidRDefault="00D5788C"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50</w:t>
            </w:r>
            <w:r w:rsidR="00825C91" w:rsidRPr="0051359D">
              <w:rPr>
                <w:rFonts w:ascii="Times New Roman" w:hAnsi="Times New Roman"/>
                <w:sz w:val="20"/>
                <w:szCs w:val="20"/>
              </w:rPr>
              <w:t xml:space="preserve"> x </w:t>
            </w:r>
            <w:r w:rsidRPr="0051359D">
              <w:rPr>
                <w:rFonts w:ascii="Times New Roman" w:hAnsi="Times New Roman"/>
                <w:sz w:val="20"/>
                <w:szCs w:val="20"/>
              </w:rPr>
              <w:t>50</w:t>
            </w:r>
          </w:p>
        </w:tc>
        <w:tc>
          <w:tcPr>
            <w:tcW w:w="1560" w:type="dxa"/>
          </w:tcPr>
          <w:p w:rsidR="00825C91" w:rsidRPr="0051359D" w:rsidRDefault="00825C91" w:rsidP="006A3785">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6.936</w:t>
            </w:r>
          </w:p>
        </w:tc>
        <w:tc>
          <w:tcPr>
            <w:tcW w:w="1105" w:type="dxa"/>
            <w:vMerge/>
          </w:tcPr>
          <w:p w:rsidR="00825C91" w:rsidRPr="0051359D" w:rsidRDefault="00825C91" w:rsidP="00825C91">
            <w:pPr>
              <w:pStyle w:val="ListParagraph"/>
              <w:numPr>
                <w:ilvl w:val="0"/>
                <w:numId w:val="22"/>
              </w:numPr>
              <w:spacing w:line="360" w:lineRule="auto"/>
              <w:ind w:left="284" w:firstLine="480"/>
              <w:jc w:val="right"/>
              <w:rPr>
                <w:rFonts w:ascii="Times New Roman" w:hAnsi="Times New Roman"/>
                <w:sz w:val="20"/>
                <w:szCs w:val="20"/>
              </w:rPr>
            </w:pPr>
          </w:p>
        </w:tc>
      </w:tr>
      <w:tr w:rsidR="00825C91" w:rsidRPr="0051359D" w:rsidTr="006A3785">
        <w:trPr>
          <w:jc w:val="center"/>
        </w:trPr>
        <w:tc>
          <w:tcPr>
            <w:tcW w:w="1153" w:type="dxa"/>
          </w:tcPr>
          <w:p w:rsidR="00825C91" w:rsidRPr="0051359D" w:rsidRDefault="00825C91" w:rsidP="00D5788C">
            <w:pPr>
              <w:spacing w:line="360" w:lineRule="auto"/>
              <w:ind w:firstLine="0"/>
              <w:rPr>
                <w:sz w:val="20"/>
              </w:rPr>
            </w:pPr>
            <w:r w:rsidRPr="0051359D">
              <w:rPr>
                <w:sz w:val="20"/>
              </w:rPr>
              <w:t xml:space="preserve">    </w:t>
            </w:r>
            <w:r w:rsidR="00D5788C" w:rsidRPr="0051359D">
              <w:rPr>
                <w:sz w:val="20"/>
              </w:rPr>
              <w:t xml:space="preserve">60 </w:t>
            </w:r>
            <w:r w:rsidRPr="0051359D">
              <w:rPr>
                <w:sz w:val="20"/>
              </w:rPr>
              <w:t>x 6</w:t>
            </w:r>
            <w:r w:rsidR="00D5788C" w:rsidRPr="0051359D">
              <w:rPr>
                <w:sz w:val="20"/>
              </w:rPr>
              <w:t>0</w:t>
            </w:r>
          </w:p>
        </w:tc>
        <w:tc>
          <w:tcPr>
            <w:tcW w:w="1560" w:type="dxa"/>
          </w:tcPr>
          <w:p w:rsidR="00825C91" w:rsidRPr="0051359D" w:rsidRDefault="00825C91" w:rsidP="00864D60">
            <w:pPr>
              <w:pStyle w:val="ListParagraph"/>
              <w:spacing w:after="0" w:line="360" w:lineRule="auto"/>
              <w:ind w:left="0"/>
              <w:jc w:val="center"/>
              <w:rPr>
                <w:rFonts w:ascii="Times New Roman" w:hAnsi="Times New Roman"/>
                <w:sz w:val="20"/>
                <w:szCs w:val="20"/>
              </w:rPr>
            </w:pPr>
            <w:r w:rsidRPr="0051359D">
              <w:rPr>
                <w:rFonts w:ascii="Times New Roman" w:hAnsi="Times New Roman"/>
                <w:sz w:val="20"/>
                <w:szCs w:val="20"/>
              </w:rPr>
              <w:t>6.93</w:t>
            </w:r>
            <w:r w:rsidR="00864D60" w:rsidRPr="0051359D">
              <w:rPr>
                <w:rFonts w:ascii="Times New Roman" w:hAnsi="Times New Roman"/>
                <w:sz w:val="20"/>
                <w:szCs w:val="20"/>
              </w:rPr>
              <w:t>6</w:t>
            </w:r>
          </w:p>
        </w:tc>
        <w:tc>
          <w:tcPr>
            <w:tcW w:w="1105" w:type="dxa"/>
            <w:vMerge/>
          </w:tcPr>
          <w:p w:rsidR="00825C91" w:rsidRPr="0051359D" w:rsidRDefault="00825C91" w:rsidP="00825C91">
            <w:pPr>
              <w:pStyle w:val="ListParagraph"/>
              <w:numPr>
                <w:ilvl w:val="0"/>
                <w:numId w:val="22"/>
              </w:numPr>
              <w:spacing w:line="360" w:lineRule="auto"/>
              <w:ind w:left="284" w:firstLine="480"/>
              <w:jc w:val="right"/>
              <w:rPr>
                <w:rFonts w:ascii="Times New Roman" w:hAnsi="Times New Roman"/>
                <w:sz w:val="20"/>
                <w:szCs w:val="20"/>
              </w:rPr>
            </w:pPr>
          </w:p>
        </w:tc>
      </w:tr>
    </w:tbl>
    <w:p w:rsidR="00A47C1A" w:rsidRPr="0051359D" w:rsidRDefault="00A47C1A">
      <w:pPr>
        <w:rPr>
          <w:sz w:val="20"/>
        </w:rPr>
      </w:pPr>
    </w:p>
    <w:p w:rsidR="00A47C1A" w:rsidRPr="00E301B7" w:rsidRDefault="002E33E9" w:rsidP="002E33E9">
      <w:pPr>
        <w:pStyle w:val="Heading2"/>
        <w:numPr>
          <w:ilvl w:val="0"/>
          <w:numId w:val="0"/>
        </w:numPr>
        <w:spacing w:after="120"/>
        <w:rPr>
          <w:sz w:val="24"/>
          <w:szCs w:val="24"/>
        </w:rPr>
      </w:pPr>
      <w:r w:rsidRPr="00E301B7">
        <w:rPr>
          <w:sz w:val="24"/>
          <w:szCs w:val="24"/>
        </w:rPr>
        <w:t xml:space="preserve">4. </w:t>
      </w:r>
      <w:r w:rsidR="00796E3E" w:rsidRPr="00E301B7">
        <w:rPr>
          <w:sz w:val="24"/>
          <w:szCs w:val="24"/>
        </w:rPr>
        <w:t xml:space="preserve">NUMERICAL </w:t>
      </w:r>
      <w:r w:rsidR="00532A04" w:rsidRPr="00E301B7">
        <w:rPr>
          <w:sz w:val="24"/>
          <w:szCs w:val="24"/>
        </w:rPr>
        <w:t>VALIDATION</w:t>
      </w:r>
    </w:p>
    <w:p w:rsidR="00FE4428" w:rsidRPr="0051359D" w:rsidRDefault="00FE4428" w:rsidP="00FE4428">
      <w:pPr>
        <w:pStyle w:val="NormalWeb"/>
        <w:spacing w:line="360" w:lineRule="auto"/>
        <w:jc w:val="both"/>
        <w:rPr>
          <w:sz w:val="20"/>
          <w:szCs w:val="20"/>
        </w:rPr>
      </w:pPr>
      <w:r w:rsidRPr="0051359D">
        <w:rPr>
          <w:sz w:val="20"/>
          <w:szCs w:val="20"/>
        </w:rPr>
        <w:t>The validation of the present numerical model can be performed by comparing the obtained results with the benchmark data provided by Varol et al [1</w:t>
      </w:r>
      <w:r w:rsidR="0082457F" w:rsidRPr="0051359D">
        <w:rPr>
          <w:sz w:val="20"/>
          <w:szCs w:val="20"/>
        </w:rPr>
        <w:t>6</w:t>
      </w:r>
      <w:r w:rsidRPr="0051359D">
        <w:rPr>
          <w:sz w:val="20"/>
          <w:szCs w:val="20"/>
        </w:rPr>
        <w:t xml:space="preserve">]. </w:t>
      </w:r>
      <w:r w:rsidR="00B870BC" w:rsidRPr="0051359D">
        <w:rPr>
          <w:sz w:val="20"/>
          <w:szCs w:val="20"/>
        </w:rPr>
        <w:t>For</w:t>
      </w:r>
      <w:r w:rsidRPr="0051359D">
        <w:rPr>
          <w:sz w:val="20"/>
          <w:szCs w:val="20"/>
        </w:rPr>
        <w:t xml:space="preserve"> </w:t>
      </w:r>
      <w:r w:rsidR="00FE249B" w:rsidRPr="0051359D">
        <w:rPr>
          <w:sz w:val="20"/>
          <w:szCs w:val="20"/>
        </w:rPr>
        <w:t>buoyant energy transfer</w:t>
      </w:r>
      <w:r w:rsidRPr="0051359D">
        <w:rPr>
          <w:sz w:val="20"/>
          <w:szCs w:val="20"/>
        </w:rPr>
        <w:t xml:space="preserve"> in a </w:t>
      </w:r>
      <w:r w:rsidR="00FE249B" w:rsidRPr="0051359D">
        <w:rPr>
          <w:sz w:val="20"/>
          <w:szCs w:val="20"/>
        </w:rPr>
        <w:t xml:space="preserve">non-square </w:t>
      </w:r>
      <w:r w:rsidRPr="0051359D">
        <w:rPr>
          <w:sz w:val="20"/>
          <w:szCs w:val="20"/>
        </w:rPr>
        <w:t xml:space="preserve"> chamber. In their study, they considered a chamber with an aspect ratio (AR) of 0.5, tilted at a 60-degree angle, with uniform heating applied to the lower surface.</w:t>
      </w:r>
    </w:p>
    <w:p w:rsidR="00FE4428" w:rsidRPr="0051359D" w:rsidRDefault="00FE4428" w:rsidP="00FE4428">
      <w:pPr>
        <w:pStyle w:val="NormalWeb"/>
        <w:spacing w:line="360" w:lineRule="auto"/>
        <w:jc w:val="both"/>
        <w:rPr>
          <w:sz w:val="20"/>
          <w:szCs w:val="20"/>
        </w:rPr>
      </w:pPr>
      <w:r w:rsidRPr="0051359D">
        <w:rPr>
          <w:sz w:val="20"/>
          <w:szCs w:val="20"/>
        </w:rPr>
        <w:t>The figures provided by Varol et al [1</w:t>
      </w:r>
      <w:r w:rsidR="0082457F" w:rsidRPr="0051359D">
        <w:rPr>
          <w:sz w:val="20"/>
          <w:szCs w:val="20"/>
        </w:rPr>
        <w:t>6</w:t>
      </w:r>
      <w:r w:rsidRPr="0051359D">
        <w:rPr>
          <w:sz w:val="20"/>
          <w:szCs w:val="20"/>
        </w:rPr>
        <w:t xml:space="preserve">]. </w:t>
      </w:r>
      <w:r w:rsidR="00B870BC" w:rsidRPr="0051359D">
        <w:rPr>
          <w:sz w:val="20"/>
          <w:szCs w:val="20"/>
        </w:rPr>
        <w:t>Display</w:t>
      </w:r>
      <w:r w:rsidRPr="0051359D">
        <w:rPr>
          <w:sz w:val="20"/>
          <w:szCs w:val="20"/>
        </w:rPr>
        <w:t xml:space="preserve"> </w:t>
      </w:r>
      <w:r w:rsidRPr="0051359D">
        <w:rPr>
          <w:rStyle w:val="Strong"/>
          <w:b w:val="0"/>
          <w:sz w:val="20"/>
          <w:szCs w:val="20"/>
        </w:rPr>
        <w:t>isotherms</w:t>
      </w:r>
      <w:r w:rsidRPr="0051359D">
        <w:rPr>
          <w:b/>
          <w:sz w:val="20"/>
          <w:szCs w:val="20"/>
        </w:rPr>
        <w:t xml:space="preserve"> </w:t>
      </w:r>
      <w:r w:rsidRPr="0051359D">
        <w:rPr>
          <w:sz w:val="20"/>
          <w:szCs w:val="20"/>
        </w:rPr>
        <w:t xml:space="preserve">and </w:t>
      </w:r>
      <w:r w:rsidRPr="0051359D">
        <w:rPr>
          <w:rStyle w:val="Strong"/>
          <w:b w:val="0"/>
          <w:sz w:val="20"/>
          <w:szCs w:val="20"/>
        </w:rPr>
        <w:t>stream functions</w:t>
      </w:r>
      <w:r w:rsidRPr="0051359D">
        <w:rPr>
          <w:sz w:val="20"/>
          <w:szCs w:val="20"/>
        </w:rPr>
        <w:t xml:space="preserve"> for this configuration. The isotherms, representing the temperature distribution, show a clear thermal stratification with contour lines indicating heat transfer within the </w:t>
      </w:r>
      <w:r w:rsidR="008766C1" w:rsidRPr="0051359D">
        <w:rPr>
          <w:sz w:val="20"/>
          <w:szCs w:val="20"/>
        </w:rPr>
        <w:t>chamber</w:t>
      </w:r>
      <w:r w:rsidRPr="0051359D">
        <w:rPr>
          <w:sz w:val="20"/>
          <w:szCs w:val="20"/>
        </w:rPr>
        <w:t xml:space="preserve">. The </w:t>
      </w:r>
      <w:r w:rsidR="008766C1" w:rsidRPr="0051359D">
        <w:rPr>
          <w:sz w:val="20"/>
          <w:szCs w:val="20"/>
        </w:rPr>
        <w:t>fluid patterns</w:t>
      </w:r>
      <w:r w:rsidRPr="0051359D">
        <w:rPr>
          <w:sz w:val="20"/>
          <w:szCs w:val="20"/>
        </w:rPr>
        <w:t xml:space="preserve"> plot illustrates the flow patterns generated by natural convection, where the circulation cells are characterized by streamlines enclosing a central vortex.</w:t>
      </w:r>
    </w:p>
    <w:p w:rsidR="00FE4428" w:rsidRPr="0051359D" w:rsidRDefault="00FE4428" w:rsidP="00FE4428">
      <w:pPr>
        <w:pStyle w:val="NormalWeb"/>
        <w:spacing w:line="360" w:lineRule="auto"/>
        <w:jc w:val="both"/>
        <w:rPr>
          <w:sz w:val="20"/>
          <w:szCs w:val="20"/>
        </w:rPr>
      </w:pPr>
      <w:r w:rsidRPr="0051359D">
        <w:rPr>
          <w:sz w:val="20"/>
          <w:szCs w:val="20"/>
        </w:rPr>
        <w:t>In the current work, the computed isotherms and stream functions were compared against those of Varol et al. The temperature distribution and flow patterns show good agreement, particularly in the locations and shapes of the isothermal layers and the circulation regions. The central vortex in the stream function plot is well captured, with its magnitude aligning closely with the reference value (-5.84). Similarly, the thermal gradients along the heated surface match the reference isotherms, confirming the accuracy of the thermal flow simulation.</w:t>
      </w:r>
    </w:p>
    <w:p w:rsidR="00FE4428" w:rsidRPr="0051359D" w:rsidRDefault="00FE4428" w:rsidP="00FE4428">
      <w:pPr>
        <w:pStyle w:val="NormalWeb"/>
        <w:spacing w:line="360" w:lineRule="auto"/>
        <w:jc w:val="both"/>
        <w:rPr>
          <w:sz w:val="20"/>
          <w:szCs w:val="20"/>
        </w:rPr>
      </w:pPr>
      <w:r w:rsidRPr="0051359D">
        <w:rPr>
          <w:sz w:val="20"/>
          <w:szCs w:val="20"/>
        </w:rPr>
        <w:t xml:space="preserve">Any slight deviations observed in the comparison could stem from differences in grid resolution, numerical schemes, or boundary condition implementations. Nonetheless, the overall </w:t>
      </w:r>
      <w:r w:rsidR="003925BA" w:rsidRPr="0051359D">
        <w:rPr>
          <w:sz w:val="20"/>
          <w:szCs w:val="20"/>
        </w:rPr>
        <w:t>accuracy</w:t>
      </w:r>
      <w:r w:rsidRPr="0051359D">
        <w:rPr>
          <w:sz w:val="20"/>
          <w:szCs w:val="20"/>
        </w:rPr>
        <w:t xml:space="preserve"> between the present results and those of Varol et al. [1</w:t>
      </w:r>
      <w:r w:rsidR="0082457F" w:rsidRPr="0051359D">
        <w:rPr>
          <w:sz w:val="20"/>
          <w:szCs w:val="20"/>
        </w:rPr>
        <w:t>6</w:t>
      </w:r>
      <w:r w:rsidRPr="0051359D">
        <w:rPr>
          <w:sz w:val="20"/>
          <w:szCs w:val="20"/>
        </w:rPr>
        <w:t xml:space="preserve">]. </w:t>
      </w:r>
      <w:r w:rsidR="00B870BC" w:rsidRPr="0051359D">
        <w:rPr>
          <w:sz w:val="20"/>
          <w:szCs w:val="20"/>
        </w:rPr>
        <w:t>Confirms</w:t>
      </w:r>
      <w:r w:rsidRPr="0051359D">
        <w:rPr>
          <w:sz w:val="20"/>
          <w:szCs w:val="20"/>
        </w:rPr>
        <w:t xml:space="preserve"> the reliability of the model for simulating </w:t>
      </w:r>
      <w:r w:rsidR="003925BA" w:rsidRPr="0051359D">
        <w:rPr>
          <w:sz w:val="20"/>
          <w:szCs w:val="20"/>
        </w:rPr>
        <w:t>buoyant energy transfer</w:t>
      </w:r>
      <w:r w:rsidRPr="0051359D">
        <w:rPr>
          <w:sz w:val="20"/>
          <w:szCs w:val="20"/>
        </w:rPr>
        <w:t xml:space="preserve"> in a </w:t>
      </w:r>
      <w:r w:rsidR="003925BA" w:rsidRPr="0051359D">
        <w:rPr>
          <w:sz w:val="20"/>
          <w:szCs w:val="20"/>
        </w:rPr>
        <w:t>non-square chamber</w:t>
      </w:r>
      <w:r w:rsidRPr="0051359D">
        <w:rPr>
          <w:sz w:val="20"/>
          <w:szCs w:val="20"/>
        </w:rPr>
        <w:t xml:space="preserve"> under the specified conditions.</w:t>
      </w:r>
    </w:p>
    <w:p w:rsidR="00FE4428" w:rsidRPr="0051359D" w:rsidRDefault="00FE4428" w:rsidP="00FE4428">
      <w:pPr>
        <w:pStyle w:val="7Sectionsubheading1"/>
        <w:spacing w:line="360" w:lineRule="auto"/>
        <w:ind w:firstLine="567"/>
        <w:jc w:val="both"/>
        <w:rPr>
          <w:b w:val="0"/>
          <w:i w:val="0"/>
          <w:sz w:val="20"/>
        </w:rPr>
      </w:pPr>
    </w:p>
    <w:p w:rsidR="00A46529" w:rsidRPr="0051359D" w:rsidRDefault="002608D7" w:rsidP="00D82145">
      <w:pPr>
        <w:pStyle w:val="7Sectionsubheading1"/>
        <w:spacing w:line="360" w:lineRule="auto"/>
        <w:jc w:val="both"/>
        <w:rPr>
          <w:b w:val="0"/>
          <w:i w:val="0"/>
          <w:sz w:val="20"/>
        </w:rPr>
      </w:pPr>
      <w:r w:rsidRPr="0051359D">
        <w:rPr>
          <w:b w:val="0"/>
          <w:i w:val="0"/>
          <w:sz w:val="20"/>
        </w:rPr>
        <w:t>.</w:t>
      </w:r>
      <w:r w:rsidR="00A46529" w:rsidRPr="0051359D">
        <w:rPr>
          <w:b w:val="0"/>
          <w:i w:val="0"/>
          <w:noProof/>
          <w:sz w:val="20"/>
          <w:lang w:val="en-US"/>
        </w:rPr>
        <w:drawing>
          <wp:inline distT="0" distB="0" distL="0" distR="0">
            <wp:extent cx="5170746" cy="1813257"/>
            <wp:effectExtent l="19050" t="0" r="0" b="0"/>
            <wp:docPr id="3" name="Picture 71" descr="C:\Users\Arun Rao A Ghatke\Desktop\Aparna Validation\VORUL VALIDATION\VOROL FULL ST TE new.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1" descr="C:\Users\Arun Rao A Ghatke\Desktop\Aparna Validation\VORUL VALIDATION\VOROL FULL ST TE new.tif"/>
                    <pic:cNvPicPr>
                      <a:picLocks noChangeAspect="1" noChangeArrowheads="1"/>
                    </pic:cNvPicPr>
                  </pic:nvPicPr>
                  <pic:blipFill>
                    <a:blip r:embed="rId25"/>
                    <a:srcRect/>
                    <a:stretch>
                      <a:fillRect/>
                    </a:stretch>
                  </pic:blipFill>
                  <pic:spPr>
                    <a:xfrm>
                      <a:off x="0" y="0"/>
                      <a:ext cx="5172075" cy="1813723"/>
                    </a:xfrm>
                    <a:prstGeom prst="rect">
                      <a:avLst/>
                    </a:prstGeom>
                    <a:noFill/>
                    <a:ln w="9525">
                      <a:noFill/>
                      <a:miter lim="800000"/>
                      <a:headEnd/>
                      <a:tailEnd/>
                    </a:ln>
                  </pic:spPr>
                </pic:pic>
              </a:graphicData>
            </a:graphic>
          </wp:inline>
        </w:drawing>
      </w:r>
    </w:p>
    <w:p w:rsidR="009C673D" w:rsidRPr="0051359D" w:rsidRDefault="0023634D" w:rsidP="009C673D">
      <w:pPr>
        <w:autoSpaceDE w:val="0"/>
        <w:autoSpaceDN w:val="0"/>
        <w:adjustRightInd w:val="0"/>
        <w:spacing w:line="360" w:lineRule="auto"/>
        <w:ind w:left="709" w:hanging="709"/>
        <w:rPr>
          <w:sz w:val="20"/>
        </w:rPr>
      </w:pPr>
      <w:r w:rsidRPr="0051359D">
        <w:rPr>
          <w:sz w:val="20"/>
        </w:rPr>
        <w:t>Figure. 2</w:t>
      </w:r>
      <w:r w:rsidRPr="0051359D">
        <w:rPr>
          <w:b/>
          <w:sz w:val="20"/>
        </w:rPr>
        <w:t>:</w:t>
      </w:r>
      <w:r w:rsidRPr="0051359D">
        <w:rPr>
          <w:sz w:val="20"/>
        </w:rPr>
        <w:t xml:space="preserve"> </w:t>
      </w:r>
      <w:r w:rsidR="00B870BC" w:rsidRPr="0051359D">
        <w:rPr>
          <w:sz w:val="20"/>
        </w:rPr>
        <w:t xml:space="preserve"> </w:t>
      </w:r>
      <w:r w:rsidR="009C673D" w:rsidRPr="0051359D">
        <w:rPr>
          <w:sz w:val="20"/>
        </w:rPr>
        <w:t>Varol et al. [1</w:t>
      </w:r>
      <w:r w:rsidR="0082457F" w:rsidRPr="0051359D">
        <w:rPr>
          <w:sz w:val="20"/>
        </w:rPr>
        <w:t>6</w:t>
      </w:r>
      <w:r w:rsidR="009C673D" w:rsidRPr="0051359D">
        <w:rPr>
          <w:sz w:val="20"/>
        </w:rPr>
        <w:t>] provided isotherms and velocities for AR = 0.5 for a trapezoidal chamber tilted at 60</w:t>
      </w:r>
      <w:r w:rsidR="009C673D" w:rsidRPr="0051359D">
        <w:rPr>
          <w:sz w:val="20"/>
          <w:vertAlign w:val="superscript"/>
        </w:rPr>
        <w:t>0</w:t>
      </w:r>
      <w:r w:rsidR="009C673D" w:rsidRPr="0051359D">
        <w:rPr>
          <w:sz w:val="20"/>
        </w:rPr>
        <w:t xml:space="preserve"> uniform heating of the lower surface</w:t>
      </w:r>
    </w:p>
    <w:p w:rsidR="009C673D" w:rsidRPr="0051359D" w:rsidRDefault="009C673D" w:rsidP="009C673D">
      <w:pPr>
        <w:autoSpaceDE w:val="0"/>
        <w:autoSpaceDN w:val="0"/>
        <w:adjustRightInd w:val="0"/>
        <w:spacing w:line="360" w:lineRule="auto"/>
        <w:ind w:left="709" w:hanging="709"/>
        <w:rPr>
          <w:sz w:val="20"/>
        </w:rPr>
      </w:pPr>
    </w:p>
    <w:p w:rsidR="00A47C1A" w:rsidRPr="0051359D" w:rsidRDefault="002E33E9" w:rsidP="009C673D">
      <w:pPr>
        <w:autoSpaceDE w:val="0"/>
        <w:autoSpaceDN w:val="0"/>
        <w:adjustRightInd w:val="0"/>
        <w:spacing w:line="360" w:lineRule="auto"/>
        <w:ind w:left="709" w:hanging="709"/>
        <w:rPr>
          <w:b/>
          <w:sz w:val="20"/>
        </w:rPr>
      </w:pPr>
      <w:r w:rsidRPr="00E301B7">
        <w:rPr>
          <w:b/>
          <w:szCs w:val="24"/>
        </w:rPr>
        <w:t>5</w:t>
      </w:r>
      <w:r w:rsidR="00646878" w:rsidRPr="00E301B7">
        <w:rPr>
          <w:b/>
          <w:szCs w:val="24"/>
        </w:rPr>
        <w:t>. RESULTS AND</w:t>
      </w:r>
      <w:r w:rsidR="009C673D" w:rsidRPr="00E301B7">
        <w:rPr>
          <w:b/>
          <w:szCs w:val="24"/>
        </w:rPr>
        <w:t xml:space="preserve"> DISCUSSIONS</w:t>
      </w:r>
      <w:r w:rsidR="009C673D" w:rsidRPr="0051359D">
        <w:rPr>
          <w:b/>
          <w:sz w:val="20"/>
        </w:rPr>
        <w:t xml:space="preserve">. </w:t>
      </w:r>
    </w:p>
    <w:p w:rsidR="00A47C1A" w:rsidRPr="0051359D" w:rsidRDefault="00A47C1A">
      <w:pPr>
        <w:rPr>
          <w:sz w:val="20"/>
        </w:rPr>
      </w:pPr>
    </w:p>
    <w:p w:rsidR="00A47C1A" w:rsidRPr="0051359D" w:rsidRDefault="002E33E9" w:rsidP="009C673D">
      <w:pPr>
        <w:pStyle w:val="Heading2"/>
        <w:numPr>
          <w:ilvl w:val="0"/>
          <w:numId w:val="0"/>
        </w:numPr>
        <w:spacing w:after="120"/>
        <w:rPr>
          <w:sz w:val="20"/>
        </w:rPr>
      </w:pPr>
      <w:r w:rsidRPr="0051359D">
        <w:rPr>
          <w:sz w:val="20"/>
        </w:rPr>
        <w:t>5</w:t>
      </w:r>
      <w:r w:rsidR="009C673D" w:rsidRPr="0051359D">
        <w:rPr>
          <w:sz w:val="20"/>
        </w:rPr>
        <w:t xml:space="preserve">.1 </w:t>
      </w:r>
      <w:r w:rsidR="00D6186B" w:rsidRPr="0051359D">
        <w:rPr>
          <w:sz w:val="20"/>
        </w:rPr>
        <w:t>Effect of</w:t>
      </w:r>
      <w:r w:rsidR="003D31D2" w:rsidRPr="0051359D">
        <w:rPr>
          <w:sz w:val="20"/>
        </w:rPr>
        <w:t xml:space="preserve"> </w:t>
      </w:r>
      <w:r w:rsidR="00D6186B" w:rsidRPr="0051359D">
        <w:rPr>
          <w:sz w:val="20"/>
        </w:rPr>
        <w:t xml:space="preserve"> </w:t>
      </w:r>
      <w:r w:rsidR="00646878" w:rsidRPr="0051359D">
        <w:rPr>
          <w:sz w:val="20"/>
        </w:rPr>
        <w:t xml:space="preserve"> </w:t>
      </w:r>
      <w:r w:rsidR="009D262D" w:rsidRPr="0051359D">
        <w:rPr>
          <w:sz w:val="20"/>
        </w:rPr>
        <w:t xml:space="preserve">λ </w:t>
      </w:r>
      <w:r w:rsidR="00D6186B" w:rsidRPr="0051359D">
        <w:rPr>
          <w:sz w:val="20"/>
        </w:rPr>
        <w:t>When Rd = 1</w:t>
      </w:r>
    </w:p>
    <w:p w:rsidR="003D31D2" w:rsidRPr="0051359D" w:rsidRDefault="003D31D2" w:rsidP="00F44E57">
      <w:pPr>
        <w:pStyle w:val="NormalWeb"/>
        <w:spacing w:line="360" w:lineRule="auto"/>
        <w:jc w:val="both"/>
        <w:rPr>
          <w:sz w:val="20"/>
          <w:szCs w:val="20"/>
        </w:rPr>
      </w:pPr>
      <w:r w:rsidRPr="0051359D">
        <w:rPr>
          <w:sz w:val="20"/>
          <w:szCs w:val="20"/>
        </w:rPr>
        <w:t xml:space="preserve">The diagram </w:t>
      </w:r>
      <w:r w:rsidR="00994C97" w:rsidRPr="0051359D">
        <w:rPr>
          <w:sz w:val="20"/>
          <w:szCs w:val="20"/>
        </w:rPr>
        <w:t xml:space="preserve">represented </w:t>
      </w:r>
      <w:r w:rsidRPr="0051359D">
        <w:rPr>
          <w:sz w:val="20"/>
          <w:szCs w:val="20"/>
        </w:rPr>
        <w:t xml:space="preserve">the effect of the heat source length parameter </w:t>
      </w:r>
      <w:r w:rsidRPr="0051359D">
        <w:rPr>
          <w:rStyle w:val="katex-mathml"/>
          <w:sz w:val="20"/>
          <w:szCs w:val="20"/>
        </w:rPr>
        <w:t>λ</w:t>
      </w:r>
      <w:r w:rsidRPr="0051359D">
        <w:rPr>
          <w:sz w:val="20"/>
          <w:szCs w:val="20"/>
        </w:rPr>
        <w:t xml:space="preserve"> on the temperature contours and flow patterns in a trapezoidal cavity with a uniform heating condition at the lower surface</w:t>
      </w:r>
      <w:r w:rsidR="00646878" w:rsidRPr="0051359D">
        <w:rPr>
          <w:sz w:val="20"/>
          <w:szCs w:val="20"/>
        </w:rPr>
        <w:t>.</w:t>
      </w:r>
      <w:r w:rsidRPr="0051359D">
        <w:rPr>
          <w:sz w:val="20"/>
          <w:szCs w:val="20"/>
        </w:rPr>
        <w:t xml:space="preserve"> where the Rayleigh number </w:t>
      </w:r>
      <w:r w:rsidRPr="0051359D">
        <w:rPr>
          <w:rStyle w:val="katex-mathml"/>
          <w:sz w:val="20"/>
          <w:szCs w:val="20"/>
        </w:rPr>
        <w:t>Rd=1</w:t>
      </w:r>
      <w:r w:rsidRPr="0051359D">
        <w:rPr>
          <w:sz w:val="20"/>
          <w:szCs w:val="20"/>
        </w:rPr>
        <w:br/>
        <w:t>When (λ=0) the heat source length is zero, the isotherms are concentrated near the lower boundary, indicating that the heat input is localized at the base of the trapezoidal cavity. The temperature gradients are steepest near the heated surface, and thermal diffusion extends towards the top of the cavity.</w:t>
      </w:r>
      <w:r w:rsidRPr="0051359D">
        <w:rPr>
          <w:sz w:val="20"/>
          <w:szCs w:val="20"/>
        </w:rPr>
        <w:br/>
        <w:t>As λ increases to 0.5, the isotherms begin to spread out more evenly, with a broader region of the lower surface contributing to the heating. The flow-induced convection results in smoother temperature gradients throughout the cavity, with the isotherms bending upward more noticeably, were signifying stronger natural convection effects.</w:t>
      </w:r>
      <w:r w:rsidRPr="0051359D">
        <w:rPr>
          <w:sz w:val="20"/>
          <w:szCs w:val="20"/>
        </w:rPr>
        <w:br/>
        <w:t xml:space="preserve">At </w:t>
      </w:r>
      <w:r w:rsidRPr="0051359D">
        <w:rPr>
          <w:rStyle w:val="katex-mathml"/>
          <w:sz w:val="20"/>
          <w:szCs w:val="20"/>
        </w:rPr>
        <w:t>λ=0.75</w:t>
      </w:r>
      <w:r w:rsidRPr="0051359D">
        <w:rPr>
          <w:sz w:val="20"/>
          <w:szCs w:val="20"/>
        </w:rPr>
        <w:t xml:space="preserve"> the isotherms further expand upwards, showing a more pronounced distribution of heat within the cavity. The isotherms exhibit less curvature near the bottom, implying more uniform heating, and </w:t>
      </w:r>
      <w:r w:rsidR="0078206F" w:rsidRPr="0051359D">
        <w:rPr>
          <w:sz w:val="20"/>
          <w:szCs w:val="20"/>
        </w:rPr>
        <w:t xml:space="preserve">there is greater thermal mixing as convection cells become more </w:t>
      </w:r>
      <w:r w:rsidRPr="0051359D">
        <w:rPr>
          <w:sz w:val="20"/>
          <w:szCs w:val="20"/>
        </w:rPr>
        <w:t>established.</w:t>
      </w:r>
      <w:r w:rsidRPr="0051359D">
        <w:rPr>
          <w:sz w:val="20"/>
          <w:szCs w:val="20"/>
        </w:rPr>
        <w:br/>
        <w:t xml:space="preserve">When the entire lower surface is uniformly </w:t>
      </w:r>
      <w:r w:rsidR="00A42007" w:rsidRPr="0051359D">
        <w:rPr>
          <w:sz w:val="20"/>
          <w:szCs w:val="20"/>
        </w:rPr>
        <w:t>heated (</w:t>
      </w:r>
      <w:r w:rsidRPr="0051359D">
        <w:rPr>
          <w:rStyle w:val="katex-mathml"/>
          <w:sz w:val="20"/>
          <w:szCs w:val="20"/>
        </w:rPr>
        <w:t>λ=1</w:t>
      </w:r>
      <w:r w:rsidRPr="0051359D">
        <w:rPr>
          <w:sz w:val="20"/>
          <w:szCs w:val="20"/>
        </w:rPr>
        <w:t>), the isotherms are distributed uniformly from the bottom to the top of the cavity, showing an even temperature profile. The heating extends the thermal stratification across the cavity, indicating well-developed natural convection that facilitates thorough heat transfer.</w:t>
      </w:r>
      <w:r w:rsidR="00994138" w:rsidRPr="0051359D">
        <w:rPr>
          <w:sz w:val="20"/>
          <w:szCs w:val="20"/>
        </w:rPr>
        <w:t xml:space="preserve"> </w:t>
      </w:r>
      <w:r w:rsidRPr="0051359D">
        <w:rPr>
          <w:sz w:val="20"/>
          <w:szCs w:val="20"/>
        </w:rPr>
        <w:t xml:space="preserve">For </w:t>
      </w:r>
      <w:r w:rsidRPr="0051359D">
        <w:rPr>
          <w:rStyle w:val="katex-mathml"/>
          <w:sz w:val="20"/>
          <w:szCs w:val="20"/>
        </w:rPr>
        <w:t>λ=0</w:t>
      </w:r>
      <w:r w:rsidRPr="0051359D">
        <w:rPr>
          <w:sz w:val="20"/>
          <w:szCs w:val="20"/>
        </w:rPr>
        <w:t>, the stream function contours show weak convection with two distinct circulation cells near the heated boundary. The flow is primarily confined to the lower region, and the rest of the cavity remains relatively stagnant.</w:t>
      </w:r>
      <w:r w:rsidRPr="0051359D">
        <w:rPr>
          <w:sz w:val="20"/>
          <w:szCs w:val="20"/>
        </w:rPr>
        <w:br/>
        <w:t xml:space="preserve">With </w:t>
      </w:r>
      <w:r w:rsidRPr="0051359D">
        <w:rPr>
          <w:rStyle w:val="katex-mathml"/>
          <w:sz w:val="20"/>
          <w:szCs w:val="20"/>
        </w:rPr>
        <w:t>λ=0.5</w:t>
      </w:r>
      <w:r w:rsidRPr="0051359D">
        <w:rPr>
          <w:sz w:val="20"/>
          <w:szCs w:val="20"/>
        </w:rPr>
        <w:t xml:space="preserve">, a larger central circulation cell forms in the cavity, indicating stronger natural convection. The streamlines reveal a more intense circulation pattern compared to </w:t>
      </w:r>
      <w:r w:rsidRPr="0051359D">
        <w:rPr>
          <w:rStyle w:val="katex-mathml"/>
          <w:sz w:val="20"/>
          <w:szCs w:val="20"/>
        </w:rPr>
        <w:t>λ=0</w:t>
      </w:r>
      <w:r w:rsidRPr="0051359D">
        <w:rPr>
          <w:sz w:val="20"/>
          <w:szCs w:val="20"/>
        </w:rPr>
        <w:t>, suggesting that more heat is being convected throughout the cavity.</w:t>
      </w:r>
      <w:r w:rsidR="00250932" w:rsidRPr="0051359D">
        <w:rPr>
          <w:sz w:val="20"/>
          <w:szCs w:val="20"/>
        </w:rPr>
        <w:t xml:space="preserve"> </w:t>
      </w:r>
      <w:r w:rsidRPr="0051359D">
        <w:rPr>
          <w:sz w:val="20"/>
          <w:szCs w:val="20"/>
        </w:rPr>
        <w:t xml:space="preserve">At </w:t>
      </w:r>
      <w:r w:rsidRPr="0051359D">
        <w:rPr>
          <w:rStyle w:val="katex-mathml"/>
          <w:sz w:val="20"/>
          <w:szCs w:val="20"/>
        </w:rPr>
        <w:t>λ=0.75,</w:t>
      </w:r>
      <w:r w:rsidR="00250932" w:rsidRPr="0051359D">
        <w:rPr>
          <w:rStyle w:val="katex-mathml"/>
          <w:sz w:val="20"/>
          <w:szCs w:val="20"/>
        </w:rPr>
        <w:t xml:space="preserve"> </w:t>
      </w:r>
      <w:r w:rsidRPr="0051359D">
        <w:rPr>
          <w:sz w:val="20"/>
          <w:szCs w:val="20"/>
        </w:rPr>
        <w:t xml:space="preserve">the circulation strengthens further, and a single dominant vortex emerges, covering most of the cavity. The streamline pattern is denser, reflecting a higher velocity and more efficient fluid </w:t>
      </w:r>
      <w:r w:rsidR="00646878" w:rsidRPr="0051359D">
        <w:rPr>
          <w:sz w:val="20"/>
          <w:szCs w:val="20"/>
        </w:rPr>
        <w:lastRenderedPageBreak/>
        <w:t>movement. When</w:t>
      </w:r>
      <w:r w:rsidRPr="0051359D">
        <w:rPr>
          <w:sz w:val="20"/>
          <w:szCs w:val="20"/>
        </w:rPr>
        <w:t xml:space="preserve"> the entire </w:t>
      </w:r>
      <w:r w:rsidR="00630D62" w:rsidRPr="0051359D">
        <w:rPr>
          <w:sz w:val="20"/>
          <w:szCs w:val="20"/>
        </w:rPr>
        <w:t>bottom</w:t>
      </w:r>
      <w:r w:rsidRPr="0051359D">
        <w:rPr>
          <w:sz w:val="20"/>
          <w:szCs w:val="20"/>
        </w:rPr>
        <w:t xml:space="preserve"> </w:t>
      </w:r>
      <w:r w:rsidR="00630D62" w:rsidRPr="0051359D">
        <w:rPr>
          <w:sz w:val="20"/>
          <w:szCs w:val="20"/>
        </w:rPr>
        <w:t>side</w:t>
      </w:r>
      <w:r w:rsidRPr="0051359D">
        <w:rPr>
          <w:sz w:val="20"/>
          <w:szCs w:val="20"/>
        </w:rPr>
        <w:t xml:space="preserve"> is heated (</w:t>
      </w:r>
      <w:r w:rsidRPr="0051359D">
        <w:rPr>
          <w:rStyle w:val="katex-mathml"/>
          <w:sz w:val="20"/>
          <w:szCs w:val="20"/>
        </w:rPr>
        <w:t>λ=1</w:t>
      </w:r>
      <w:r w:rsidRPr="0051359D">
        <w:rPr>
          <w:sz w:val="20"/>
          <w:szCs w:val="20"/>
        </w:rPr>
        <w:t xml:space="preserve">), the </w:t>
      </w:r>
      <w:r w:rsidR="00DE3E6C" w:rsidRPr="0051359D">
        <w:rPr>
          <w:sz w:val="20"/>
          <w:szCs w:val="20"/>
        </w:rPr>
        <w:t>fluid flow</w:t>
      </w:r>
      <w:r w:rsidRPr="0051359D">
        <w:rPr>
          <w:sz w:val="20"/>
          <w:szCs w:val="20"/>
        </w:rPr>
        <w:t xml:space="preserve"> is dominated by a strong, large central vortex, with higher stream function values, indicating intense convective motion. </w:t>
      </w:r>
      <w:r w:rsidR="00DE3E6C" w:rsidRPr="0051359D">
        <w:rPr>
          <w:sz w:val="20"/>
          <w:szCs w:val="20"/>
        </w:rPr>
        <w:t>The direction of flow indicates that convection predominates in the heat transfer process, resulting in effective heat distribution throughout the cavity.</w:t>
      </w:r>
    </w:p>
    <w:p w:rsidR="003D31D2" w:rsidRPr="0051359D" w:rsidRDefault="003D31D2" w:rsidP="003D31D2">
      <w:pPr>
        <w:pStyle w:val="NormalWeb"/>
        <w:spacing w:line="360" w:lineRule="auto"/>
        <w:jc w:val="both"/>
        <w:rPr>
          <w:sz w:val="20"/>
          <w:szCs w:val="20"/>
        </w:rPr>
      </w:pPr>
      <w:r w:rsidRPr="0051359D">
        <w:rPr>
          <w:sz w:val="20"/>
          <w:szCs w:val="20"/>
        </w:rPr>
        <w:t xml:space="preserve">As </w:t>
      </w:r>
      <w:r w:rsidRPr="0051359D">
        <w:rPr>
          <w:rStyle w:val="katex-mathml"/>
          <w:sz w:val="20"/>
          <w:szCs w:val="20"/>
        </w:rPr>
        <w:t>λ</w:t>
      </w:r>
      <w:r w:rsidRPr="0051359D">
        <w:rPr>
          <w:sz w:val="20"/>
          <w:szCs w:val="20"/>
        </w:rPr>
        <w:t xml:space="preserve"> increases, the heating becomes more uniform, resulting in better-developed thermal fields (isotherms) and more vigorous convective motion. The flow transitions from weak convection with small circulation cells at low </w:t>
      </w:r>
      <w:r w:rsidRPr="0051359D">
        <w:rPr>
          <w:rStyle w:val="katex-mathml"/>
          <w:sz w:val="20"/>
          <w:szCs w:val="20"/>
        </w:rPr>
        <w:t>λ</w:t>
      </w:r>
      <w:r w:rsidR="00666BE7" w:rsidRPr="0051359D">
        <w:rPr>
          <w:rStyle w:val="katex-mathml"/>
          <w:sz w:val="20"/>
          <w:szCs w:val="20"/>
        </w:rPr>
        <w:t xml:space="preserve"> </w:t>
      </w:r>
      <w:r w:rsidRPr="0051359D">
        <w:rPr>
          <w:sz w:val="20"/>
          <w:szCs w:val="20"/>
        </w:rPr>
        <w:t xml:space="preserve">to strong and dominant </w:t>
      </w:r>
      <w:r w:rsidR="009827C5" w:rsidRPr="0051359D">
        <w:rPr>
          <w:sz w:val="20"/>
          <w:szCs w:val="20"/>
        </w:rPr>
        <w:t>buoyant heat transfer</w:t>
      </w:r>
      <w:r w:rsidRPr="0051359D">
        <w:rPr>
          <w:sz w:val="20"/>
          <w:szCs w:val="20"/>
        </w:rPr>
        <w:t xml:space="preserve"> with large vortices at </w:t>
      </w:r>
      <w:r w:rsidRPr="0051359D">
        <w:rPr>
          <w:rStyle w:val="katex-mathml"/>
          <w:sz w:val="20"/>
          <w:szCs w:val="20"/>
        </w:rPr>
        <w:t>λ=1</w:t>
      </w:r>
      <w:r w:rsidRPr="0051359D">
        <w:rPr>
          <w:sz w:val="20"/>
          <w:szCs w:val="20"/>
        </w:rPr>
        <w:t xml:space="preserve"> indicating efficient </w:t>
      </w:r>
      <w:r w:rsidR="009827C5" w:rsidRPr="0051359D">
        <w:rPr>
          <w:sz w:val="20"/>
          <w:szCs w:val="20"/>
        </w:rPr>
        <w:t>energy transfer</w:t>
      </w:r>
      <w:r w:rsidRPr="0051359D">
        <w:rPr>
          <w:sz w:val="20"/>
          <w:szCs w:val="20"/>
        </w:rPr>
        <w:t xml:space="preserve"> </w:t>
      </w:r>
      <w:r w:rsidR="009827C5" w:rsidRPr="0051359D">
        <w:rPr>
          <w:sz w:val="20"/>
          <w:szCs w:val="20"/>
        </w:rPr>
        <w:t xml:space="preserve">entire </w:t>
      </w:r>
      <w:r w:rsidRPr="0051359D">
        <w:rPr>
          <w:sz w:val="20"/>
          <w:szCs w:val="20"/>
        </w:rPr>
        <w:t xml:space="preserve"> the trapezoidal cavity.</w:t>
      </w:r>
    </w:p>
    <w:p w:rsidR="003D31D2" w:rsidRPr="0051359D" w:rsidRDefault="003D31D2" w:rsidP="003D31D2">
      <w:pPr>
        <w:rPr>
          <w:sz w:val="20"/>
        </w:rPr>
      </w:pPr>
    </w:p>
    <w:p w:rsidR="00A4037F" w:rsidRPr="0051359D" w:rsidRDefault="00A4037F" w:rsidP="00594AD1">
      <w:pPr>
        <w:pStyle w:val="6Sectionheadings"/>
        <w:numPr>
          <w:ilvl w:val="0"/>
          <w:numId w:val="0"/>
        </w:numPr>
        <w:spacing w:line="360" w:lineRule="auto"/>
        <w:jc w:val="both"/>
        <w:rPr>
          <w:b w:val="0"/>
          <w:sz w:val="20"/>
        </w:rPr>
      </w:pPr>
      <w:r w:rsidRPr="0051359D">
        <w:rPr>
          <w:b w:val="0"/>
          <w:noProof/>
          <w:sz w:val="20"/>
          <w:lang w:val="en-US"/>
        </w:rPr>
        <w:lastRenderedPageBreak/>
        <w:drawing>
          <wp:inline distT="0" distB="0" distL="0" distR="0">
            <wp:extent cx="5929358" cy="6244046"/>
            <wp:effectExtent l="19050" t="0" r="0" b="0"/>
            <wp:docPr id="4" name="Picture 33" descr="E:\APPLIED SCIENCE PAPER-2022\Plagerism Report-2023\Draft Report Files-2023\Power law coefficent Results\whole graph FOR R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APPLIED SCIENCE PAPER-2022\Plagerism Report-2023\Draft Report Files-2023\Power law coefficent Results\whole graph FOR RD1.tif"/>
                    <pic:cNvPicPr>
                      <a:picLocks noChangeAspect="1" noChangeArrowheads="1"/>
                    </pic:cNvPicPr>
                  </pic:nvPicPr>
                  <pic:blipFill>
                    <a:blip r:embed="rId26"/>
                    <a:srcRect/>
                    <a:stretch>
                      <a:fillRect/>
                    </a:stretch>
                  </pic:blipFill>
                  <pic:spPr bwMode="auto">
                    <a:xfrm>
                      <a:off x="0" y="0"/>
                      <a:ext cx="5943600" cy="6259044"/>
                    </a:xfrm>
                    <a:prstGeom prst="rect">
                      <a:avLst/>
                    </a:prstGeom>
                    <a:noFill/>
                    <a:ln w="9525">
                      <a:noFill/>
                      <a:miter lim="800000"/>
                      <a:headEnd/>
                      <a:tailEnd/>
                    </a:ln>
                  </pic:spPr>
                </pic:pic>
              </a:graphicData>
            </a:graphic>
          </wp:inline>
        </w:drawing>
      </w:r>
    </w:p>
    <w:p w:rsidR="00921009" w:rsidRPr="0051359D" w:rsidRDefault="00921009" w:rsidP="00F331B7">
      <w:pPr>
        <w:spacing w:line="360" w:lineRule="auto"/>
        <w:jc w:val="center"/>
        <w:rPr>
          <w:sz w:val="20"/>
        </w:rPr>
      </w:pPr>
    </w:p>
    <w:p w:rsidR="00A4037F" w:rsidRPr="0051359D" w:rsidRDefault="00F331B7" w:rsidP="0091776B">
      <w:pPr>
        <w:spacing w:line="360" w:lineRule="auto"/>
        <w:jc w:val="center"/>
        <w:rPr>
          <w:sz w:val="20"/>
        </w:rPr>
      </w:pPr>
      <w:r w:rsidRPr="0051359D">
        <w:rPr>
          <w:sz w:val="20"/>
        </w:rPr>
        <w:t>Figure. 3</w:t>
      </w:r>
      <w:r w:rsidRPr="0051359D">
        <w:rPr>
          <w:b/>
          <w:sz w:val="20"/>
        </w:rPr>
        <w:t xml:space="preserve">: </w:t>
      </w:r>
      <w:r w:rsidR="0018634F" w:rsidRPr="0051359D">
        <w:rPr>
          <w:sz w:val="20"/>
        </w:rPr>
        <w:t xml:space="preserve">For constant </w:t>
      </w:r>
      <w:r w:rsidR="0007794C" w:rsidRPr="0051359D">
        <w:rPr>
          <w:sz w:val="20"/>
        </w:rPr>
        <w:t>Ra,</w:t>
      </w:r>
      <w:r w:rsidR="0018634F" w:rsidRPr="0051359D">
        <w:rPr>
          <w:sz w:val="20"/>
        </w:rPr>
        <w:t xml:space="preserve"> different power model</w:t>
      </w:r>
      <w:r w:rsidR="0091776B" w:rsidRPr="0051359D">
        <w:rPr>
          <w:sz w:val="20"/>
        </w:rPr>
        <w:t xml:space="preserve"> and Rd=1, fluid flows a</w:t>
      </w:r>
      <w:r w:rsidR="000D6631">
        <w:rPr>
          <w:sz w:val="20"/>
        </w:rPr>
        <w:t>nd fluctuations in temperature.</w:t>
      </w:r>
    </w:p>
    <w:p w:rsidR="00A4037F" w:rsidRPr="0051359D" w:rsidRDefault="00A4037F">
      <w:pPr>
        <w:rPr>
          <w:sz w:val="20"/>
        </w:rPr>
      </w:pPr>
    </w:p>
    <w:p w:rsidR="00A47C1A" w:rsidRPr="0051359D" w:rsidRDefault="00A47C1A">
      <w:pPr>
        <w:rPr>
          <w:sz w:val="20"/>
        </w:rPr>
      </w:pPr>
    </w:p>
    <w:p w:rsidR="00D06E95" w:rsidRPr="0051359D" w:rsidRDefault="002E33E9" w:rsidP="00594AD1">
      <w:pPr>
        <w:pStyle w:val="Heading2"/>
        <w:numPr>
          <w:ilvl w:val="0"/>
          <w:numId w:val="0"/>
        </w:numPr>
        <w:spacing w:after="120"/>
        <w:rPr>
          <w:sz w:val="20"/>
        </w:rPr>
      </w:pPr>
      <w:r w:rsidRPr="0051359D">
        <w:rPr>
          <w:sz w:val="20"/>
        </w:rPr>
        <w:lastRenderedPageBreak/>
        <w:t>5</w:t>
      </w:r>
      <w:r w:rsidR="00594AD1" w:rsidRPr="0051359D">
        <w:rPr>
          <w:sz w:val="20"/>
        </w:rPr>
        <w:t xml:space="preserve">.2 </w:t>
      </w:r>
      <w:r w:rsidR="00D06E95" w:rsidRPr="0051359D">
        <w:rPr>
          <w:sz w:val="20"/>
        </w:rPr>
        <w:t xml:space="preserve">Effect of Power Law </w:t>
      </w:r>
      <w:r w:rsidR="00CD3565" w:rsidRPr="0051359D">
        <w:rPr>
          <w:sz w:val="20"/>
        </w:rPr>
        <w:t>Model</w:t>
      </w:r>
      <w:r w:rsidR="00D06E95" w:rsidRPr="0051359D">
        <w:rPr>
          <w:sz w:val="20"/>
        </w:rPr>
        <w:t xml:space="preserve"> When Rd = 2</w:t>
      </w:r>
    </w:p>
    <w:p w:rsidR="00D06E95" w:rsidRPr="0051359D" w:rsidRDefault="00921009" w:rsidP="00921009">
      <w:pPr>
        <w:jc w:val="center"/>
        <w:rPr>
          <w:sz w:val="20"/>
          <w:lang w:val="en-US"/>
        </w:rPr>
      </w:pPr>
      <w:r w:rsidRPr="0051359D">
        <w:rPr>
          <w:noProof/>
          <w:sz w:val="20"/>
          <w:lang w:val="en-US"/>
        </w:rPr>
        <w:drawing>
          <wp:inline distT="0" distB="0" distL="0" distR="0">
            <wp:extent cx="5200650" cy="6753225"/>
            <wp:effectExtent l="19050" t="0" r="0" b="0"/>
            <wp:docPr id="63" name="Picture 63" descr="E:\APPLIED SCIENCE PAPER-2022\Plagerism Report-2023\Draft Report Files-2023\Power law coefficent Results\whole graph.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E:\APPLIED SCIENCE PAPER-2022\Plagerism Report-2023\Draft Report Files-2023\Power law coefficent Results\whole graph.tif"/>
                    <pic:cNvPicPr>
                      <a:picLocks noChangeAspect="1" noChangeArrowheads="1"/>
                    </pic:cNvPicPr>
                  </pic:nvPicPr>
                  <pic:blipFill>
                    <a:blip r:embed="rId27"/>
                    <a:srcRect/>
                    <a:stretch>
                      <a:fillRect/>
                    </a:stretch>
                  </pic:blipFill>
                  <pic:spPr bwMode="auto">
                    <a:xfrm>
                      <a:off x="0" y="0"/>
                      <a:ext cx="5206769" cy="6761171"/>
                    </a:xfrm>
                    <a:prstGeom prst="rect">
                      <a:avLst/>
                    </a:prstGeom>
                    <a:noFill/>
                    <a:ln w="9525">
                      <a:noFill/>
                      <a:miter lim="800000"/>
                      <a:headEnd/>
                      <a:tailEnd/>
                    </a:ln>
                  </pic:spPr>
                </pic:pic>
              </a:graphicData>
            </a:graphic>
          </wp:inline>
        </w:drawing>
      </w:r>
    </w:p>
    <w:p w:rsidR="00D06E95" w:rsidRPr="0051359D" w:rsidRDefault="00D06E95" w:rsidP="009427CA">
      <w:pPr>
        <w:rPr>
          <w:sz w:val="20"/>
          <w:lang w:val="en-US"/>
        </w:rPr>
      </w:pPr>
    </w:p>
    <w:p w:rsidR="00D06E95" w:rsidRPr="0051359D" w:rsidRDefault="00D06E95" w:rsidP="009427CA">
      <w:pPr>
        <w:rPr>
          <w:sz w:val="20"/>
          <w:lang w:val="en-US"/>
        </w:rPr>
      </w:pPr>
    </w:p>
    <w:p w:rsidR="00921009" w:rsidRPr="0051359D" w:rsidRDefault="00921009" w:rsidP="00921009">
      <w:pPr>
        <w:spacing w:line="360" w:lineRule="auto"/>
        <w:jc w:val="center"/>
        <w:rPr>
          <w:sz w:val="20"/>
        </w:rPr>
      </w:pPr>
      <w:r w:rsidRPr="0051359D">
        <w:rPr>
          <w:sz w:val="20"/>
        </w:rPr>
        <w:t>Figure. 4</w:t>
      </w:r>
      <w:r w:rsidR="001972A2" w:rsidRPr="0051359D">
        <w:rPr>
          <w:sz w:val="20"/>
        </w:rPr>
        <w:t xml:space="preserve"> </w:t>
      </w:r>
      <w:r w:rsidR="008D52C3" w:rsidRPr="0051359D">
        <w:rPr>
          <w:sz w:val="20"/>
        </w:rPr>
        <w:t>flow directions</w:t>
      </w:r>
      <w:r w:rsidR="001972A2" w:rsidRPr="0051359D">
        <w:rPr>
          <w:sz w:val="20"/>
        </w:rPr>
        <w:t xml:space="preserve"> and</w:t>
      </w:r>
      <w:r w:rsidR="00897054" w:rsidRPr="0051359D">
        <w:rPr>
          <w:sz w:val="20"/>
        </w:rPr>
        <w:t xml:space="preserve"> isotherms</w:t>
      </w:r>
      <w:r w:rsidR="001972A2" w:rsidRPr="0051359D">
        <w:rPr>
          <w:sz w:val="20"/>
        </w:rPr>
        <w:t xml:space="preserve"> </w:t>
      </w:r>
      <w:r w:rsidR="008D52C3" w:rsidRPr="0051359D">
        <w:rPr>
          <w:sz w:val="20"/>
        </w:rPr>
        <w:t>contours</w:t>
      </w:r>
      <w:r w:rsidR="001972A2" w:rsidRPr="0051359D">
        <w:rPr>
          <w:sz w:val="20"/>
        </w:rPr>
        <w:t xml:space="preserve"> for </w:t>
      </w:r>
      <w:r w:rsidRPr="0051359D">
        <w:rPr>
          <w:sz w:val="20"/>
        </w:rPr>
        <w:t xml:space="preserve">Ra=500 with </w:t>
      </w:r>
      <w:r w:rsidR="00897054" w:rsidRPr="0051359D">
        <w:rPr>
          <w:sz w:val="20"/>
        </w:rPr>
        <w:t>different power models</w:t>
      </w:r>
      <w:r w:rsidRPr="0051359D">
        <w:rPr>
          <w:sz w:val="20"/>
        </w:rPr>
        <w:t xml:space="preserve"> and Rd=2</w:t>
      </w:r>
    </w:p>
    <w:p w:rsidR="0067055C" w:rsidRPr="0051359D" w:rsidRDefault="0067055C" w:rsidP="000873BD">
      <w:pPr>
        <w:pStyle w:val="NormalWeb"/>
        <w:spacing w:line="360" w:lineRule="auto"/>
        <w:jc w:val="both"/>
        <w:rPr>
          <w:sz w:val="20"/>
          <w:szCs w:val="20"/>
        </w:rPr>
      </w:pPr>
      <w:r w:rsidRPr="0051359D">
        <w:rPr>
          <w:sz w:val="20"/>
          <w:szCs w:val="20"/>
        </w:rPr>
        <w:t>The image displays a series of contour plots illustrating temperature distribution on the left and</w:t>
      </w:r>
      <w:r w:rsidR="000873BD" w:rsidRPr="0051359D">
        <w:rPr>
          <w:sz w:val="20"/>
          <w:szCs w:val="20"/>
        </w:rPr>
        <w:t xml:space="preserve"> </w:t>
      </w:r>
      <w:r w:rsidR="00AC1F89" w:rsidRPr="0051359D">
        <w:rPr>
          <w:sz w:val="20"/>
          <w:szCs w:val="20"/>
        </w:rPr>
        <w:t>fluid motion</w:t>
      </w:r>
      <w:r w:rsidRPr="0051359D">
        <w:rPr>
          <w:sz w:val="20"/>
          <w:szCs w:val="20"/>
        </w:rPr>
        <w:t xml:space="preserve"> on the right, within a trapezoidal </w:t>
      </w:r>
      <w:r w:rsidR="00332F62" w:rsidRPr="0051359D">
        <w:rPr>
          <w:sz w:val="20"/>
          <w:szCs w:val="20"/>
        </w:rPr>
        <w:t>chamber for</w:t>
      </w:r>
      <w:r w:rsidRPr="0051359D">
        <w:rPr>
          <w:sz w:val="20"/>
          <w:szCs w:val="20"/>
        </w:rPr>
        <w:t xml:space="preserve"> different </w:t>
      </w:r>
      <w:r w:rsidR="00AC1F89" w:rsidRPr="0051359D">
        <w:rPr>
          <w:sz w:val="20"/>
          <w:szCs w:val="20"/>
        </w:rPr>
        <w:t>magnitutes</w:t>
      </w:r>
      <w:r w:rsidRPr="0051359D">
        <w:rPr>
          <w:sz w:val="20"/>
          <w:szCs w:val="20"/>
        </w:rPr>
        <w:t xml:space="preserve"> of the parameter </w:t>
      </w:r>
      <w:r w:rsidRPr="0051359D">
        <w:rPr>
          <w:rStyle w:val="katex-mathml"/>
          <w:sz w:val="20"/>
          <w:szCs w:val="20"/>
        </w:rPr>
        <w:t>λ</w:t>
      </w:r>
      <w:r w:rsidRPr="0051359D">
        <w:rPr>
          <w:sz w:val="20"/>
          <w:szCs w:val="20"/>
        </w:rPr>
        <w:t xml:space="preserve">. The parameter </w:t>
      </w:r>
      <w:r w:rsidRPr="0051359D">
        <w:rPr>
          <w:rStyle w:val="katex-mathml"/>
          <w:sz w:val="20"/>
          <w:szCs w:val="20"/>
        </w:rPr>
        <w:t>λ</w:t>
      </w:r>
      <w:r w:rsidRPr="0051359D">
        <w:rPr>
          <w:sz w:val="20"/>
          <w:szCs w:val="20"/>
        </w:rPr>
        <w:t xml:space="preserve"> likely represents a geometric or physical variable affecting the system, such as the inclination of the </w:t>
      </w:r>
      <w:r w:rsidR="007E0923" w:rsidRPr="0051359D">
        <w:rPr>
          <w:sz w:val="20"/>
          <w:szCs w:val="20"/>
        </w:rPr>
        <w:t>chamber</w:t>
      </w:r>
      <w:r w:rsidRPr="0051359D">
        <w:rPr>
          <w:sz w:val="20"/>
          <w:szCs w:val="20"/>
        </w:rPr>
        <w:t xml:space="preserve"> or the </w:t>
      </w:r>
      <w:r w:rsidR="00AC1F89" w:rsidRPr="0051359D">
        <w:rPr>
          <w:i/>
          <w:sz w:val="20"/>
          <w:szCs w:val="20"/>
        </w:rPr>
        <w:t>H/L</w:t>
      </w:r>
      <w:r w:rsidR="00AC1F89" w:rsidRPr="0051359D">
        <w:rPr>
          <w:sz w:val="20"/>
          <w:szCs w:val="20"/>
        </w:rPr>
        <w:t xml:space="preserve"> ratio</w:t>
      </w:r>
      <w:r w:rsidRPr="0051359D">
        <w:rPr>
          <w:sz w:val="20"/>
          <w:szCs w:val="20"/>
        </w:rPr>
        <w:t>.</w:t>
      </w:r>
      <w:r w:rsidR="000873BD" w:rsidRPr="0051359D">
        <w:rPr>
          <w:sz w:val="20"/>
          <w:szCs w:val="20"/>
        </w:rPr>
        <w:t xml:space="preserve"> when </w:t>
      </w:r>
      <w:r w:rsidRPr="0051359D">
        <w:rPr>
          <w:rStyle w:val="katex-mathml"/>
          <w:b/>
          <w:bCs/>
          <w:sz w:val="20"/>
          <w:szCs w:val="20"/>
        </w:rPr>
        <w:lastRenderedPageBreak/>
        <w:t>λ=0</w:t>
      </w:r>
      <w:r w:rsidR="000873BD" w:rsidRPr="0051359D">
        <w:rPr>
          <w:rStyle w:val="Strong"/>
          <w:sz w:val="20"/>
          <w:szCs w:val="20"/>
        </w:rPr>
        <w:t>,</w:t>
      </w:r>
      <w:r w:rsidRPr="0051359D">
        <w:rPr>
          <w:sz w:val="20"/>
          <w:szCs w:val="20"/>
        </w:rPr>
        <w:t xml:space="preserve">The temperature distribution is mostly stratified in horizontal layers, with temperature contours remaining relatively parallel near the hot surface (bottom) and cooler towards the top. This indicates that heat transfer is dominated by conduction, as the contours are closely packed near the top corners of the </w:t>
      </w:r>
      <w:r w:rsidR="003E4386" w:rsidRPr="0051359D">
        <w:rPr>
          <w:sz w:val="20"/>
          <w:szCs w:val="20"/>
        </w:rPr>
        <w:t>chamber</w:t>
      </w:r>
      <w:r w:rsidR="000873BD" w:rsidRPr="0051359D">
        <w:rPr>
          <w:sz w:val="20"/>
          <w:szCs w:val="20"/>
        </w:rPr>
        <w:t xml:space="preserve"> </w:t>
      </w:r>
      <w:r w:rsidRPr="0051359D">
        <w:rPr>
          <w:sz w:val="20"/>
          <w:szCs w:val="20"/>
        </w:rPr>
        <w:t>.</w:t>
      </w:r>
      <w:r w:rsidR="000873BD" w:rsidRPr="0051359D">
        <w:rPr>
          <w:rStyle w:val="katex-mathml"/>
          <w:bCs/>
          <w:sz w:val="20"/>
          <w:szCs w:val="20"/>
        </w:rPr>
        <w:t xml:space="preserve">When </w:t>
      </w:r>
      <w:r w:rsidRPr="0051359D">
        <w:rPr>
          <w:rStyle w:val="katex-mathml"/>
          <w:bCs/>
          <w:sz w:val="20"/>
          <w:szCs w:val="20"/>
        </w:rPr>
        <w:t>λ=0.5</w:t>
      </w:r>
      <w:r w:rsidR="000873BD" w:rsidRPr="0051359D">
        <w:rPr>
          <w:rStyle w:val="katex-mathml"/>
          <w:b/>
          <w:bCs/>
          <w:sz w:val="20"/>
          <w:szCs w:val="20"/>
        </w:rPr>
        <w:t>,</w:t>
      </w:r>
      <w:r w:rsidR="000873BD" w:rsidRPr="0051359D">
        <w:rPr>
          <w:sz w:val="20"/>
          <w:szCs w:val="20"/>
        </w:rPr>
        <w:t>t</w:t>
      </w:r>
      <w:r w:rsidRPr="0051359D">
        <w:rPr>
          <w:sz w:val="20"/>
          <w:szCs w:val="20"/>
        </w:rPr>
        <w:t xml:space="preserve">he isotherms begin to curve near the sides of the </w:t>
      </w:r>
      <w:r w:rsidR="009262D2" w:rsidRPr="0051359D">
        <w:rPr>
          <w:sz w:val="20"/>
          <w:szCs w:val="20"/>
        </w:rPr>
        <w:t>enclosure</w:t>
      </w:r>
      <w:r w:rsidRPr="0051359D">
        <w:rPr>
          <w:sz w:val="20"/>
          <w:szCs w:val="20"/>
        </w:rPr>
        <w:t xml:space="preserve">, suggesting an increase in </w:t>
      </w:r>
      <w:r w:rsidR="009262D2" w:rsidRPr="0051359D">
        <w:rPr>
          <w:sz w:val="20"/>
          <w:szCs w:val="20"/>
        </w:rPr>
        <w:t>density effect</w:t>
      </w:r>
      <w:r w:rsidRPr="0051359D">
        <w:rPr>
          <w:sz w:val="20"/>
          <w:szCs w:val="20"/>
        </w:rPr>
        <w:t xml:space="preserve"> as the contours bend upwards along the sidewalls. There is still a mix of conduction and convection occurring.</w:t>
      </w:r>
      <w:r w:rsidR="000873BD" w:rsidRPr="0051359D">
        <w:rPr>
          <w:sz w:val="20"/>
          <w:szCs w:val="20"/>
        </w:rPr>
        <w:t xml:space="preserve"> When </w:t>
      </w:r>
      <w:r w:rsidRPr="0051359D">
        <w:rPr>
          <w:rStyle w:val="katex-mathml"/>
          <w:bCs/>
          <w:sz w:val="20"/>
          <w:szCs w:val="20"/>
        </w:rPr>
        <w:t>λ=0.75</w:t>
      </w:r>
      <w:r w:rsidR="000873BD" w:rsidRPr="0051359D">
        <w:rPr>
          <w:rStyle w:val="Strong"/>
          <w:sz w:val="20"/>
          <w:szCs w:val="20"/>
        </w:rPr>
        <w:t>,</w:t>
      </w:r>
      <w:r w:rsidR="00056D49" w:rsidRPr="0051359D">
        <w:rPr>
          <w:rStyle w:val="Strong"/>
          <w:sz w:val="20"/>
          <w:szCs w:val="20"/>
        </w:rPr>
        <w:t xml:space="preserve"> </w:t>
      </w:r>
      <w:r w:rsidR="00056D49" w:rsidRPr="0051359D">
        <w:rPr>
          <w:sz w:val="20"/>
          <w:szCs w:val="20"/>
        </w:rPr>
        <w:t>the</w:t>
      </w:r>
      <w:r w:rsidRPr="0051359D">
        <w:rPr>
          <w:sz w:val="20"/>
          <w:szCs w:val="20"/>
        </w:rPr>
        <w:t xml:space="preserve"> isotherms show more pronounced curvature, indicating stronger convection effects. The </w:t>
      </w:r>
      <w:r w:rsidR="00056D49" w:rsidRPr="0051359D">
        <w:rPr>
          <w:sz w:val="20"/>
          <w:szCs w:val="20"/>
        </w:rPr>
        <w:t>buoyant force</w:t>
      </w:r>
      <w:r w:rsidRPr="0051359D">
        <w:rPr>
          <w:sz w:val="20"/>
          <w:szCs w:val="20"/>
        </w:rPr>
        <w:t xml:space="preserve"> is increasingly dominated by convection as the flow within </w:t>
      </w:r>
      <w:r w:rsidR="000873BD" w:rsidRPr="0051359D">
        <w:rPr>
          <w:sz w:val="20"/>
          <w:szCs w:val="20"/>
        </w:rPr>
        <w:t xml:space="preserve">the </w:t>
      </w:r>
      <w:r w:rsidR="00056D49" w:rsidRPr="0051359D">
        <w:rPr>
          <w:sz w:val="20"/>
          <w:szCs w:val="20"/>
        </w:rPr>
        <w:t>chamber</w:t>
      </w:r>
      <w:r w:rsidR="000873BD" w:rsidRPr="0051359D">
        <w:rPr>
          <w:sz w:val="20"/>
          <w:szCs w:val="20"/>
        </w:rPr>
        <w:t xml:space="preserve"> becomes more vigorous and </w:t>
      </w:r>
      <w:r w:rsidRPr="0051359D">
        <w:rPr>
          <w:rStyle w:val="katex-mathml"/>
          <w:bCs/>
          <w:sz w:val="20"/>
          <w:szCs w:val="20"/>
        </w:rPr>
        <w:t>λ=1</w:t>
      </w:r>
      <w:r w:rsidRPr="0051359D">
        <w:rPr>
          <w:sz w:val="20"/>
          <w:szCs w:val="20"/>
        </w:rPr>
        <w:t xml:space="preserve"> The isotherms display significant curvature, especially near the </w:t>
      </w:r>
      <w:r w:rsidR="0039599F" w:rsidRPr="0051359D">
        <w:rPr>
          <w:sz w:val="20"/>
          <w:szCs w:val="20"/>
        </w:rPr>
        <w:t xml:space="preserve">mid-point </w:t>
      </w:r>
      <w:r w:rsidRPr="0051359D">
        <w:rPr>
          <w:sz w:val="20"/>
          <w:szCs w:val="20"/>
        </w:rPr>
        <w:t xml:space="preserve">of the cavity, showing that </w:t>
      </w:r>
      <w:r w:rsidR="00CE0536" w:rsidRPr="0051359D">
        <w:rPr>
          <w:sz w:val="20"/>
          <w:szCs w:val="20"/>
        </w:rPr>
        <w:t>convective</w:t>
      </w:r>
      <w:r w:rsidR="00056D49" w:rsidRPr="0051359D">
        <w:rPr>
          <w:sz w:val="20"/>
          <w:szCs w:val="20"/>
        </w:rPr>
        <w:t xml:space="preserve"> energy transfer</w:t>
      </w:r>
      <w:r w:rsidRPr="0051359D">
        <w:rPr>
          <w:sz w:val="20"/>
          <w:szCs w:val="20"/>
        </w:rPr>
        <w:t xml:space="preserve"> is now the </w:t>
      </w:r>
      <w:r w:rsidR="00A67776" w:rsidRPr="0051359D">
        <w:rPr>
          <w:sz w:val="20"/>
          <w:szCs w:val="20"/>
        </w:rPr>
        <w:t xml:space="preserve">pre </w:t>
      </w:r>
      <w:r w:rsidRPr="0051359D">
        <w:rPr>
          <w:sz w:val="20"/>
          <w:szCs w:val="20"/>
        </w:rPr>
        <w:t xml:space="preserve">dominant mode of heat transfer. The </w:t>
      </w:r>
      <w:r w:rsidR="00A67776" w:rsidRPr="0051359D">
        <w:rPr>
          <w:sz w:val="20"/>
          <w:szCs w:val="20"/>
        </w:rPr>
        <w:t>scatter</w:t>
      </w:r>
      <w:r w:rsidRPr="0051359D">
        <w:rPr>
          <w:sz w:val="20"/>
          <w:szCs w:val="20"/>
        </w:rPr>
        <w:t xml:space="preserve"> of temperature contours becomes more influenced by the circular flow patterns.</w:t>
      </w:r>
    </w:p>
    <w:p w:rsidR="0067055C" w:rsidRPr="0051359D" w:rsidRDefault="000873BD" w:rsidP="000873BD">
      <w:pPr>
        <w:pStyle w:val="Heading3"/>
        <w:numPr>
          <w:ilvl w:val="0"/>
          <w:numId w:val="0"/>
        </w:numPr>
        <w:spacing w:line="360" w:lineRule="auto"/>
        <w:rPr>
          <w:sz w:val="20"/>
        </w:rPr>
      </w:pPr>
      <w:r w:rsidRPr="0051359D">
        <w:rPr>
          <w:sz w:val="20"/>
        </w:rPr>
        <w:t xml:space="preserve">On </w:t>
      </w:r>
      <w:r w:rsidR="0067055C" w:rsidRPr="0051359D">
        <w:rPr>
          <w:sz w:val="20"/>
        </w:rPr>
        <w:t>Right Column</w:t>
      </w:r>
      <w:r w:rsidRPr="0051359D">
        <w:rPr>
          <w:sz w:val="20"/>
        </w:rPr>
        <w:t xml:space="preserve">, When </w:t>
      </w:r>
      <w:r w:rsidR="0067055C" w:rsidRPr="0051359D">
        <w:rPr>
          <w:rStyle w:val="katex-mathml"/>
          <w:b/>
          <w:bCs/>
          <w:sz w:val="20"/>
        </w:rPr>
        <w:t>λ=0</w:t>
      </w:r>
      <w:r w:rsidR="0067055C" w:rsidRPr="0051359D">
        <w:rPr>
          <w:sz w:val="20"/>
        </w:rPr>
        <w:t xml:space="preserve"> </w:t>
      </w:r>
      <w:r w:rsidRPr="0051359D">
        <w:rPr>
          <w:sz w:val="20"/>
        </w:rPr>
        <w:t>t</w:t>
      </w:r>
      <w:r w:rsidR="0067055C" w:rsidRPr="0051359D">
        <w:rPr>
          <w:sz w:val="20"/>
        </w:rPr>
        <w:t>he streamlines indicate two symmetric circulation cells in the cavity, with fluid flowing in a circular pattern. The flow is relatively weak, with streamlines showing that convection is limited</w:t>
      </w:r>
      <w:r w:rsidRPr="0051359D">
        <w:rPr>
          <w:sz w:val="20"/>
        </w:rPr>
        <w:t xml:space="preserve"> and </w:t>
      </w:r>
      <w:r w:rsidR="0067055C" w:rsidRPr="0051359D">
        <w:rPr>
          <w:rStyle w:val="katex-mathml"/>
          <w:b/>
          <w:bCs/>
          <w:sz w:val="20"/>
        </w:rPr>
        <w:t>λ=0.5</w:t>
      </w:r>
      <w:r w:rsidR="0067055C" w:rsidRPr="0051359D">
        <w:rPr>
          <w:sz w:val="20"/>
        </w:rPr>
        <w:t xml:space="preserve"> The circulation cells become more distinct, showing stronger fluid motion. The fluid circulates around the cavity more actively, which enhances convective heat </w:t>
      </w:r>
      <w:r w:rsidRPr="0051359D">
        <w:rPr>
          <w:sz w:val="20"/>
        </w:rPr>
        <w:t>transfer. When λ</w:t>
      </w:r>
      <w:r w:rsidR="0067055C" w:rsidRPr="0051359D">
        <w:rPr>
          <w:rStyle w:val="katex-mathml"/>
          <w:b/>
          <w:bCs/>
          <w:sz w:val="20"/>
        </w:rPr>
        <w:t>=0.75</w:t>
      </w:r>
      <w:r w:rsidRPr="0051359D">
        <w:rPr>
          <w:rStyle w:val="katex-mathml"/>
          <w:b/>
          <w:bCs/>
          <w:sz w:val="20"/>
        </w:rPr>
        <w:t>,</w:t>
      </w:r>
      <w:r w:rsidR="0067055C" w:rsidRPr="0051359D">
        <w:rPr>
          <w:sz w:val="20"/>
        </w:rPr>
        <w:t xml:space="preserve">A single strong circulation cell forms, indicating more vigorous flow. The streamlines become more compact, suggesting increased convective </w:t>
      </w:r>
      <w:r w:rsidRPr="0051359D">
        <w:rPr>
          <w:sz w:val="20"/>
        </w:rPr>
        <w:t xml:space="preserve">activity. When </w:t>
      </w:r>
      <w:r w:rsidR="0067055C" w:rsidRPr="0051359D">
        <w:rPr>
          <w:rStyle w:val="katex-mathml"/>
          <w:b/>
          <w:bCs/>
          <w:sz w:val="20"/>
        </w:rPr>
        <w:t>λ=1</w:t>
      </w:r>
      <w:r w:rsidR="0067055C" w:rsidRPr="0051359D">
        <w:rPr>
          <w:sz w:val="20"/>
        </w:rPr>
        <w:t xml:space="preserve"> The single circulation cell is well-developed, with tight streamlines near the </w:t>
      </w:r>
      <w:r w:rsidR="009B6DC0" w:rsidRPr="0051359D">
        <w:rPr>
          <w:sz w:val="20"/>
        </w:rPr>
        <w:t>mid-point</w:t>
      </w:r>
      <w:r w:rsidR="0067055C" w:rsidRPr="0051359D">
        <w:rPr>
          <w:sz w:val="20"/>
        </w:rPr>
        <w:t xml:space="preserve"> of the cavity. This indicates the highest level of convection, with a strong rotating flow pattern that dominates </w:t>
      </w:r>
      <w:r w:rsidR="00624373" w:rsidRPr="0051359D">
        <w:rPr>
          <w:sz w:val="20"/>
        </w:rPr>
        <w:t>convective</w:t>
      </w:r>
      <w:r w:rsidR="009B6DC0" w:rsidRPr="0051359D">
        <w:rPr>
          <w:sz w:val="20"/>
        </w:rPr>
        <w:t xml:space="preserve"> energy transfer</w:t>
      </w:r>
      <w:r w:rsidR="0067055C" w:rsidRPr="0051359D">
        <w:rPr>
          <w:sz w:val="20"/>
        </w:rPr>
        <w:t xml:space="preserve"> in the </w:t>
      </w:r>
      <w:r w:rsidR="009B6DC0" w:rsidRPr="0051359D">
        <w:rPr>
          <w:sz w:val="20"/>
        </w:rPr>
        <w:t>chamber</w:t>
      </w:r>
      <w:r w:rsidR="0067055C" w:rsidRPr="0051359D">
        <w:rPr>
          <w:sz w:val="20"/>
        </w:rPr>
        <w:t>.</w:t>
      </w:r>
    </w:p>
    <w:p w:rsidR="0067055C" w:rsidRPr="0051359D" w:rsidRDefault="0067055C" w:rsidP="00332F62">
      <w:pPr>
        <w:spacing w:before="100" w:beforeAutospacing="1" w:after="100" w:afterAutospacing="1" w:line="360" w:lineRule="auto"/>
        <w:ind w:firstLine="0"/>
        <w:rPr>
          <w:sz w:val="20"/>
        </w:rPr>
      </w:pPr>
      <w:r w:rsidRPr="0051359D">
        <w:rPr>
          <w:sz w:val="20"/>
        </w:rPr>
        <w:t xml:space="preserve">As </w:t>
      </w:r>
      <w:r w:rsidRPr="0051359D">
        <w:rPr>
          <w:rStyle w:val="katex-mathml"/>
          <w:sz w:val="20"/>
        </w:rPr>
        <w:t>λ</w:t>
      </w:r>
      <w:r w:rsidRPr="0051359D">
        <w:rPr>
          <w:sz w:val="20"/>
        </w:rPr>
        <w:t xml:space="preserve"> </w:t>
      </w:r>
      <w:r w:rsidR="00EC160C" w:rsidRPr="0051359D">
        <w:rPr>
          <w:sz w:val="20"/>
        </w:rPr>
        <w:t xml:space="preserve">changes </w:t>
      </w:r>
      <w:r w:rsidRPr="0051359D">
        <w:rPr>
          <w:sz w:val="20"/>
        </w:rPr>
        <w:t xml:space="preserve"> from 0 to 1, the mode of </w:t>
      </w:r>
      <w:r w:rsidR="00336BCD" w:rsidRPr="0051359D">
        <w:rPr>
          <w:sz w:val="20"/>
        </w:rPr>
        <w:t>heat exchange</w:t>
      </w:r>
      <w:r w:rsidRPr="0051359D">
        <w:rPr>
          <w:sz w:val="20"/>
        </w:rPr>
        <w:t xml:space="preserve"> shifts from conduction-dominated (</w:t>
      </w:r>
      <w:r w:rsidRPr="0051359D">
        <w:rPr>
          <w:rStyle w:val="katex-mathml"/>
          <w:sz w:val="20"/>
        </w:rPr>
        <w:t>λ=0</w:t>
      </w:r>
      <w:r w:rsidRPr="0051359D">
        <w:rPr>
          <w:sz w:val="20"/>
        </w:rPr>
        <w:t>) to convection-dominated (</w:t>
      </w:r>
      <w:r w:rsidRPr="0051359D">
        <w:rPr>
          <w:rStyle w:val="katex-mathml"/>
          <w:sz w:val="20"/>
        </w:rPr>
        <w:t>λ=1</w:t>
      </w:r>
      <w:r w:rsidRPr="0051359D">
        <w:rPr>
          <w:sz w:val="20"/>
        </w:rPr>
        <w:t>).The stream</w:t>
      </w:r>
      <w:r w:rsidR="000873BD" w:rsidRPr="0051359D">
        <w:rPr>
          <w:sz w:val="20"/>
        </w:rPr>
        <w:t xml:space="preserve"> </w:t>
      </w:r>
      <w:r w:rsidRPr="0051359D">
        <w:rPr>
          <w:sz w:val="20"/>
        </w:rPr>
        <w:t>functions show the evolution of flow structures as convection strengthens, transitioning from weak circulations to a strong central vortex</w:t>
      </w:r>
      <w:r w:rsidR="000873BD" w:rsidRPr="0051359D">
        <w:rPr>
          <w:sz w:val="20"/>
        </w:rPr>
        <w:t xml:space="preserve"> </w:t>
      </w:r>
      <w:r w:rsidRPr="0051359D">
        <w:rPr>
          <w:sz w:val="20"/>
        </w:rPr>
        <w:t xml:space="preserve">.The isotherms reflect this shift, with temperature contours becoming more distorted as convective effects grow, showing that fluid motion enhances thermal mixing in the </w:t>
      </w:r>
      <w:r w:rsidR="00D01CC9" w:rsidRPr="0051359D">
        <w:rPr>
          <w:sz w:val="20"/>
        </w:rPr>
        <w:t>chamber</w:t>
      </w:r>
      <w:r w:rsidRPr="0051359D">
        <w:rPr>
          <w:sz w:val="20"/>
        </w:rPr>
        <w:t>.</w:t>
      </w:r>
      <w:r w:rsidR="00007FE0" w:rsidRPr="0051359D">
        <w:rPr>
          <w:sz w:val="20"/>
        </w:rPr>
        <w:t xml:space="preserve"> </w:t>
      </w:r>
      <w:r w:rsidRPr="0051359D">
        <w:rPr>
          <w:sz w:val="20"/>
        </w:rPr>
        <w:t xml:space="preserve">This diagram illustrates the complex interaction between fluid flow and </w:t>
      </w:r>
      <w:r w:rsidR="00D01CC9" w:rsidRPr="0051359D">
        <w:rPr>
          <w:sz w:val="20"/>
        </w:rPr>
        <w:t>free convective</w:t>
      </w:r>
      <w:r w:rsidR="00EC160C" w:rsidRPr="0051359D">
        <w:rPr>
          <w:sz w:val="20"/>
        </w:rPr>
        <w:t xml:space="preserve"> energy transfer</w:t>
      </w:r>
      <w:r w:rsidRPr="0051359D">
        <w:rPr>
          <w:sz w:val="20"/>
        </w:rPr>
        <w:t xml:space="preserve"> in a </w:t>
      </w:r>
      <w:r w:rsidR="00EC160C" w:rsidRPr="0051359D">
        <w:rPr>
          <w:sz w:val="20"/>
        </w:rPr>
        <w:t>non-square chamber</w:t>
      </w:r>
      <w:r w:rsidRPr="0051359D">
        <w:rPr>
          <w:sz w:val="20"/>
        </w:rPr>
        <w:t xml:space="preserve"> under varying conditions, likely influenced by geometric changes or fluid properties</w:t>
      </w:r>
      <w:r w:rsidR="000873BD" w:rsidRPr="0051359D">
        <w:rPr>
          <w:sz w:val="20"/>
        </w:rPr>
        <w:t>.</w:t>
      </w:r>
    </w:p>
    <w:p w:rsidR="00ED259D" w:rsidRPr="0051359D" w:rsidRDefault="002E33E9" w:rsidP="00331D11">
      <w:pPr>
        <w:pStyle w:val="Heading2"/>
        <w:numPr>
          <w:ilvl w:val="0"/>
          <w:numId w:val="0"/>
        </w:numPr>
        <w:spacing w:after="120"/>
        <w:rPr>
          <w:sz w:val="20"/>
        </w:rPr>
      </w:pPr>
      <w:r w:rsidRPr="0051359D">
        <w:rPr>
          <w:sz w:val="20"/>
        </w:rPr>
        <w:t>5</w:t>
      </w:r>
      <w:r w:rsidR="00331D11" w:rsidRPr="0051359D">
        <w:rPr>
          <w:sz w:val="20"/>
        </w:rPr>
        <w:t xml:space="preserve">.3   </w:t>
      </w:r>
      <w:r w:rsidR="00516DED" w:rsidRPr="0051359D">
        <w:rPr>
          <w:sz w:val="20"/>
        </w:rPr>
        <w:t>I</w:t>
      </w:r>
      <w:r w:rsidR="007B0005" w:rsidRPr="0051359D">
        <w:rPr>
          <w:sz w:val="20"/>
        </w:rPr>
        <w:t>mpact</w:t>
      </w:r>
      <w:r w:rsidR="00516DED" w:rsidRPr="0051359D">
        <w:rPr>
          <w:sz w:val="20"/>
        </w:rPr>
        <w:t xml:space="preserve"> of</w:t>
      </w:r>
      <w:r w:rsidR="00ED259D" w:rsidRPr="0051359D">
        <w:rPr>
          <w:sz w:val="20"/>
        </w:rPr>
        <w:t xml:space="preserve"> Power Law Coefficient on different walls</w:t>
      </w:r>
    </w:p>
    <w:p w:rsidR="00ED259D" w:rsidRPr="0051359D" w:rsidRDefault="00ED259D" w:rsidP="00ED259D">
      <w:pPr>
        <w:pStyle w:val="6Sectionheadings"/>
        <w:numPr>
          <w:ilvl w:val="0"/>
          <w:numId w:val="0"/>
        </w:numPr>
        <w:spacing w:line="360" w:lineRule="auto"/>
        <w:jc w:val="center"/>
        <w:rPr>
          <w:b w:val="0"/>
          <w:sz w:val="20"/>
        </w:rPr>
      </w:pPr>
      <w:r w:rsidRPr="0051359D">
        <w:rPr>
          <w:b w:val="0"/>
          <w:noProof/>
          <w:sz w:val="20"/>
          <w:lang w:val="en-US"/>
        </w:rPr>
        <w:drawing>
          <wp:inline distT="0" distB="0" distL="0" distR="0">
            <wp:extent cx="3361654" cy="2054180"/>
            <wp:effectExtent l="19050" t="0" r="0" b="0"/>
            <wp:docPr id="6"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8"/>
                    <a:srcRect/>
                    <a:stretch>
                      <a:fillRect/>
                    </a:stretch>
                  </pic:blipFill>
                  <pic:spPr bwMode="auto">
                    <a:xfrm>
                      <a:off x="0" y="0"/>
                      <a:ext cx="3381876" cy="2066537"/>
                    </a:xfrm>
                    <a:prstGeom prst="rect">
                      <a:avLst/>
                    </a:prstGeom>
                    <a:noFill/>
                    <a:ln w="9525">
                      <a:noFill/>
                      <a:miter lim="800000"/>
                      <a:headEnd/>
                      <a:tailEnd/>
                    </a:ln>
                  </pic:spPr>
                </pic:pic>
              </a:graphicData>
            </a:graphic>
          </wp:inline>
        </w:drawing>
      </w:r>
    </w:p>
    <w:p w:rsidR="00ED259D" w:rsidRPr="0051359D" w:rsidRDefault="00ED259D" w:rsidP="00332F62">
      <w:pPr>
        <w:pStyle w:val="6Sectionheadings"/>
        <w:numPr>
          <w:ilvl w:val="0"/>
          <w:numId w:val="0"/>
        </w:numPr>
        <w:spacing w:line="360" w:lineRule="auto"/>
        <w:jc w:val="center"/>
        <w:rPr>
          <w:b w:val="0"/>
          <w:sz w:val="20"/>
        </w:rPr>
      </w:pPr>
      <w:r w:rsidRPr="0051359D">
        <w:rPr>
          <w:sz w:val="20"/>
        </w:rPr>
        <w:lastRenderedPageBreak/>
        <w:t>Figure 5</w:t>
      </w:r>
      <w:r w:rsidRPr="0051359D">
        <w:rPr>
          <w:b w:val="0"/>
          <w:sz w:val="20"/>
        </w:rPr>
        <w:t xml:space="preserve">: </w:t>
      </w:r>
      <w:r w:rsidR="00B94D46" w:rsidRPr="0051359D">
        <w:rPr>
          <w:sz w:val="20"/>
        </w:rPr>
        <w:t>Variation</w:t>
      </w:r>
      <w:r w:rsidRPr="0051359D">
        <w:rPr>
          <w:sz w:val="20"/>
        </w:rPr>
        <w:t xml:space="preserve"> of local Nusselt number with respect to </w:t>
      </w:r>
      <w:r w:rsidRPr="0051359D">
        <w:rPr>
          <w:i/>
          <w:sz w:val="20"/>
        </w:rPr>
        <w:t>λ</w:t>
      </w:r>
      <w:r w:rsidRPr="0051359D">
        <w:rPr>
          <w:sz w:val="20"/>
        </w:rPr>
        <w:t xml:space="preserve"> for </w:t>
      </w:r>
      <w:r w:rsidR="007D2110" w:rsidRPr="0051359D">
        <w:rPr>
          <w:sz w:val="20"/>
        </w:rPr>
        <w:t>heated wall</w:t>
      </w:r>
    </w:p>
    <w:p w:rsidR="002C1EA5" w:rsidRPr="0051359D" w:rsidRDefault="002C1EA5" w:rsidP="002C1EA5">
      <w:pPr>
        <w:spacing w:line="360" w:lineRule="auto"/>
        <w:rPr>
          <w:sz w:val="20"/>
        </w:rPr>
      </w:pPr>
      <w:r w:rsidRPr="0051359D">
        <w:rPr>
          <w:sz w:val="20"/>
        </w:rPr>
        <w:t xml:space="preserve">Figure 5 depicts the </w:t>
      </w:r>
      <w:r w:rsidR="007D2110" w:rsidRPr="0051359D">
        <w:rPr>
          <w:sz w:val="20"/>
        </w:rPr>
        <w:t>effect</w:t>
      </w:r>
      <w:r w:rsidRPr="0051359D">
        <w:rPr>
          <w:sz w:val="20"/>
        </w:rPr>
        <w:t xml:space="preserve"> of the power-law coefficient </w:t>
      </w:r>
      <w:r w:rsidRPr="0051359D">
        <w:rPr>
          <w:rStyle w:val="katex-mathml"/>
          <w:sz w:val="20"/>
        </w:rPr>
        <w:t>λ</w:t>
      </w:r>
      <w:r w:rsidRPr="0051359D">
        <w:rPr>
          <w:sz w:val="20"/>
        </w:rPr>
        <w:t xml:space="preserve"> on the local </w:t>
      </w:r>
      <w:r w:rsidR="00AB39AC" w:rsidRPr="0051359D">
        <w:rPr>
          <w:i/>
          <w:sz w:val="20"/>
        </w:rPr>
        <w:t>Nu</w:t>
      </w:r>
      <w:r w:rsidRPr="0051359D">
        <w:rPr>
          <w:sz w:val="20"/>
        </w:rPr>
        <w:t xml:space="preserve"> </w:t>
      </w:r>
      <w:r w:rsidR="009F5047" w:rsidRPr="0051359D">
        <w:rPr>
          <w:sz w:val="20"/>
        </w:rPr>
        <w:t>allocation</w:t>
      </w:r>
      <w:r w:rsidRPr="0051359D">
        <w:rPr>
          <w:sz w:val="20"/>
        </w:rPr>
        <w:t xml:space="preserve"> along the non-dimensional length </w:t>
      </w:r>
      <w:r w:rsidRPr="0051359D">
        <w:rPr>
          <w:rStyle w:val="katex-mathml"/>
          <w:sz w:val="20"/>
        </w:rPr>
        <w:t>X</w:t>
      </w:r>
      <w:r w:rsidRPr="0051359D">
        <w:rPr>
          <w:rStyle w:val="mord"/>
          <w:sz w:val="20"/>
        </w:rPr>
        <w:t xml:space="preserve"> </w:t>
      </w:r>
      <w:r w:rsidRPr="0051359D">
        <w:rPr>
          <w:sz w:val="20"/>
        </w:rPr>
        <w:t xml:space="preserve">of the heated wall in a </w:t>
      </w:r>
      <w:r w:rsidR="009F5047" w:rsidRPr="0051359D">
        <w:rPr>
          <w:sz w:val="20"/>
        </w:rPr>
        <w:t>non-square cavity</w:t>
      </w:r>
      <w:r w:rsidRPr="0051359D">
        <w:rPr>
          <w:sz w:val="20"/>
        </w:rPr>
        <w:t xml:space="preserve">. The local </w:t>
      </w:r>
      <w:r w:rsidR="009F5047" w:rsidRPr="0051359D">
        <w:rPr>
          <w:i/>
          <w:sz w:val="20"/>
        </w:rPr>
        <w:t>Nu</w:t>
      </w:r>
      <w:r w:rsidR="009F5047" w:rsidRPr="0051359D">
        <w:rPr>
          <w:sz w:val="20"/>
        </w:rPr>
        <w:t xml:space="preserve"> </w:t>
      </w:r>
      <w:r w:rsidRPr="0051359D">
        <w:rPr>
          <w:sz w:val="20"/>
        </w:rPr>
        <w:t xml:space="preserve">represents the </w:t>
      </w:r>
      <w:r w:rsidR="007D2110" w:rsidRPr="0051359D">
        <w:rPr>
          <w:sz w:val="20"/>
        </w:rPr>
        <w:t>buoyant energy transfer</w:t>
      </w:r>
      <w:r w:rsidRPr="0051359D">
        <w:rPr>
          <w:sz w:val="20"/>
        </w:rPr>
        <w:t xml:space="preserve"> rate at specific points along the wall. The four curves correspond to </w:t>
      </w:r>
      <w:r w:rsidR="00126AE3" w:rsidRPr="0051359D">
        <w:rPr>
          <w:sz w:val="20"/>
        </w:rPr>
        <w:t>various</w:t>
      </w:r>
      <w:r w:rsidRPr="0051359D">
        <w:rPr>
          <w:sz w:val="20"/>
        </w:rPr>
        <w:t xml:space="preserve"> values of the power-law coefficient (</w:t>
      </w:r>
      <w:r w:rsidRPr="0051359D">
        <w:rPr>
          <w:rStyle w:val="katex-mathml"/>
          <w:sz w:val="20"/>
        </w:rPr>
        <w:t>λ</w:t>
      </w:r>
      <w:r w:rsidRPr="0051359D">
        <w:rPr>
          <w:sz w:val="20"/>
        </w:rPr>
        <w:t xml:space="preserve">), which governs the </w:t>
      </w:r>
      <w:r w:rsidR="002217F8" w:rsidRPr="0051359D">
        <w:rPr>
          <w:sz w:val="20"/>
        </w:rPr>
        <w:t>different</w:t>
      </w:r>
      <w:r w:rsidRPr="0051359D">
        <w:rPr>
          <w:sz w:val="20"/>
        </w:rPr>
        <w:t xml:space="preserve"> heat input across the heated surface.</w:t>
      </w:r>
    </w:p>
    <w:p w:rsidR="002C1EA5" w:rsidRPr="0051359D" w:rsidRDefault="002C1EA5" w:rsidP="002C1EA5">
      <w:pPr>
        <w:pStyle w:val="NormalWeb"/>
        <w:spacing w:line="360" w:lineRule="auto"/>
        <w:jc w:val="both"/>
        <w:rPr>
          <w:sz w:val="20"/>
          <w:szCs w:val="20"/>
        </w:rPr>
      </w:pPr>
      <w:r w:rsidRPr="0051359D">
        <w:rPr>
          <w:sz w:val="20"/>
          <w:szCs w:val="20"/>
        </w:rPr>
        <w:t xml:space="preserve">For </w:t>
      </w:r>
      <w:r w:rsidRPr="0051359D">
        <w:rPr>
          <w:rStyle w:val="katex-mathml"/>
          <w:bCs/>
          <w:sz w:val="20"/>
          <w:szCs w:val="20"/>
        </w:rPr>
        <w:t>λ=0</w:t>
      </w:r>
      <w:r w:rsidRPr="0051359D">
        <w:rPr>
          <w:rStyle w:val="katex-mathml"/>
          <w:b/>
          <w:bCs/>
          <w:sz w:val="20"/>
          <w:szCs w:val="20"/>
        </w:rPr>
        <w:t>,</w:t>
      </w:r>
      <w:r w:rsidRPr="0051359D">
        <w:rPr>
          <w:sz w:val="20"/>
          <w:szCs w:val="20"/>
        </w:rPr>
        <w:t xml:space="preserve"> where the heating is uniform, the local </w:t>
      </w:r>
      <w:r w:rsidR="000B1228" w:rsidRPr="0051359D">
        <w:rPr>
          <w:i/>
          <w:sz w:val="20"/>
          <w:szCs w:val="20"/>
        </w:rPr>
        <w:t>Nu</w:t>
      </w:r>
      <w:r w:rsidR="000B1228" w:rsidRPr="0051359D">
        <w:rPr>
          <w:sz w:val="20"/>
          <w:szCs w:val="20"/>
        </w:rPr>
        <w:t xml:space="preserve"> </w:t>
      </w:r>
      <w:r w:rsidRPr="0051359D">
        <w:rPr>
          <w:sz w:val="20"/>
          <w:szCs w:val="20"/>
        </w:rPr>
        <w:t xml:space="preserve">reaches a </w:t>
      </w:r>
      <w:r w:rsidR="000B1228" w:rsidRPr="0051359D">
        <w:rPr>
          <w:sz w:val="20"/>
          <w:szCs w:val="20"/>
        </w:rPr>
        <w:t>apex</w:t>
      </w:r>
      <w:r w:rsidRPr="0051359D">
        <w:rPr>
          <w:sz w:val="20"/>
          <w:szCs w:val="20"/>
        </w:rPr>
        <w:t xml:space="preserve"> at approximately </w:t>
      </w:r>
      <w:r w:rsidRPr="0051359D">
        <w:rPr>
          <w:rStyle w:val="katex-mathml"/>
          <w:sz w:val="20"/>
          <w:szCs w:val="20"/>
        </w:rPr>
        <w:t>X</w:t>
      </w:r>
      <w:r w:rsidR="00BA4ADC" w:rsidRPr="0051359D">
        <w:rPr>
          <w:rStyle w:val="katex-mathml"/>
          <w:sz w:val="20"/>
          <w:szCs w:val="20"/>
        </w:rPr>
        <w:t xml:space="preserve"> </w:t>
      </w:r>
      <w:r w:rsidRPr="0051359D">
        <w:rPr>
          <w:rStyle w:val="katex-mathml"/>
          <w:sz w:val="20"/>
          <w:szCs w:val="20"/>
        </w:rPr>
        <w:t>≈</w:t>
      </w:r>
      <w:r w:rsidR="00BA4ADC" w:rsidRPr="0051359D">
        <w:rPr>
          <w:rStyle w:val="katex-mathml"/>
          <w:sz w:val="20"/>
          <w:szCs w:val="20"/>
        </w:rPr>
        <w:t xml:space="preserve"> </w:t>
      </w:r>
      <w:r w:rsidRPr="0051359D">
        <w:rPr>
          <w:rStyle w:val="katex-mathml"/>
          <w:sz w:val="20"/>
          <w:szCs w:val="20"/>
        </w:rPr>
        <w:t>0.5</w:t>
      </w:r>
      <w:r w:rsidRPr="0051359D">
        <w:rPr>
          <w:sz w:val="20"/>
          <w:szCs w:val="20"/>
        </w:rPr>
        <w:t xml:space="preserve">, indicating that the </w:t>
      </w:r>
      <w:r w:rsidR="000B1228" w:rsidRPr="0051359D">
        <w:rPr>
          <w:sz w:val="20"/>
          <w:szCs w:val="20"/>
        </w:rPr>
        <w:t xml:space="preserve">mid-point </w:t>
      </w:r>
      <w:r w:rsidRPr="0051359D">
        <w:rPr>
          <w:sz w:val="20"/>
          <w:szCs w:val="20"/>
        </w:rPr>
        <w:t xml:space="preserve">of the heated surface experiences the highest </w:t>
      </w:r>
      <w:r w:rsidR="000B1228" w:rsidRPr="0051359D">
        <w:rPr>
          <w:sz w:val="20"/>
          <w:szCs w:val="20"/>
        </w:rPr>
        <w:t>buoyant energy transfer</w:t>
      </w:r>
      <w:r w:rsidRPr="0051359D">
        <w:rPr>
          <w:sz w:val="20"/>
          <w:szCs w:val="20"/>
        </w:rPr>
        <w:t xml:space="preserve">. The </w:t>
      </w:r>
      <w:r w:rsidR="000B1228" w:rsidRPr="0051359D">
        <w:rPr>
          <w:i/>
          <w:sz w:val="20"/>
          <w:szCs w:val="20"/>
        </w:rPr>
        <w:t>Nu</w:t>
      </w:r>
      <w:r w:rsidRPr="0051359D">
        <w:rPr>
          <w:sz w:val="20"/>
          <w:szCs w:val="20"/>
        </w:rPr>
        <w:t xml:space="preserve"> drops significantly near the edges, with negative values at the ends, indicating heat loss in those regions.As the power-law coefficient increases to </w:t>
      </w:r>
      <w:r w:rsidRPr="0051359D">
        <w:rPr>
          <w:rStyle w:val="katex-mathml"/>
          <w:bCs/>
          <w:sz w:val="20"/>
          <w:szCs w:val="20"/>
        </w:rPr>
        <w:t>λ=0.5</w:t>
      </w:r>
      <w:r w:rsidRPr="0051359D">
        <w:rPr>
          <w:sz w:val="20"/>
          <w:szCs w:val="20"/>
        </w:rPr>
        <w:t xml:space="preserve">, the peak heat transfer shifts slightly to the left (toward </w:t>
      </w:r>
      <w:r w:rsidRPr="0051359D">
        <w:rPr>
          <w:rStyle w:val="katex-mathml"/>
          <w:sz w:val="20"/>
          <w:szCs w:val="20"/>
        </w:rPr>
        <w:t>X≈0.45</w:t>
      </w:r>
      <w:r w:rsidRPr="0051359D">
        <w:rPr>
          <w:sz w:val="20"/>
          <w:szCs w:val="20"/>
        </w:rPr>
        <w:t xml:space="preserve">), and the maximum Nusselt number decreases compared to </w:t>
      </w:r>
      <w:r w:rsidRPr="0051359D">
        <w:rPr>
          <w:rStyle w:val="katex-mathml"/>
          <w:sz w:val="20"/>
          <w:szCs w:val="20"/>
        </w:rPr>
        <w:t>λ=0</w:t>
      </w:r>
      <w:r w:rsidRPr="0051359D">
        <w:rPr>
          <w:sz w:val="20"/>
          <w:szCs w:val="20"/>
        </w:rPr>
        <w:t xml:space="preserve">. This suggests that the power-law heating redistributes the </w:t>
      </w:r>
      <w:r w:rsidR="00BA4ADC" w:rsidRPr="0051359D">
        <w:rPr>
          <w:sz w:val="20"/>
          <w:szCs w:val="20"/>
        </w:rPr>
        <w:t xml:space="preserve">buoyant energy </w:t>
      </w:r>
      <w:r w:rsidR="00A13F97" w:rsidRPr="0051359D">
        <w:rPr>
          <w:sz w:val="20"/>
          <w:szCs w:val="20"/>
        </w:rPr>
        <w:t>transfer more</w:t>
      </w:r>
      <w:r w:rsidRPr="0051359D">
        <w:rPr>
          <w:sz w:val="20"/>
          <w:szCs w:val="20"/>
        </w:rPr>
        <w:t xml:space="preserve"> evenly across the surface, reducing the sharp peaks in heat transfer.</w:t>
      </w:r>
      <w:r w:rsidR="00A13F97" w:rsidRPr="0051359D">
        <w:rPr>
          <w:sz w:val="20"/>
          <w:szCs w:val="20"/>
        </w:rPr>
        <w:t xml:space="preserve"> </w:t>
      </w:r>
      <w:r w:rsidRPr="0051359D">
        <w:rPr>
          <w:sz w:val="20"/>
          <w:szCs w:val="20"/>
        </w:rPr>
        <w:t xml:space="preserve">With further increases in </w:t>
      </w:r>
      <w:r w:rsidRPr="0051359D">
        <w:rPr>
          <w:rStyle w:val="katex-mathml"/>
          <w:sz w:val="20"/>
          <w:szCs w:val="20"/>
        </w:rPr>
        <w:t>λ</w:t>
      </w:r>
      <w:r w:rsidRPr="0051359D">
        <w:rPr>
          <w:sz w:val="20"/>
          <w:szCs w:val="20"/>
        </w:rPr>
        <w:t xml:space="preserve">, as seen in the </w:t>
      </w:r>
      <w:r w:rsidRPr="0051359D">
        <w:rPr>
          <w:rStyle w:val="katex-mathml"/>
          <w:bCs/>
          <w:sz w:val="20"/>
          <w:szCs w:val="20"/>
        </w:rPr>
        <w:t>λ=0.75</w:t>
      </w:r>
      <w:r w:rsidRPr="0051359D">
        <w:rPr>
          <w:sz w:val="20"/>
          <w:szCs w:val="20"/>
        </w:rPr>
        <w:t xml:space="preserve"> and </w:t>
      </w:r>
      <w:r w:rsidRPr="0051359D">
        <w:rPr>
          <w:rStyle w:val="katex-mathml"/>
          <w:bCs/>
          <w:sz w:val="20"/>
          <w:szCs w:val="20"/>
        </w:rPr>
        <w:t>λ=1</w:t>
      </w:r>
      <w:r w:rsidRPr="0051359D">
        <w:rPr>
          <w:sz w:val="20"/>
          <w:szCs w:val="20"/>
        </w:rPr>
        <w:t xml:space="preserve"> cases, the </w:t>
      </w:r>
      <w:r w:rsidR="00BA4ADC" w:rsidRPr="0051359D">
        <w:rPr>
          <w:sz w:val="20"/>
          <w:szCs w:val="20"/>
        </w:rPr>
        <w:t xml:space="preserve">buoyant energy transfer </w:t>
      </w:r>
      <w:r w:rsidRPr="0051359D">
        <w:rPr>
          <w:sz w:val="20"/>
          <w:szCs w:val="20"/>
        </w:rPr>
        <w:t xml:space="preserve">becomes more uniform along the heated wall. The peak local </w:t>
      </w:r>
      <w:r w:rsidR="00BA4ADC" w:rsidRPr="0051359D">
        <w:rPr>
          <w:i/>
          <w:sz w:val="20"/>
          <w:szCs w:val="20"/>
        </w:rPr>
        <w:t>Nu</w:t>
      </w:r>
      <w:r w:rsidRPr="0051359D">
        <w:rPr>
          <w:sz w:val="20"/>
          <w:szCs w:val="20"/>
        </w:rPr>
        <w:t xml:space="preserve"> continues to decrease, indicating a more gradual distribution of heat, with the differences in heat transfer between the central and edge regions diminishing. The profiles for </w:t>
      </w:r>
      <w:r w:rsidRPr="0051359D">
        <w:rPr>
          <w:rStyle w:val="katex-mathml"/>
          <w:sz w:val="20"/>
          <w:szCs w:val="20"/>
        </w:rPr>
        <w:t xml:space="preserve">λ=0.75 </w:t>
      </w:r>
      <w:r w:rsidRPr="0051359D">
        <w:rPr>
          <w:sz w:val="20"/>
          <w:szCs w:val="20"/>
        </w:rPr>
        <w:t xml:space="preserve">and </w:t>
      </w:r>
      <w:r w:rsidRPr="0051359D">
        <w:rPr>
          <w:rStyle w:val="katex-mathml"/>
          <w:sz w:val="20"/>
          <w:szCs w:val="20"/>
        </w:rPr>
        <w:t>λ=1</w:t>
      </w:r>
      <w:r w:rsidRPr="0051359D">
        <w:rPr>
          <w:sz w:val="20"/>
          <w:szCs w:val="20"/>
        </w:rPr>
        <w:t xml:space="preserve"> demonstrate smoother curves, showing less pronounced peaks and more stable </w:t>
      </w:r>
      <w:r w:rsidR="00BA4ADC" w:rsidRPr="0051359D">
        <w:rPr>
          <w:sz w:val="20"/>
          <w:szCs w:val="20"/>
        </w:rPr>
        <w:t xml:space="preserve">buoyant energy transfer </w:t>
      </w:r>
      <w:r w:rsidRPr="0051359D">
        <w:rPr>
          <w:sz w:val="20"/>
          <w:szCs w:val="20"/>
        </w:rPr>
        <w:t>rates across the wall.</w:t>
      </w:r>
    </w:p>
    <w:p w:rsidR="002C1EA5" w:rsidRPr="0051359D" w:rsidRDefault="002C1EA5" w:rsidP="00581EE9">
      <w:pPr>
        <w:pStyle w:val="NormalWeb"/>
        <w:spacing w:line="360" w:lineRule="auto"/>
        <w:jc w:val="both"/>
        <w:rPr>
          <w:sz w:val="20"/>
          <w:szCs w:val="20"/>
        </w:rPr>
      </w:pPr>
      <w:r w:rsidRPr="0051359D">
        <w:rPr>
          <w:sz w:val="20"/>
          <w:szCs w:val="20"/>
        </w:rPr>
        <w:t xml:space="preserve">As the power-law coefficient </w:t>
      </w:r>
      <w:r w:rsidRPr="0051359D">
        <w:rPr>
          <w:rStyle w:val="katex-mathml"/>
          <w:sz w:val="20"/>
          <w:szCs w:val="20"/>
        </w:rPr>
        <w:t>λ</w:t>
      </w:r>
      <w:r w:rsidRPr="0051359D">
        <w:rPr>
          <w:sz w:val="20"/>
          <w:szCs w:val="20"/>
        </w:rPr>
        <w:t xml:space="preserve"> increases, the heat transfer distribution becomes more uniform, reducing the </w:t>
      </w:r>
      <w:r w:rsidR="00A13F97" w:rsidRPr="0051359D">
        <w:rPr>
          <w:sz w:val="20"/>
          <w:szCs w:val="20"/>
        </w:rPr>
        <w:t>apex</w:t>
      </w:r>
      <w:r w:rsidRPr="0051359D">
        <w:rPr>
          <w:sz w:val="20"/>
          <w:szCs w:val="20"/>
        </w:rPr>
        <w:t xml:space="preserve"> values of the local </w:t>
      </w:r>
      <w:r w:rsidR="00A13F97" w:rsidRPr="0051359D">
        <w:rPr>
          <w:i/>
          <w:sz w:val="20"/>
          <w:szCs w:val="20"/>
        </w:rPr>
        <w:t>Nu</w:t>
      </w:r>
      <w:r w:rsidRPr="0051359D">
        <w:rPr>
          <w:sz w:val="20"/>
          <w:szCs w:val="20"/>
        </w:rPr>
        <w:t xml:space="preserve"> and spreading the </w:t>
      </w:r>
      <w:r w:rsidR="004C55D6" w:rsidRPr="0051359D">
        <w:rPr>
          <w:sz w:val="20"/>
          <w:szCs w:val="20"/>
        </w:rPr>
        <w:t xml:space="preserve">free convective </w:t>
      </w:r>
      <w:r w:rsidR="00A13F97" w:rsidRPr="0051359D">
        <w:rPr>
          <w:sz w:val="20"/>
          <w:szCs w:val="20"/>
        </w:rPr>
        <w:t xml:space="preserve">energy transfer </w:t>
      </w:r>
      <w:r w:rsidRPr="0051359D">
        <w:rPr>
          <w:sz w:val="20"/>
          <w:szCs w:val="20"/>
        </w:rPr>
        <w:t>more evenly along the heated surface. The diagram clearly shows that applying a power-law heating condition reduces the intensity of localized heat transfer, creating a more balanced thermal environment across the wall.</w:t>
      </w:r>
    </w:p>
    <w:p w:rsidR="00257E2A" w:rsidRPr="0051359D" w:rsidRDefault="00257E2A" w:rsidP="00E740B9">
      <w:pPr>
        <w:spacing w:line="360" w:lineRule="auto"/>
        <w:rPr>
          <w:sz w:val="20"/>
        </w:rPr>
      </w:pPr>
    </w:p>
    <w:p w:rsidR="00ED259D" w:rsidRPr="0051359D" w:rsidRDefault="00ED259D" w:rsidP="00257E2A">
      <w:pPr>
        <w:spacing w:line="360" w:lineRule="auto"/>
        <w:jc w:val="center"/>
        <w:rPr>
          <w:sz w:val="20"/>
        </w:rPr>
      </w:pPr>
      <w:r w:rsidRPr="0051359D">
        <w:rPr>
          <w:noProof/>
          <w:sz w:val="20"/>
          <w:lang w:val="en-US"/>
        </w:rPr>
        <w:drawing>
          <wp:inline distT="0" distB="0" distL="0" distR="0">
            <wp:extent cx="2885136" cy="2002665"/>
            <wp:effectExtent l="19050" t="0" r="0" b="0"/>
            <wp:docPr id="8" name="Picture 30" descr="E:\APPLIED SCIENCE PAPER-2022\Plagerism Report-2023\Draft Report Files-2023\Power law coefficent Results\NEW COMBINED TOP AND BOTTOM WALL GRAPH new.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APPLIED SCIENCE PAPER-2022\Plagerism Report-2023\Draft Report Files-2023\Power law coefficent Results\NEW COMBINED TOP AND BOTTOM WALL GRAPH new.tif"/>
                    <pic:cNvPicPr>
                      <a:picLocks noChangeAspect="1" noChangeArrowheads="1"/>
                    </pic:cNvPicPr>
                  </pic:nvPicPr>
                  <pic:blipFill>
                    <a:blip r:embed="rId29"/>
                    <a:srcRect/>
                    <a:stretch>
                      <a:fillRect/>
                    </a:stretch>
                  </pic:blipFill>
                  <pic:spPr bwMode="auto">
                    <a:xfrm>
                      <a:off x="0" y="0"/>
                      <a:ext cx="2885695" cy="2003053"/>
                    </a:xfrm>
                    <a:prstGeom prst="rect">
                      <a:avLst/>
                    </a:prstGeom>
                    <a:noFill/>
                    <a:ln w="9525">
                      <a:noFill/>
                      <a:miter lim="800000"/>
                      <a:headEnd/>
                      <a:tailEnd/>
                    </a:ln>
                  </pic:spPr>
                </pic:pic>
              </a:graphicData>
            </a:graphic>
          </wp:inline>
        </w:drawing>
      </w:r>
    </w:p>
    <w:p w:rsidR="00ED259D" w:rsidRPr="0051359D" w:rsidRDefault="00ED259D" w:rsidP="00ED259D">
      <w:pPr>
        <w:pStyle w:val="6Sectionheadings"/>
        <w:numPr>
          <w:ilvl w:val="0"/>
          <w:numId w:val="0"/>
        </w:numPr>
        <w:spacing w:line="360" w:lineRule="auto"/>
        <w:jc w:val="center"/>
        <w:rPr>
          <w:sz w:val="20"/>
        </w:rPr>
      </w:pPr>
      <w:r w:rsidRPr="0051359D">
        <w:rPr>
          <w:sz w:val="20"/>
        </w:rPr>
        <w:t>Figure 6</w:t>
      </w:r>
      <w:r w:rsidRPr="0051359D">
        <w:rPr>
          <w:b w:val="0"/>
          <w:sz w:val="20"/>
        </w:rPr>
        <w:t xml:space="preserve">: </w:t>
      </w:r>
      <w:r w:rsidR="00A13F97" w:rsidRPr="0051359D">
        <w:rPr>
          <w:sz w:val="20"/>
        </w:rPr>
        <w:t>Variation of</w:t>
      </w:r>
      <w:r w:rsidRPr="0051359D">
        <w:rPr>
          <w:sz w:val="20"/>
        </w:rPr>
        <w:t xml:space="preserve"> local </w:t>
      </w:r>
      <w:r w:rsidRPr="0051359D">
        <w:rPr>
          <w:i/>
          <w:sz w:val="20"/>
        </w:rPr>
        <w:t>Nu</w:t>
      </w:r>
      <w:r w:rsidRPr="0051359D">
        <w:rPr>
          <w:sz w:val="20"/>
        </w:rPr>
        <w:t xml:space="preserve"> with </w:t>
      </w:r>
      <w:r w:rsidR="004F3A9D" w:rsidRPr="0051359D">
        <w:rPr>
          <w:sz w:val="20"/>
        </w:rPr>
        <w:t xml:space="preserve">power law </w:t>
      </w:r>
      <w:r w:rsidR="00A86234" w:rsidRPr="0051359D">
        <w:rPr>
          <w:sz w:val="20"/>
        </w:rPr>
        <w:t>coefficient for</w:t>
      </w:r>
      <w:r w:rsidRPr="0051359D">
        <w:rPr>
          <w:sz w:val="20"/>
        </w:rPr>
        <w:t xml:space="preserve"> </w:t>
      </w:r>
      <w:r w:rsidR="009F5AF3" w:rsidRPr="0051359D">
        <w:rPr>
          <w:sz w:val="20"/>
        </w:rPr>
        <w:t>cold wall</w:t>
      </w:r>
    </w:p>
    <w:p w:rsidR="00581EE9" w:rsidRPr="0051359D" w:rsidRDefault="002E33E9" w:rsidP="00581EE9">
      <w:pPr>
        <w:pStyle w:val="Heading2"/>
        <w:numPr>
          <w:ilvl w:val="0"/>
          <w:numId w:val="0"/>
        </w:numPr>
        <w:spacing w:after="120"/>
        <w:rPr>
          <w:sz w:val="20"/>
        </w:rPr>
      </w:pPr>
      <w:r w:rsidRPr="0051359D">
        <w:rPr>
          <w:sz w:val="20"/>
        </w:rPr>
        <w:t>5</w:t>
      </w:r>
      <w:r w:rsidR="00581EE9" w:rsidRPr="0051359D">
        <w:rPr>
          <w:sz w:val="20"/>
        </w:rPr>
        <w:t>.4 Impact of Power Law Coefficient on different Radiation factors</w:t>
      </w:r>
    </w:p>
    <w:p w:rsidR="00581EE9" w:rsidRPr="0051359D" w:rsidRDefault="00581EE9" w:rsidP="00581EE9">
      <w:pPr>
        <w:pStyle w:val="6Sectionheadings"/>
        <w:numPr>
          <w:ilvl w:val="0"/>
          <w:numId w:val="0"/>
        </w:numPr>
        <w:spacing w:line="360" w:lineRule="auto"/>
        <w:jc w:val="both"/>
        <w:rPr>
          <w:sz w:val="20"/>
        </w:rPr>
      </w:pPr>
      <w:r w:rsidRPr="0051359D">
        <w:rPr>
          <w:b w:val="0"/>
          <w:sz w:val="20"/>
        </w:rPr>
        <w:t xml:space="preserve">The </w:t>
      </w:r>
      <w:r w:rsidR="00D64B8D" w:rsidRPr="0051359D">
        <w:rPr>
          <w:b w:val="0"/>
          <w:sz w:val="20"/>
        </w:rPr>
        <w:t>Figure.7</w:t>
      </w:r>
      <w:r w:rsidRPr="0051359D">
        <w:rPr>
          <w:sz w:val="20"/>
        </w:rPr>
        <w:t xml:space="preserve"> </w:t>
      </w:r>
      <w:r w:rsidRPr="0051359D">
        <w:rPr>
          <w:b w:val="0"/>
          <w:sz w:val="20"/>
        </w:rPr>
        <w:t>shows the relationship between the</w:t>
      </w:r>
      <w:r w:rsidRPr="0051359D">
        <w:rPr>
          <w:sz w:val="20"/>
        </w:rPr>
        <w:t xml:space="preserve"> </w:t>
      </w:r>
      <w:r w:rsidRPr="0051359D">
        <w:rPr>
          <w:rStyle w:val="Strong"/>
          <w:sz w:val="20"/>
        </w:rPr>
        <w:t xml:space="preserve">average </w:t>
      </w:r>
      <w:r w:rsidRPr="0051359D">
        <w:rPr>
          <w:b w:val="0"/>
          <w:i/>
          <w:sz w:val="20"/>
          <w:lang w:val="en-US"/>
        </w:rPr>
        <w:t>Nu</w:t>
      </w:r>
      <w:r w:rsidRPr="0051359D">
        <w:rPr>
          <w:b w:val="0"/>
          <w:sz w:val="20"/>
        </w:rPr>
        <w:t xml:space="preserve"> and the</w:t>
      </w:r>
      <w:r w:rsidRPr="0051359D">
        <w:rPr>
          <w:sz w:val="20"/>
        </w:rPr>
        <w:t xml:space="preserve"> </w:t>
      </w:r>
      <w:r w:rsidRPr="0051359D">
        <w:rPr>
          <w:rStyle w:val="Strong"/>
          <w:sz w:val="20"/>
        </w:rPr>
        <w:t>power law coefficient</w:t>
      </w:r>
      <w:r w:rsidRPr="0051359D">
        <w:rPr>
          <w:sz w:val="20"/>
        </w:rPr>
        <w:t xml:space="preserve"> </w:t>
      </w:r>
      <w:r w:rsidRPr="0051359D">
        <w:rPr>
          <w:b w:val="0"/>
          <w:sz w:val="20"/>
        </w:rPr>
        <w:t>for different values of</w:t>
      </w:r>
      <w:r w:rsidRPr="0051359D">
        <w:rPr>
          <w:sz w:val="20"/>
        </w:rPr>
        <w:t xml:space="preserve"> </w:t>
      </w:r>
      <w:r w:rsidRPr="0051359D">
        <w:rPr>
          <w:rStyle w:val="Strong"/>
          <w:sz w:val="20"/>
        </w:rPr>
        <w:t>Rd (Radiation parameter)</w:t>
      </w:r>
      <w:r w:rsidRPr="0051359D">
        <w:rPr>
          <w:sz w:val="20"/>
        </w:rPr>
        <w:t xml:space="preserve">. </w:t>
      </w:r>
      <w:r w:rsidRPr="0051359D">
        <w:rPr>
          <w:sz w:val="20"/>
          <w:lang w:val="en-US"/>
        </w:rPr>
        <w:t xml:space="preserve">  </w:t>
      </w:r>
      <w:r w:rsidRPr="0051359D">
        <w:rPr>
          <w:b w:val="0"/>
          <w:sz w:val="20"/>
          <w:lang w:val="en-US"/>
        </w:rPr>
        <w:t xml:space="preserve">When </w:t>
      </w:r>
      <w:r w:rsidRPr="0051359D">
        <w:rPr>
          <w:b w:val="0"/>
          <w:bCs/>
          <w:sz w:val="20"/>
          <w:lang w:val="en-US"/>
        </w:rPr>
        <w:t xml:space="preserve">Rd = 0, </w:t>
      </w:r>
      <w:r w:rsidRPr="0051359D">
        <w:rPr>
          <w:b w:val="0"/>
          <w:sz w:val="20"/>
          <w:lang w:val="en-US"/>
        </w:rPr>
        <w:t xml:space="preserve">this curve shows the average </w:t>
      </w:r>
      <w:r w:rsidRPr="0051359D">
        <w:rPr>
          <w:b w:val="0"/>
          <w:i/>
          <w:sz w:val="20"/>
          <w:lang w:val="en-US"/>
        </w:rPr>
        <w:t>Nu</w:t>
      </w:r>
      <w:r w:rsidRPr="0051359D">
        <w:rPr>
          <w:b w:val="0"/>
          <w:sz w:val="20"/>
          <w:lang w:val="en-US"/>
        </w:rPr>
        <w:t xml:space="preserve"> when radiation is absent. As the power law coefficient increases, the </w:t>
      </w:r>
      <w:r w:rsidRPr="0051359D">
        <w:rPr>
          <w:b w:val="0"/>
          <w:i/>
          <w:sz w:val="20"/>
          <w:lang w:val="en-US"/>
        </w:rPr>
        <w:t>Nu</w:t>
      </w:r>
      <w:r w:rsidRPr="0051359D">
        <w:rPr>
          <w:b w:val="0"/>
          <w:sz w:val="20"/>
          <w:lang w:val="en-US"/>
        </w:rPr>
        <w:t xml:space="preserve"> decreases, indicating a reduction in heat transfer efficiency. </w:t>
      </w:r>
      <w:r w:rsidRPr="0051359D">
        <w:rPr>
          <w:b w:val="0"/>
          <w:bCs/>
          <w:sz w:val="20"/>
          <w:lang w:val="en-US"/>
        </w:rPr>
        <w:t xml:space="preserve">Rd = 1 </w:t>
      </w:r>
      <w:r w:rsidRPr="0051359D">
        <w:rPr>
          <w:b w:val="0"/>
          <w:sz w:val="20"/>
          <w:lang w:val="en-US"/>
        </w:rPr>
        <w:t xml:space="preserve">this curve shows the </w:t>
      </w:r>
      <w:r w:rsidRPr="0051359D">
        <w:rPr>
          <w:b w:val="0"/>
          <w:i/>
          <w:sz w:val="20"/>
          <w:lang w:val="en-US"/>
        </w:rPr>
        <w:lastRenderedPageBreak/>
        <w:t>Nu</w:t>
      </w:r>
      <w:r w:rsidRPr="0051359D">
        <w:rPr>
          <w:b w:val="0"/>
          <w:sz w:val="20"/>
          <w:lang w:val="en-US"/>
        </w:rPr>
        <w:t xml:space="preserve"> when the radiation parameter is moderate. The same trend of decreasing </w:t>
      </w:r>
      <w:r w:rsidRPr="0051359D">
        <w:rPr>
          <w:b w:val="0"/>
          <w:i/>
          <w:sz w:val="20"/>
          <w:lang w:val="en-US"/>
        </w:rPr>
        <w:t>Nu</w:t>
      </w:r>
      <w:r w:rsidRPr="0051359D">
        <w:rPr>
          <w:b w:val="0"/>
          <w:sz w:val="20"/>
          <w:lang w:val="en-US"/>
        </w:rPr>
        <w:t xml:space="preserve"> with an </w:t>
      </w:r>
      <w:r w:rsidR="00EA676C" w:rsidRPr="0051359D">
        <w:rPr>
          <w:b w:val="0"/>
          <w:sz w:val="20"/>
          <w:lang w:val="en-US"/>
        </w:rPr>
        <w:t>higher</w:t>
      </w:r>
      <w:r w:rsidRPr="0051359D">
        <w:rPr>
          <w:b w:val="0"/>
          <w:sz w:val="20"/>
          <w:lang w:val="en-US"/>
        </w:rPr>
        <w:t xml:space="preserve"> power law coefficient is observed, but the overall </w:t>
      </w:r>
      <w:r w:rsidRPr="0051359D">
        <w:rPr>
          <w:b w:val="0"/>
          <w:i/>
          <w:sz w:val="20"/>
          <w:lang w:val="en-US"/>
        </w:rPr>
        <w:t>Nu</w:t>
      </w:r>
      <w:r w:rsidRPr="0051359D">
        <w:rPr>
          <w:b w:val="0"/>
          <w:sz w:val="20"/>
          <w:lang w:val="en-US"/>
        </w:rPr>
        <w:t xml:space="preserve"> is higher than for Rd = 0.  </w:t>
      </w:r>
      <w:r w:rsidRPr="0051359D">
        <w:rPr>
          <w:b w:val="0"/>
          <w:bCs/>
          <w:sz w:val="20"/>
          <w:lang w:val="en-US"/>
        </w:rPr>
        <w:t xml:space="preserve">Rd = 2, </w:t>
      </w:r>
      <w:r w:rsidRPr="0051359D">
        <w:rPr>
          <w:sz w:val="20"/>
          <w:lang w:val="en-US"/>
        </w:rPr>
        <w:t>t</w:t>
      </w:r>
      <w:r w:rsidRPr="0051359D">
        <w:rPr>
          <w:b w:val="0"/>
          <w:sz w:val="20"/>
          <w:lang w:val="en-US"/>
        </w:rPr>
        <w:t xml:space="preserve">his curve shows the </w:t>
      </w:r>
      <w:r w:rsidRPr="0051359D">
        <w:rPr>
          <w:b w:val="0"/>
          <w:i/>
          <w:sz w:val="20"/>
          <w:lang w:val="en-US"/>
        </w:rPr>
        <w:t>Nu</w:t>
      </w:r>
      <w:r w:rsidRPr="0051359D">
        <w:rPr>
          <w:sz w:val="20"/>
          <w:lang w:val="en-US"/>
        </w:rPr>
        <w:t xml:space="preserve"> </w:t>
      </w:r>
      <w:r w:rsidRPr="0051359D">
        <w:rPr>
          <w:b w:val="0"/>
          <w:sz w:val="20"/>
          <w:lang w:val="en-US"/>
        </w:rPr>
        <w:t xml:space="preserve">when the radiation parameter is higher. Once again, the </w:t>
      </w:r>
      <w:r w:rsidRPr="0051359D">
        <w:rPr>
          <w:b w:val="0"/>
          <w:i/>
          <w:sz w:val="20"/>
          <w:lang w:val="en-US"/>
        </w:rPr>
        <w:t>Nu</w:t>
      </w:r>
      <w:r w:rsidRPr="0051359D">
        <w:rPr>
          <w:sz w:val="20"/>
          <w:lang w:val="en-US"/>
        </w:rPr>
        <w:t xml:space="preserve"> </w:t>
      </w:r>
      <w:r w:rsidR="002F06AE" w:rsidRPr="0051359D">
        <w:rPr>
          <w:b w:val="0"/>
          <w:sz w:val="20"/>
          <w:lang w:val="en-US"/>
        </w:rPr>
        <w:t>lower value with enhancing power</w:t>
      </w:r>
      <w:r w:rsidRPr="0051359D">
        <w:rPr>
          <w:b w:val="0"/>
          <w:sz w:val="20"/>
          <w:lang w:val="en-US"/>
        </w:rPr>
        <w:t xml:space="preserve"> law coefficient, but for any given power law coefficient, the </w:t>
      </w:r>
      <w:r w:rsidRPr="0051359D">
        <w:rPr>
          <w:b w:val="0"/>
          <w:i/>
          <w:sz w:val="20"/>
          <w:lang w:val="en-US"/>
        </w:rPr>
        <w:t>Nu</w:t>
      </w:r>
      <w:r w:rsidRPr="0051359D">
        <w:rPr>
          <w:b w:val="0"/>
          <w:sz w:val="20"/>
          <w:lang w:val="en-US"/>
        </w:rPr>
        <w:t xml:space="preserve"> is </w:t>
      </w:r>
      <w:r w:rsidR="00313536" w:rsidRPr="0051359D">
        <w:rPr>
          <w:b w:val="0"/>
          <w:sz w:val="20"/>
          <w:lang w:val="en-US"/>
        </w:rPr>
        <w:t>peak magnitute</w:t>
      </w:r>
      <w:r w:rsidRPr="0051359D">
        <w:rPr>
          <w:b w:val="0"/>
          <w:sz w:val="20"/>
          <w:lang w:val="en-US"/>
        </w:rPr>
        <w:t xml:space="preserve"> than for Rd = 0 and Rd = 1.</w:t>
      </w:r>
    </w:p>
    <w:p w:rsidR="00581EE9" w:rsidRPr="0051359D" w:rsidRDefault="00581EE9" w:rsidP="00581EE9">
      <w:pPr>
        <w:pStyle w:val="6Sectionheadings"/>
        <w:numPr>
          <w:ilvl w:val="0"/>
          <w:numId w:val="0"/>
        </w:numPr>
        <w:spacing w:line="360" w:lineRule="auto"/>
        <w:jc w:val="both"/>
        <w:rPr>
          <w:b w:val="0"/>
          <w:sz w:val="20"/>
        </w:rPr>
      </w:pPr>
    </w:p>
    <w:p w:rsidR="00ED259D" w:rsidRPr="0051359D" w:rsidRDefault="000C1046" w:rsidP="00ED259D">
      <w:pPr>
        <w:pStyle w:val="6Sectionheadings"/>
        <w:numPr>
          <w:ilvl w:val="0"/>
          <w:numId w:val="0"/>
        </w:numPr>
        <w:spacing w:line="360" w:lineRule="auto"/>
        <w:jc w:val="center"/>
        <w:rPr>
          <w:b w:val="0"/>
          <w:sz w:val="20"/>
        </w:rPr>
      </w:pPr>
      <w:r w:rsidRPr="0051359D">
        <w:rPr>
          <w:b w:val="0"/>
          <w:noProof/>
          <w:sz w:val="20"/>
          <w:lang w:val="en-US"/>
        </w:rPr>
        <w:drawing>
          <wp:inline distT="0" distB="0" distL="0" distR="0">
            <wp:extent cx="3899807" cy="3122023"/>
            <wp:effectExtent l="19050" t="0" r="5443" b="0"/>
            <wp:docPr id="10" name="Picture 34" descr="E:\APPLIED SCIENCE PAPER-2022\Plagerism Report-2023\Draft Report Files-2023\Power law coefficent Results\AVG NU FOR DIFFRENT LAM AND RD FINAL new.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APPLIED SCIENCE PAPER-2022\Plagerism Report-2023\Draft Report Files-2023\Power law coefficent Results\AVG NU FOR DIFFRENT LAM AND RD FINAL new.tif"/>
                    <pic:cNvPicPr>
                      <a:picLocks noChangeAspect="1" noChangeArrowheads="1"/>
                    </pic:cNvPicPr>
                  </pic:nvPicPr>
                  <pic:blipFill>
                    <a:blip r:embed="rId30"/>
                    <a:srcRect/>
                    <a:stretch>
                      <a:fillRect/>
                    </a:stretch>
                  </pic:blipFill>
                  <pic:spPr bwMode="auto">
                    <a:xfrm>
                      <a:off x="0" y="0"/>
                      <a:ext cx="3898256" cy="3120781"/>
                    </a:xfrm>
                    <a:prstGeom prst="rect">
                      <a:avLst/>
                    </a:prstGeom>
                    <a:noFill/>
                    <a:ln w="9525">
                      <a:noFill/>
                      <a:miter lim="800000"/>
                      <a:headEnd/>
                      <a:tailEnd/>
                    </a:ln>
                  </pic:spPr>
                </pic:pic>
              </a:graphicData>
            </a:graphic>
          </wp:inline>
        </w:drawing>
      </w:r>
    </w:p>
    <w:p w:rsidR="000C1046" w:rsidRPr="0051359D" w:rsidRDefault="000C1046" w:rsidP="00ED259D">
      <w:pPr>
        <w:pStyle w:val="6Sectionheadings"/>
        <w:numPr>
          <w:ilvl w:val="0"/>
          <w:numId w:val="0"/>
        </w:numPr>
        <w:spacing w:line="360" w:lineRule="auto"/>
        <w:jc w:val="center"/>
        <w:rPr>
          <w:sz w:val="20"/>
        </w:rPr>
      </w:pPr>
      <w:r w:rsidRPr="0051359D">
        <w:rPr>
          <w:sz w:val="20"/>
        </w:rPr>
        <w:t>Figure 7</w:t>
      </w:r>
      <w:r w:rsidRPr="0051359D">
        <w:rPr>
          <w:b w:val="0"/>
          <w:sz w:val="20"/>
        </w:rPr>
        <w:t xml:space="preserve">: </w:t>
      </w:r>
      <w:r w:rsidR="002866F1" w:rsidRPr="0051359D">
        <w:rPr>
          <w:sz w:val="20"/>
        </w:rPr>
        <w:t>Effect of</w:t>
      </w:r>
      <w:r w:rsidRPr="0051359D">
        <w:rPr>
          <w:sz w:val="20"/>
        </w:rPr>
        <w:t xml:space="preserve"> </w:t>
      </w:r>
      <w:r w:rsidR="00FC552D" w:rsidRPr="0051359D">
        <w:rPr>
          <w:sz w:val="20"/>
        </w:rPr>
        <w:t>Mean</w:t>
      </w:r>
      <w:r w:rsidRPr="0051359D">
        <w:rPr>
          <w:sz w:val="20"/>
        </w:rPr>
        <w:t xml:space="preserve"> Nusselt number with </w:t>
      </w:r>
      <w:r w:rsidR="00FC552D" w:rsidRPr="0051359D">
        <w:rPr>
          <w:sz w:val="20"/>
        </w:rPr>
        <w:t>various</w:t>
      </w:r>
      <w:r w:rsidRPr="0051359D">
        <w:rPr>
          <w:sz w:val="20"/>
        </w:rPr>
        <w:t xml:space="preserve"> power law </w:t>
      </w:r>
      <w:r w:rsidR="002866F1" w:rsidRPr="0051359D">
        <w:rPr>
          <w:sz w:val="20"/>
        </w:rPr>
        <w:t>coefficients</w:t>
      </w:r>
    </w:p>
    <w:p w:rsidR="0078587A" w:rsidRPr="0051359D" w:rsidRDefault="0078587A" w:rsidP="0078587A">
      <w:pPr>
        <w:pStyle w:val="ListParagraph"/>
        <w:autoSpaceDE w:val="0"/>
        <w:autoSpaceDN w:val="0"/>
        <w:adjustRightInd w:val="0"/>
        <w:spacing w:before="240" w:line="360" w:lineRule="auto"/>
        <w:ind w:left="0"/>
        <w:jc w:val="center"/>
        <w:rPr>
          <w:rFonts w:ascii="Times New Roman" w:hAnsi="Times New Roman"/>
          <w:sz w:val="20"/>
          <w:szCs w:val="20"/>
        </w:rPr>
      </w:pPr>
      <w:r w:rsidRPr="0051359D">
        <w:rPr>
          <w:rFonts w:ascii="Times New Roman" w:hAnsi="Times New Roman"/>
          <w:sz w:val="20"/>
          <w:szCs w:val="20"/>
        </w:rPr>
        <w:t xml:space="preserve">Table 4.2: </w:t>
      </w:r>
      <w:r w:rsidR="009A47D7" w:rsidRPr="0051359D">
        <w:rPr>
          <w:rFonts w:ascii="Times New Roman" w:hAnsi="Times New Roman"/>
          <w:sz w:val="20"/>
          <w:szCs w:val="20"/>
        </w:rPr>
        <w:t>Power law models for various radiation effects</w:t>
      </w:r>
    </w:p>
    <w:tbl>
      <w:tblPr>
        <w:tblW w:w="0" w:type="auto"/>
        <w:jc w:val="center"/>
        <w:tblBorders>
          <w:top w:val="single" w:sz="4" w:space="0" w:color="auto"/>
          <w:bottom w:val="single" w:sz="4" w:space="0" w:color="auto"/>
          <w:insideH w:val="single" w:sz="4" w:space="0" w:color="auto"/>
        </w:tblBorders>
        <w:tblLook w:val="04A0"/>
      </w:tblPr>
      <w:tblGrid>
        <w:gridCol w:w="1412"/>
        <w:gridCol w:w="2033"/>
        <w:gridCol w:w="1660"/>
      </w:tblGrid>
      <w:tr w:rsidR="0078587A" w:rsidRPr="0051359D" w:rsidTr="00C63EF7">
        <w:trPr>
          <w:jc w:val="center"/>
        </w:trPr>
        <w:tc>
          <w:tcPr>
            <w:tcW w:w="1412" w:type="dxa"/>
          </w:tcPr>
          <w:p w:rsidR="0078587A" w:rsidRPr="0051359D" w:rsidRDefault="0078587A" w:rsidP="0078587A">
            <w:pPr>
              <w:ind w:firstLine="0"/>
              <w:rPr>
                <w:sz w:val="20"/>
              </w:rPr>
            </w:pPr>
            <w:r w:rsidRPr="0051359D">
              <w:rPr>
                <w:sz w:val="20"/>
              </w:rPr>
              <w:t>Radiation Parameter</w:t>
            </w:r>
          </w:p>
        </w:tc>
        <w:tc>
          <w:tcPr>
            <w:tcW w:w="2033" w:type="dxa"/>
          </w:tcPr>
          <w:p w:rsidR="0078587A" w:rsidRPr="0051359D" w:rsidRDefault="0078587A" w:rsidP="0078587A">
            <w:pPr>
              <w:ind w:firstLine="0"/>
              <w:rPr>
                <w:sz w:val="20"/>
              </w:rPr>
            </w:pPr>
            <w:r w:rsidRPr="0051359D">
              <w:rPr>
                <w:sz w:val="20"/>
              </w:rPr>
              <w:t>Power-law Correlations</w:t>
            </w:r>
          </w:p>
        </w:tc>
        <w:tc>
          <w:tcPr>
            <w:tcW w:w="1660" w:type="dxa"/>
          </w:tcPr>
          <w:p w:rsidR="0078587A" w:rsidRPr="0051359D" w:rsidRDefault="0078587A" w:rsidP="0078587A">
            <w:pPr>
              <w:ind w:firstLine="0"/>
              <w:rPr>
                <w:sz w:val="20"/>
              </w:rPr>
            </w:pPr>
            <w:r w:rsidRPr="0051359D">
              <w:rPr>
                <w:sz w:val="20"/>
              </w:rPr>
              <w:t>Regression Coefficients</w:t>
            </w:r>
          </w:p>
        </w:tc>
      </w:tr>
      <w:tr w:rsidR="0078587A" w:rsidRPr="0051359D" w:rsidTr="007075EC">
        <w:trPr>
          <w:trHeight w:val="57"/>
          <w:jc w:val="center"/>
        </w:trPr>
        <w:tc>
          <w:tcPr>
            <w:tcW w:w="1412" w:type="dxa"/>
            <w:vAlign w:val="center"/>
          </w:tcPr>
          <w:p w:rsidR="0078587A" w:rsidRPr="0051359D" w:rsidRDefault="0078587A" w:rsidP="0078587A">
            <w:pPr>
              <w:spacing w:line="360" w:lineRule="auto"/>
              <w:ind w:firstLine="0"/>
              <w:rPr>
                <w:sz w:val="20"/>
              </w:rPr>
            </w:pPr>
            <w:r w:rsidRPr="0051359D">
              <w:rPr>
                <w:i/>
                <w:sz w:val="20"/>
              </w:rPr>
              <w:t xml:space="preserve">Rd </w:t>
            </w:r>
            <w:r w:rsidRPr="0051359D">
              <w:rPr>
                <w:sz w:val="20"/>
              </w:rPr>
              <w:t>= 2</w:t>
            </w:r>
          </w:p>
        </w:tc>
        <w:tc>
          <w:tcPr>
            <w:tcW w:w="2033" w:type="dxa"/>
            <w:vAlign w:val="center"/>
          </w:tcPr>
          <w:p w:rsidR="0078587A" w:rsidRPr="0051359D" w:rsidRDefault="0078587A" w:rsidP="0078587A">
            <w:pPr>
              <w:spacing w:line="360" w:lineRule="auto"/>
              <w:ind w:firstLine="0"/>
              <w:rPr>
                <w:sz w:val="20"/>
              </w:rPr>
            </w:pPr>
            <w:r w:rsidRPr="0051359D">
              <w:rPr>
                <w:position w:val="-6"/>
                <w:sz w:val="20"/>
              </w:rPr>
              <w:object w:dxaOrig="1760" w:dyaOrig="340">
                <v:shape id="_x0000_i1033" type="#_x0000_t75" style="width:87.65pt;height:16.3pt" o:ole="">
                  <v:imagedata r:id="rId31" o:title=""/>
                </v:shape>
                <o:OLEObject Type="Embed" ProgID="Equation.3" ShapeID="_x0000_i1033" DrawAspect="Content" ObjectID="_1797190969" r:id="rId32"/>
              </w:object>
            </w:r>
          </w:p>
        </w:tc>
        <w:tc>
          <w:tcPr>
            <w:tcW w:w="1660" w:type="dxa"/>
            <w:vAlign w:val="center"/>
          </w:tcPr>
          <w:p w:rsidR="0078587A" w:rsidRPr="0051359D" w:rsidRDefault="0078587A" w:rsidP="0078587A">
            <w:pPr>
              <w:spacing w:line="360" w:lineRule="auto"/>
              <w:ind w:firstLine="0"/>
              <w:rPr>
                <w:i/>
                <w:sz w:val="20"/>
              </w:rPr>
            </w:pPr>
            <w:r w:rsidRPr="0051359D">
              <w:rPr>
                <w:i/>
                <w:sz w:val="20"/>
              </w:rPr>
              <w:t>R</w:t>
            </w:r>
            <w:r w:rsidRPr="0051359D">
              <w:rPr>
                <w:i/>
                <w:sz w:val="20"/>
                <w:vertAlign w:val="superscript"/>
              </w:rPr>
              <w:t>2</w:t>
            </w:r>
            <w:r w:rsidRPr="0051359D">
              <w:rPr>
                <w:i/>
                <w:sz w:val="20"/>
              </w:rPr>
              <w:t xml:space="preserve">= </w:t>
            </w:r>
            <w:r w:rsidRPr="0051359D">
              <w:rPr>
                <w:sz w:val="20"/>
              </w:rPr>
              <w:t>0.996</w:t>
            </w:r>
          </w:p>
        </w:tc>
      </w:tr>
      <w:tr w:rsidR="0078587A" w:rsidRPr="0051359D" w:rsidTr="007075EC">
        <w:trPr>
          <w:trHeight w:val="57"/>
          <w:jc w:val="center"/>
        </w:trPr>
        <w:tc>
          <w:tcPr>
            <w:tcW w:w="1412" w:type="dxa"/>
            <w:vAlign w:val="center"/>
          </w:tcPr>
          <w:p w:rsidR="0078587A" w:rsidRPr="0051359D" w:rsidRDefault="0078587A" w:rsidP="0078587A">
            <w:pPr>
              <w:spacing w:line="360" w:lineRule="auto"/>
              <w:ind w:firstLine="0"/>
              <w:rPr>
                <w:sz w:val="20"/>
              </w:rPr>
            </w:pPr>
            <w:r w:rsidRPr="0051359D">
              <w:rPr>
                <w:i/>
                <w:sz w:val="20"/>
              </w:rPr>
              <w:t xml:space="preserve">Rd </w:t>
            </w:r>
            <w:r w:rsidRPr="0051359D">
              <w:rPr>
                <w:sz w:val="20"/>
              </w:rPr>
              <w:t>= 1</w:t>
            </w:r>
          </w:p>
        </w:tc>
        <w:tc>
          <w:tcPr>
            <w:tcW w:w="2033" w:type="dxa"/>
            <w:vAlign w:val="center"/>
          </w:tcPr>
          <w:p w:rsidR="0078587A" w:rsidRPr="0051359D" w:rsidRDefault="0078587A" w:rsidP="0078587A">
            <w:pPr>
              <w:spacing w:line="360" w:lineRule="auto"/>
              <w:ind w:firstLine="0"/>
              <w:rPr>
                <w:sz w:val="20"/>
              </w:rPr>
            </w:pPr>
            <w:r w:rsidRPr="0051359D">
              <w:rPr>
                <w:position w:val="-6"/>
                <w:sz w:val="20"/>
              </w:rPr>
              <w:object w:dxaOrig="1760" w:dyaOrig="340">
                <v:shape id="_x0000_i1034" type="#_x0000_t75" style="width:87.65pt;height:16.3pt" o:ole="">
                  <v:imagedata r:id="rId33" o:title=""/>
                </v:shape>
                <o:OLEObject Type="Embed" ProgID="Equation.3" ShapeID="_x0000_i1034" DrawAspect="Content" ObjectID="_1797190970" r:id="rId34"/>
              </w:object>
            </w:r>
          </w:p>
        </w:tc>
        <w:tc>
          <w:tcPr>
            <w:tcW w:w="1660" w:type="dxa"/>
            <w:vAlign w:val="center"/>
          </w:tcPr>
          <w:p w:rsidR="0078587A" w:rsidRPr="0051359D" w:rsidRDefault="0078587A" w:rsidP="0078587A">
            <w:pPr>
              <w:spacing w:line="360" w:lineRule="auto"/>
              <w:ind w:firstLine="0"/>
              <w:rPr>
                <w:i/>
                <w:sz w:val="20"/>
              </w:rPr>
            </w:pPr>
            <w:r w:rsidRPr="0051359D">
              <w:rPr>
                <w:i/>
                <w:sz w:val="20"/>
              </w:rPr>
              <w:t>R</w:t>
            </w:r>
            <w:r w:rsidRPr="0051359D">
              <w:rPr>
                <w:i/>
                <w:sz w:val="20"/>
                <w:vertAlign w:val="superscript"/>
              </w:rPr>
              <w:t>2</w:t>
            </w:r>
            <w:r w:rsidRPr="0051359D">
              <w:rPr>
                <w:i/>
                <w:sz w:val="20"/>
              </w:rPr>
              <w:t xml:space="preserve">= </w:t>
            </w:r>
            <w:r w:rsidRPr="0051359D">
              <w:rPr>
                <w:sz w:val="20"/>
              </w:rPr>
              <w:t>0.997</w:t>
            </w:r>
          </w:p>
        </w:tc>
      </w:tr>
      <w:tr w:rsidR="0078587A" w:rsidRPr="0051359D" w:rsidTr="007075EC">
        <w:trPr>
          <w:trHeight w:val="57"/>
          <w:jc w:val="center"/>
        </w:trPr>
        <w:tc>
          <w:tcPr>
            <w:tcW w:w="1412" w:type="dxa"/>
            <w:vAlign w:val="center"/>
          </w:tcPr>
          <w:p w:rsidR="0078587A" w:rsidRPr="0051359D" w:rsidRDefault="0078587A" w:rsidP="0078587A">
            <w:pPr>
              <w:spacing w:line="360" w:lineRule="auto"/>
              <w:ind w:firstLine="0"/>
              <w:rPr>
                <w:sz w:val="20"/>
              </w:rPr>
            </w:pPr>
            <w:r w:rsidRPr="0051359D">
              <w:rPr>
                <w:i/>
                <w:sz w:val="20"/>
              </w:rPr>
              <w:t xml:space="preserve">Rd </w:t>
            </w:r>
            <w:r w:rsidRPr="0051359D">
              <w:rPr>
                <w:sz w:val="20"/>
              </w:rPr>
              <w:t>= 0</w:t>
            </w:r>
          </w:p>
        </w:tc>
        <w:tc>
          <w:tcPr>
            <w:tcW w:w="2033" w:type="dxa"/>
            <w:vAlign w:val="center"/>
          </w:tcPr>
          <w:p w:rsidR="0078587A" w:rsidRPr="0051359D" w:rsidRDefault="0078587A" w:rsidP="0078587A">
            <w:pPr>
              <w:spacing w:line="360" w:lineRule="auto"/>
              <w:ind w:firstLine="0"/>
              <w:rPr>
                <w:sz w:val="20"/>
              </w:rPr>
            </w:pPr>
            <w:r w:rsidRPr="0051359D">
              <w:rPr>
                <w:position w:val="-6"/>
                <w:sz w:val="20"/>
              </w:rPr>
              <w:object w:dxaOrig="1760" w:dyaOrig="340">
                <v:shape id="_x0000_i1035" type="#_x0000_t75" style="width:87.65pt;height:16.3pt" o:ole="">
                  <v:imagedata r:id="rId35" o:title=""/>
                </v:shape>
                <o:OLEObject Type="Embed" ProgID="Equation.3" ShapeID="_x0000_i1035" DrawAspect="Content" ObjectID="_1797190971" r:id="rId36"/>
              </w:object>
            </w:r>
          </w:p>
        </w:tc>
        <w:tc>
          <w:tcPr>
            <w:tcW w:w="1660" w:type="dxa"/>
            <w:vAlign w:val="center"/>
          </w:tcPr>
          <w:p w:rsidR="0078587A" w:rsidRPr="0051359D" w:rsidRDefault="0078587A" w:rsidP="0078587A">
            <w:pPr>
              <w:spacing w:line="360" w:lineRule="auto"/>
              <w:ind w:firstLine="0"/>
              <w:rPr>
                <w:i/>
                <w:sz w:val="20"/>
              </w:rPr>
            </w:pPr>
            <w:r w:rsidRPr="0051359D">
              <w:rPr>
                <w:i/>
                <w:sz w:val="20"/>
              </w:rPr>
              <w:t>R</w:t>
            </w:r>
            <w:r w:rsidRPr="0051359D">
              <w:rPr>
                <w:i/>
                <w:sz w:val="20"/>
                <w:vertAlign w:val="superscript"/>
              </w:rPr>
              <w:t>2</w:t>
            </w:r>
            <w:r w:rsidRPr="0051359D">
              <w:rPr>
                <w:i/>
                <w:sz w:val="20"/>
              </w:rPr>
              <w:t xml:space="preserve">= </w:t>
            </w:r>
            <w:r w:rsidRPr="0051359D">
              <w:rPr>
                <w:sz w:val="20"/>
              </w:rPr>
              <w:t>0.995</w:t>
            </w:r>
          </w:p>
        </w:tc>
      </w:tr>
    </w:tbl>
    <w:p w:rsidR="007075EC" w:rsidRPr="0051359D" w:rsidRDefault="007075EC" w:rsidP="007075EC">
      <w:pPr>
        <w:autoSpaceDE w:val="0"/>
        <w:autoSpaceDN w:val="0"/>
        <w:adjustRightInd w:val="0"/>
        <w:spacing w:line="360" w:lineRule="auto"/>
        <w:ind w:firstLine="426"/>
        <w:rPr>
          <w:sz w:val="20"/>
        </w:rPr>
      </w:pPr>
    </w:p>
    <w:p w:rsidR="009A47D7" w:rsidRPr="0051359D" w:rsidRDefault="009A47D7" w:rsidP="007075EC">
      <w:pPr>
        <w:autoSpaceDE w:val="0"/>
        <w:autoSpaceDN w:val="0"/>
        <w:adjustRightInd w:val="0"/>
        <w:spacing w:line="360" w:lineRule="auto"/>
        <w:ind w:firstLine="426"/>
        <w:rPr>
          <w:sz w:val="20"/>
        </w:rPr>
      </w:pPr>
    </w:p>
    <w:p w:rsidR="007075EC" w:rsidRPr="0051359D" w:rsidRDefault="007075EC" w:rsidP="007075EC">
      <w:pPr>
        <w:autoSpaceDE w:val="0"/>
        <w:autoSpaceDN w:val="0"/>
        <w:adjustRightInd w:val="0"/>
        <w:spacing w:line="360" w:lineRule="auto"/>
        <w:ind w:firstLine="426"/>
        <w:rPr>
          <w:position w:val="-6"/>
          <w:sz w:val="20"/>
        </w:rPr>
      </w:pPr>
      <w:r w:rsidRPr="0051359D">
        <w:rPr>
          <w:sz w:val="20"/>
        </w:rPr>
        <w:t xml:space="preserve">The table highlights the strong relationship between the radiation parameter and the power-law correlations across different values of </w:t>
      </w:r>
      <w:r w:rsidRPr="0051359D">
        <w:rPr>
          <w:rStyle w:val="katex-mathml"/>
          <w:sz w:val="20"/>
        </w:rPr>
        <w:t>Rd</w:t>
      </w:r>
      <w:r w:rsidRPr="0051359D">
        <w:rPr>
          <w:sz w:val="20"/>
        </w:rPr>
        <w:t xml:space="preserve">. All three </w:t>
      </w:r>
      <w:r w:rsidRPr="0051359D">
        <w:rPr>
          <w:rStyle w:val="katex-mathml"/>
          <w:sz w:val="20"/>
        </w:rPr>
        <w:t>R</w:t>
      </w:r>
      <w:r w:rsidRPr="0051359D">
        <w:rPr>
          <w:rStyle w:val="katex-mathml"/>
          <w:sz w:val="20"/>
          <w:vertAlign w:val="superscript"/>
        </w:rPr>
        <w:t>2</w:t>
      </w:r>
      <w:r w:rsidRPr="0051359D">
        <w:rPr>
          <w:sz w:val="20"/>
        </w:rPr>
        <w:t xml:space="preserve"> values are close to 1, </w:t>
      </w:r>
      <w:r w:rsidR="00C46DEF" w:rsidRPr="0051359D">
        <w:rPr>
          <w:sz w:val="20"/>
        </w:rPr>
        <w:t>representing</w:t>
      </w:r>
      <w:r w:rsidRPr="0051359D">
        <w:rPr>
          <w:sz w:val="20"/>
        </w:rPr>
        <w:t xml:space="preserve"> that the power-law correlations provide an excellent fit to the data regardless of the radiation parameter value. </w:t>
      </w:r>
      <w:r w:rsidR="0099290A" w:rsidRPr="0051359D">
        <w:rPr>
          <w:sz w:val="20"/>
        </w:rPr>
        <w:t>This indicates</w:t>
      </w:r>
      <w:r w:rsidRPr="0051359D">
        <w:rPr>
          <w:sz w:val="20"/>
        </w:rPr>
        <w:t xml:space="preserve"> that the model is robust and reliable for predicting system behavior across varying levels of radiation influence.</w:t>
      </w:r>
      <w:r w:rsidR="0078587A" w:rsidRPr="0051359D">
        <w:rPr>
          <w:position w:val="-6"/>
          <w:sz w:val="20"/>
        </w:rPr>
        <w:t xml:space="preserve">  </w:t>
      </w:r>
      <w:r w:rsidR="00DA2FCB" w:rsidRPr="0051359D">
        <w:rPr>
          <w:sz w:val="20"/>
        </w:rPr>
        <w:t>The regression coefficient (</w:t>
      </w:r>
      <w:r w:rsidR="00DA2FCB" w:rsidRPr="0051359D">
        <w:rPr>
          <w:rStyle w:val="katex-mathml"/>
          <w:sz w:val="20"/>
        </w:rPr>
        <w:t>R</w:t>
      </w:r>
      <w:r w:rsidR="00DA2FCB" w:rsidRPr="0051359D">
        <w:rPr>
          <w:rStyle w:val="katex-mathml"/>
          <w:sz w:val="20"/>
          <w:vertAlign w:val="superscript"/>
        </w:rPr>
        <w:t>2</w:t>
      </w:r>
      <w:r w:rsidR="00DA2FCB" w:rsidRPr="0051359D">
        <w:rPr>
          <w:sz w:val="20"/>
        </w:rPr>
        <w:t xml:space="preserve">) </w:t>
      </w:r>
      <w:r w:rsidR="00DA2FCB" w:rsidRPr="0051359D">
        <w:rPr>
          <w:sz w:val="20"/>
        </w:rPr>
        <w:lastRenderedPageBreak/>
        <w:t xml:space="preserve">represents how well the power-law correlation fits the data. An </w:t>
      </w:r>
      <w:r w:rsidR="00DA2FCB" w:rsidRPr="0051359D">
        <w:rPr>
          <w:rStyle w:val="katex-mathml"/>
          <w:i/>
          <w:sz w:val="20"/>
        </w:rPr>
        <w:t>R</w:t>
      </w:r>
      <w:r w:rsidR="00DA2FCB" w:rsidRPr="0051359D">
        <w:rPr>
          <w:rStyle w:val="katex-mathml"/>
          <w:i/>
          <w:sz w:val="20"/>
          <w:vertAlign w:val="superscript"/>
        </w:rPr>
        <w:t>2</w:t>
      </w:r>
      <w:r w:rsidR="00DA2FCB" w:rsidRPr="0051359D">
        <w:rPr>
          <w:rStyle w:val="katex-mathml"/>
          <w:sz w:val="20"/>
        </w:rPr>
        <w:t xml:space="preserve"> </w:t>
      </w:r>
      <w:r w:rsidR="00DA2FCB" w:rsidRPr="0051359D">
        <w:rPr>
          <w:sz w:val="20"/>
        </w:rPr>
        <w:t>value of 1.0 would indicate a perfect fit, while values close to 1, like those in the table, show a very strong correlation between the model and the data.</w:t>
      </w:r>
      <w:r w:rsidR="0078587A" w:rsidRPr="0051359D">
        <w:rPr>
          <w:position w:val="-6"/>
          <w:sz w:val="20"/>
        </w:rPr>
        <w:t xml:space="preserve">                               </w:t>
      </w:r>
    </w:p>
    <w:p w:rsidR="007075EC" w:rsidRPr="0051359D" w:rsidRDefault="007075EC" w:rsidP="007075EC">
      <w:pPr>
        <w:autoSpaceDE w:val="0"/>
        <w:autoSpaceDN w:val="0"/>
        <w:adjustRightInd w:val="0"/>
        <w:spacing w:line="360" w:lineRule="auto"/>
        <w:ind w:firstLine="426"/>
        <w:jc w:val="center"/>
        <w:rPr>
          <w:position w:val="-6"/>
          <w:sz w:val="20"/>
        </w:rPr>
      </w:pPr>
    </w:p>
    <w:p w:rsidR="0078587A" w:rsidRPr="0051359D" w:rsidRDefault="003E542F" w:rsidP="007075EC">
      <w:pPr>
        <w:autoSpaceDE w:val="0"/>
        <w:autoSpaceDN w:val="0"/>
        <w:adjustRightInd w:val="0"/>
        <w:spacing w:line="360" w:lineRule="auto"/>
        <w:ind w:firstLine="426"/>
        <w:jc w:val="center"/>
        <w:rPr>
          <w:bCs/>
          <w:sz w:val="20"/>
        </w:rPr>
      </w:pPr>
      <w:r w:rsidRPr="0051359D">
        <w:rPr>
          <w:position w:val="-10"/>
          <w:sz w:val="20"/>
        </w:rPr>
        <w:object w:dxaOrig="3040" w:dyaOrig="380">
          <v:shape id="_x0000_i1036" type="#_x0000_t75" style="width:151.5pt;height:19.4pt" o:ole="">
            <v:imagedata r:id="rId37" o:title=""/>
          </v:shape>
          <o:OLEObject Type="Embed" ProgID="Equation.3" ShapeID="_x0000_i1036" DrawAspect="Content" ObjectID="_1797190972" r:id="rId38"/>
        </w:object>
      </w:r>
      <w:r w:rsidR="0078587A" w:rsidRPr="0051359D">
        <w:rPr>
          <w:bCs/>
          <w:sz w:val="20"/>
        </w:rPr>
        <w:t xml:space="preserve">   </w:t>
      </w:r>
      <w:r w:rsidR="0078587A" w:rsidRPr="0051359D">
        <w:rPr>
          <w:bCs/>
          <w:sz w:val="20"/>
        </w:rPr>
        <w:tab/>
        <w:t xml:space="preserve">        </w:t>
      </w:r>
      <w:r w:rsidR="0078587A" w:rsidRPr="0051359D">
        <w:rPr>
          <w:bCs/>
          <w:sz w:val="20"/>
        </w:rPr>
        <w:tab/>
        <w:t xml:space="preserve">                        (7)</w:t>
      </w:r>
    </w:p>
    <w:p w:rsidR="0078587A" w:rsidRPr="0051359D" w:rsidRDefault="0078587A" w:rsidP="0078587A">
      <w:pPr>
        <w:pStyle w:val="ListParagraph"/>
        <w:autoSpaceDE w:val="0"/>
        <w:autoSpaceDN w:val="0"/>
        <w:adjustRightInd w:val="0"/>
        <w:spacing w:after="0" w:line="360" w:lineRule="auto"/>
        <w:ind w:left="0" w:firstLine="426"/>
        <w:jc w:val="both"/>
        <w:rPr>
          <w:rFonts w:ascii="Times New Roman" w:hAnsi="Times New Roman"/>
          <w:sz w:val="20"/>
          <w:szCs w:val="20"/>
        </w:rPr>
      </w:pPr>
      <w:r w:rsidRPr="0051359D">
        <w:rPr>
          <w:rFonts w:ascii="Times New Roman" w:hAnsi="Times New Roman"/>
          <w:i/>
          <w:sz w:val="20"/>
          <w:szCs w:val="20"/>
        </w:rPr>
        <w:t xml:space="preserve">                                              R</w:t>
      </w:r>
      <w:r w:rsidRPr="0051359D">
        <w:rPr>
          <w:rFonts w:ascii="Times New Roman" w:hAnsi="Times New Roman"/>
          <w:i/>
          <w:sz w:val="20"/>
          <w:szCs w:val="20"/>
          <w:vertAlign w:val="superscript"/>
        </w:rPr>
        <w:t>2</w:t>
      </w:r>
      <w:r w:rsidRPr="0051359D">
        <w:rPr>
          <w:rFonts w:ascii="Times New Roman" w:hAnsi="Times New Roman"/>
          <w:i/>
          <w:sz w:val="20"/>
          <w:szCs w:val="20"/>
        </w:rPr>
        <w:t xml:space="preserve">= </w:t>
      </w:r>
      <w:r w:rsidRPr="0051359D">
        <w:rPr>
          <w:rFonts w:ascii="Times New Roman" w:hAnsi="Times New Roman"/>
          <w:sz w:val="20"/>
          <w:szCs w:val="20"/>
        </w:rPr>
        <w:t>0.9785</w:t>
      </w:r>
    </w:p>
    <w:p w:rsidR="003B0F5E" w:rsidRPr="0051359D" w:rsidRDefault="003B0F5E" w:rsidP="003B0F5E">
      <w:pPr>
        <w:pStyle w:val="ListParagraph"/>
        <w:autoSpaceDE w:val="0"/>
        <w:autoSpaceDN w:val="0"/>
        <w:adjustRightInd w:val="0"/>
        <w:spacing w:after="0" w:line="360" w:lineRule="auto"/>
        <w:ind w:left="0" w:firstLine="426"/>
        <w:jc w:val="center"/>
        <w:rPr>
          <w:rFonts w:ascii="Times New Roman" w:hAnsi="Times New Roman"/>
          <w:sz w:val="20"/>
          <w:szCs w:val="20"/>
        </w:rPr>
      </w:pPr>
      <w:r w:rsidRPr="0051359D">
        <w:rPr>
          <w:rFonts w:ascii="Times New Roman" w:hAnsi="Times New Roman"/>
          <w:noProof/>
          <w:sz w:val="20"/>
          <w:szCs w:val="20"/>
          <w:lang w:eastAsia="en-US"/>
        </w:rPr>
        <w:drawing>
          <wp:inline distT="0" distB="0" distL="0" distR="0">
            <wp:extent cx="4040505" cy="2987675"/>
            <wp:effectExtent l="19050" t="0" r="0" b="0"/>
            <wp:docPr id="30" name="Picture 30" descr="C:\Users\Arun Rao A Ghatke\Desktop\mit fig 202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run Rao A Ghatke\Desktop\mit fig 2024.tif"/>
                    <pic:cNvPicPr>
                      <a:picLocks noChangeAspect="1" noChangeArrowheads="1"/>
                    </pic:cNvPicPr>
                  </pic:nvPicPr>
                  <pic:blipFill>
                    <a:blip r:embed="rId39"/>
                    <a:srcRect/>
                    <a:stretch>
                      <a:fillRect/>
                    </a:stretch>
                  </pic:blipFill>
                  <pic:spPr bwMode="auto">
                    <a:xfrm>
                      <a:off x="0" y="0"/>
                      <a:ext cx="4040505" cy="2987675"/>
                    </a:xfrm>
                    <a:prstGeom prst="rect">
                      <a:avLst/>
                    </a:prstGeom>
                    <a:noFill/>
                    <a:ln w="9525">
                      <a:noFill/>
                      <a:miter lim="800000"/>
                      <a:headEnd/>
                      <a:tailEnd/>
                    </a:ln>
                  </pic:spPr>
                </pic:pic>
              </a:graphicData>
            </a:graphic>
          </wp:inline>
        </w:drawing>
      </w:r>
    </w:p>
    <w:p w:rsidR="003B0F5E" w:rsidRPr="0051359D" w:rsidRDefault="003B0F5E" w:rsidP="003B0F5E">
      <w:pPr>
        <w:pStyle w:val="ListParagraph"/>
        <w:autoSpaceDE w:val="0"/>
        <w:autoSpaceDN w:val="0"/>
        <w:adjustRightInd w:val="0"/>
        <w:spacing w:before="240" w:line="360" w:lineRule="auto"/>
        <w:ind w:left="0" w:firstLine="426"/>
        <w:jc w:val="center"/>
        <w:rPr>
          <w:rFonts w:ascii="Times New Roman" w:hAnsi="Times New Roman"/>
          <w:sz w:val="20"/>
          <w:szCs w:val="20"/>
        </w:rPr>
      </w:pPr>
      <w:r w:rsidRPr="0051359D">
        <w:rPr>
          <w:rFonts w:ascii="Times New Roman" w:hAnsi="Times New Roman"/>
          <w:sz w:val="20"/>
          <w:szCs w:val="20"/>
        </w:rPr>
        <w:t>Fig. 8: Differentiation of present data with equation (7).</w:t>
      </w:r>
    </w:p>
    <w:p w:rsidR="009B5C71" w:rsidRPr="0051359D" w:rsidRDefault="009B5C71" w:rsidP="00A741E3">
      <w:pPr>
        <w:pStyle w:val="NormalWeb"/>
        <w:spacing w:line="360" w:lineRule="auto"/>
        <w:jc w:val="both"/>
        <w:rPr>
          <w:sz w:val="20"/>
          <w:szCs w:val="20"/>
        </w:rPr>
      </w:pPr>
      <w:r w:rsidRPr="0051359D">
        <w:rPr>
          <w:sz w:val="20"/>
          <w:szCs w:val="20"/>
        </w:rPr>
        <w:t xml:space="preserve">The diagram presents a comparison between the normalized </w:t>
      </w:r>
      <w:r w:rsidR="00DF4C37" w:rsidRPr="0051359D">
        <w:rPr>
          <w:i/>
          <w:sz w:val="20"/>
          <w:szCs w:val="20"/>
        </w:rPr>
        <w:t>Nu</w:t>
      </w:r>
      <w:r w:rsidRPr="0051359D">
        <w:rPr>
          <w:sz w:val="20"/>
          <w:szCs w:val="20"/>
        </w:rPr>
        <w:t xml:space="preserve"> obtained from the present simulation data and the corresponding values calculated using </w:t>
      </w:r>
      <w:r w:rsidRPr="0051359D">
        <w:rPr>
          <w:rStyle w:val="Strong"/>
          <w:b w:val="0"/>
          <w:sz w:val="20"/>
          <w:szCs w:val="20"/>
        </w:rPr>
        <w:t>Equation (7)</w:t>
      </w:r>
      <w:r w:rsidRPr="0051359D">
        <w:rPr>
          <w:b/>
          <w:sz w:val="20"/>
          <w:szCs w:val="20"/>
        </w:rPr>
        <w:t>.</w:t>
      </w:r>
      <w:r w:rsidRPr="0051359D">
        <w:rPr>
          <w:sz w:val="20"/>
          <w:szCs w:val="20"/>
        </w:rPr>
        <w:t xml:space="preserve"> The purpose of this comparison is to validate the accuracy of the current numerical model by differentiating the present data across a range of </w:t>
      </w:r>
      <w:r w:rsidR="00A741E3" w:rsidRPr="0051359D">
        <w:rPr>
          <w:sz w:val="20"/>
          <w:szCs w:val="20"/>
        </w:rPr>
        <w:t>Radiation factors</w:t>
      </w:r>
      <w:r w:rsidRPr="0051359D">
        <w:rPr>
          <w:sz w:val="20"/>
          <w:szCs w:val="20"/>
        </w:rPr>
        <w:t xml:space="preserve"> (</w:t>
      </w:r>
      <w:r w:rsidRPr="0051359D">
        <w:rPr>
          <w:rStyle w:val="katex-mathml"/>
          <w:sz w:val="20"/>
          <w:szCs w:val="20"/>
        </w:rPr>
        <w:t>Rd</w:t>
      </w:r>
      <w:r w:rsidRPr="0051359D">
        <w:rPr>
          <w:sz w:val="20"/>
          <w:szCs w:val="20"/>
        </w:rPr>
        <w:t xml:space="preserve">).The </w:t>
      </w:r>
      <w:r w:rsidRPr="0051359D">
        <w:rPr>
          <w:rStyle w:val="Strong"/>
          <w:b w:val="0"/>
          <w:sz w:val="20"/>
          <w:szCs w:val="20"/>
        </w:rPr>
        <w:t>x-axis</w:t>
      </w:r>
      <w:r w:rsidRPr="0051359D">
        <w:rPr>
          <w:sz w:val="20"/>
          <w:szCs w:val="20"/>
        </w:rPr>
        <w:t xml:space="preserve"> represents the normalized actual Nusselt number obtained from the numerical simulations.The </w:t>
      </w:r>
      <w:r w:rsidRPr="0051359D">
        <w:rPr>
          <w:rStyle w:val="Strong"/>
          <w:b w:val="0"/>
          <w:sz w:val="20"/>
          <w:szCs w:val="20"/>
        </w:rPr>
        <w:t>y-axis</w:t>
      </w:r>
      <w:r w:rsidRPr="0051359D">
        <w:rPr>
          <w:sz w:val="20"/>
          <w:szCs w:val="20"/>
        </w:rPr>
        <w:t xml:space="preserve"> shows the normalized Nusselt number computed from </w:t>
      </w:r>
      <w:r w:rsidRPr="0051359D">
        <w:rPr>
          <w:rStyle w:val="Strong"/>
          <w:b w:val="0"/>
          <w:sz w:val="20"/>
          <w:szCs w:val="20"/>
        </w:rPr>
        <w:t>Equation (7)</w:t>
      </w:r>
      <w:r w:rsidRPr="0051359D">
        <w:rPr>
          <w:sz w:val="20"/>
          <w:szCs w:val="20"/>
        </w:rPr>
        <w:t xml:space="preserve">.The solid black line represents a perfect correlation (slope = 1) between the actual values and those predicted by Equation (7). It serves as a reference line, showing ideal agreement.All the data points, regardless of the value of </w:t>
      </w:r>
      <w:r w:rsidRPr="0051359D">
        <w:rPr>
          <w:rStyle w:val="katex-mathml"/>
          <w:sz w:val="20"/>
          <w:szCs w:val="20"/>
        </w:rPr>
        <w:t>Rd</w:t>
      </w:r>
      <w:r w:rsidRPr="0051359D">
        <w:rPr>
          <w:sz w:val="20"/>
          <w:szCs w:val="20"/>
        </w:rPr>
        <w:t xml:space="preserve">, fall very close to the reference line (solid black line), indicating a strong agreement between the simulated Nusselt number and the values predicted by Equation (7).The data points for </w:t>
      </w:r>
      <w:r w:rsidRPr="0051359D">
        <w:rPr>
          <w:rStyle w:val="katex-mathml"/>
          <w:sz w:val="20"/>
          <w:szCs w:val="20"/>
        </w:rPr>
        <w:t>Rd=0</w:t>
      </w:r>
      <w:r w:rsidRPr="0051359D">
        <w:rPr>
          <w:sz w:val="20"/>
          <w:szCs w:val="20"/>
        </w:rPr>
        <w:t xml:space="preserve">, </w:t>
      </w:r>
      <w:r w:rsidRPr="0051359D">
        <w:rPr>
          <w:rStyle w:val="katex-mathml"/>
          <w:sz w:val="20"/>
          <w:szCs w:val="20"/>
        </w:rPr>
        <w:t>Rd=1</w:t>
      </w:r>
      <w:r w:rsidRPr="0051359D">
        <w:rPr>
          <w:sz w:val="20"/>
          <w:szCs w:val="20"/>
        </w:rPr>
        <w:t xml:space="preserve">, and </w:t>
      </w:r>
      <w:r w:rsidRPr="0051359D">
        <w:rPr>
          <w:rStyle w:val="katex-mathml"/>
          <w:sz w:val="20"/>
          <w:szCs w:val="20"/>
        </w:rPr>
        <w:t xml:space="preserve">Rd=2 </w:t>
      </w:r>
      <w:r w:rsidRPr="0051359D">
        <w:rPr>
          <w:sz w:val="20"/>
          <w:szCs w:val="20"/>
        </w:rPr>
        <w:t xml:space="preserve">all exhibit a similar trend, with minimal deviation from the reference line across the full range of normalized </w:t>
      </w:r>
      <w:r w:rsidRPr="0051359D">
        <w:rPr>
          <w:rStyle w:val="katex-mathml"/>
          <w:sz w:val="20"/>
          <w:szCs w:val="20"/>
        </w:rPr>
        <w:t>Nu</w:t>
      </w:r>
      <w:r w:rsidR="00A741E3" w:rsidRPr="0051359D">
        <w:rPr>
          <w:rStyle w:val="katex-mathml"/>
          <w:sz w:val="20"/>
          <w:szCs w:val="20"/>
        </w:rPr>
        <w:t xml:space="preserve"> </w:t>
      </w:r>
      <w:r w:rsidRPr="0051359D">
        <w:rPr>
          <w:sz w:val="20"/>
          <w:szCs w:val="20"/>
        </w:rPr>
        <w:t>showing that the model performs consistently across different conditions.</w:t>
      </w:r>
    </w:p>
    <w:p w:rsidR="009B5C71" w:rsidRPr="0051359D" w:rsidRDefault="009B5C71" w:rsidP="009B5C71">
      <w:pPr>
        <w:pStyle w:val="NormalWeb"/>
        <w:spacing w:line="360" w:lineRule="auto"/>
        <w:jc w:val="both"/>
        <w:rPr>
          <w:sz w:val="20"/>
          <w:szCs w:val="20"/>
        </w:rPr>
      </w:pPr>
      <w:r w:rsidRPr="0051359D">
        <w:rPr>
          <w:sz w:val="20"/>
          <w:szCs w:val="20"/>
        </w:rPr>
        <w:t xml:space="preserve">The close alignment of the data points with the reference line validates the accuracy of the present numerical model. It shows that the relationship between the normalized actual Nusselt number and the predicted values from Equation (7) is highly consistent, indicating reliable performance of the model for various Rayleigh-Darcy numbers (0, 1, and 2). This confirms the robustness of the model in predicting </w:t>
      </w:r>
      <w:r w:rsidR="00DF4C37" w:rsidRPr="0051359D">
        <w:rPr>
          <w:sz w:val="20"/>
          <w:szCs w:val="20"/>
        </w:rPr>
        <w:t>buoyant energy transfer</w:t>
      </w:r>
      <w:r w:rsidRPr="0051359D">
        <w:rPr>
          <w:sz w:val="20"/>
          <w:szCs w:val="20"/>
        </w:rPr>
        <w:t xml:space="preserve"> characteristics in the studied system.</w:t>
      </w:r>
    </w:p>
    <w:p w:rsidR="0078587A" w:rsidRPr="00E301B7" w:rsidRDefault="002E33E9" w:rsidP="00924664">
      <w:pPr>
        <w:pStyle w:val="6Sectionheadings"/>
        <w:numPr>
          <w:ilvl w:val="0"/>
          <w:numId w:val="0"/>
        </w:numPr>
        <w:spacing w:before="0" w:after="0" w:line="360" w:lineRule="auto"/>
        <w:jc w:val="both"/>
        <w:rPr>
          <w:szCs w:val="24"/>
        </w:rPr>
      </w:pPr>
      <w:r w:rsidRPr="00E301B7">
        <w:rPr>
          <w:szCs w:val="24"/>
        </w:rPr>
        <w:lastRenderedPageBreak/>
        <w:t xml:space="preserve"> </w:t>
      </w:r>
      <w:r w:rsidR="00DF4C37" w:rsidRPr="00E301B7">
        <w:rPr>
          <w:szCs w:val="24"/>
        </w:rPr>
        <w:t>6. CONCLUSIONS</w:t>
      </w:r>
    </w:p>
    <w:p w:rsidR="00F85986" w:rsidRPr="0051359D" w:rsidRDefault="00F85986" w:rsidP="00F85986">
      <w:pPr>
        <w:pStyle w:val="NormalWeb"/>
        <w:spacing w:line="360" w:lineRule="auto"/>
        <w:jc w:val="both"/>
        <w:rPr>
          <w:sz w:val="20"/>
          <w:szCs w:val="20"/>
        </w:rPr>
      </w:pPr>
      <w:r w:rsidRPr="0051359D">
        <w:rPr>
          <w:sz w:val="20"/>
          <w:szCs w:val="20"/>
        </w:rPr>
        <w:t xml:space="preserve">In this study, </w:t>
      </w:r>
      <w:r w:rsidR="00947910" w:rsidRPr="0051359D">
        <w:rPr>
          <w:sz w:val="20"/>
          <w:szCs w:val="20"/>
        </w:rPr>
        <w:t>buoyant energy transfer</w:t>
      </w:r>
      <w:r w:rsidRPr="0051359D">
        <w:rPr>
          <w:sz w:val="20"/>
          <w:szCs w:val="20"/>
        </w:rPr>
        <w:t xml:space="preserve"> within a </w:t>
      </w:r>
      <w:r w:rsidR="00947910" w:rsidRPr="0051359D">
        <w:rPr>
          <w:sz w:val="20"/>
          <w:szCs w:val="20"/>
        </w:rPr>
        <w:t>non-square chamber</w:t>
      </w:r>
      <w:r w:rsidRPr="0051359D">
        <w:rPr>
          <w:sz w:val="20"/>
          <w:szCs w:val="20"/>
        </w:rPr>
        <w:t xml:space="preserve"> with an aspect ratio (AR) of 0.5 was investigated, focusing on the combined effects of radiation and power-law heating applied to the lower heated wall. The cavity's slant walls were adiabatic, and the upper wall was maintained at a low temperature, creating a thermal gradient that drives the flow. The analysis revealed significant influences of radiation and the power-law parameter on the </w:t>
      </w:r>
      <w:r w:rsidR="00491C9D" w:rsidRPr="0051359D">
        <w:rPr>
          <w:sz w:val="20"/>
          <w:szCs w:val="20"/>
        </w:rPr>
        <w:t>buoyant energy transfer</w:t>
      </w:r>
      <w:r w:rsidRPr="0051359D">
        <w:rPr>
          <w:sz w:val="20"/>
          <w:szCs w:val="20"/>
        </w:rPr>
        <w:t xml:space="preserve"> characteristics and flow behavior within the </w:t>
      </w:r>
      <w:r w:rsidR="00491C9D" w:rsidRPr="0051359D">
        <w:rPr>
          <w:sz w:val="20"/>
          <w:szCs w:val="20"/>
        </w:rPr>
        <w:t>chamber</w:t>
      </w:r>
      <w:r w:rsidRPr="0051359D">
        <w:rPr>
          <w:sz w:val="20"/>
          <w:szCs w:val="20"/>
        </w:rPr>
        <w:t>.</w:t>
      </w:r>
    </w:p>
    <w:p w:rsidR="00D95A88" w:rsidRPr="0051359D" w:rsidRDefault="00D95A88" w:rsidP="00F85986">
      <w:pPr>
        <w:pStyle w:val="NormalWeb"/>
        <w:numPr>
          <w:ilvl w:val="0"/>
          <w:numId w:val="37"/>
        </w:numPr>
        <w:spacing w:line="360" w:lineRule="auto"/>
        <w:jc w:val="both"/>
        <w:rPr>
          <w:sz w:val="20"/>
          <w:szCs w:val="20"/>
        </w:rPr>
      </w:pPr>
      <w:r w:rsidRPr="0051359D">
        <w:rPr>
          <w:sz w:val="20"/>
          <w:szCs w:val="20"/>
        </w:rPr>
        <w:t>The temperature dis</w:t>
      </w:r>
      <w:r w:rsidR="00202499" w:rsidRPr="0051359D">
        <w:rPr>
          <w:sz w:val="20"/>
          <w:szCs w:val="20"/>
        </w:rPr>
        <w:t>persion</w:t>
      </w:r>
      <w:r w:rsidRPr="0051359D">
        <w:rPr>
          <w:sz w:val="20"/>
          <w:szCs w:val="20"/>
        </w:rPr>
        <w:t xml:space="preserve"> and flow characteristics changed significantly when the power-law parameter increased strengthening convective motion and improving the transfer of heat.</w:t>
      </w:r>
    </w:p>
    <w:p w:rsidR="00F85986" w:rsidRPr="0051359D" w:rsidRDefault="00F85986" w:rsidP="00F85986">
      <w:pPr>
        <w:pStyle w:val="NormalWeb"/>
        <w:numPr>
          <w:ilvl w:val="0"/>
          <w:numId w:val="37"/>
        </w:numPr>
        <w:spacing w:line="360" w:lineRule="auto"/>
        <w:jc w:val="both"/>
        <w:rPr>
          <w:sz w:val="20"/>
          <w:szCs w:val="20"/>
        </w:rPr>
      </w:pPr>
      <w:r w:rsidRPr="0051359D">
        <w:rPr>
          <w:sz w:val="20"/>
          <w:szCs w:val="20"/>
        </w:rPr>
        <w:t xml:space="preserve">The presence of radiation further intensified these effects, especially near the heated surface, where thermal radiation contributed to an overall </w:t>
      </w:r>
      <w:r w:rsidR="0072662E" w:rsidRPr="0051359D">
        <w:rPr>
          <w:sz w:val="20"/>
          <w:szCs w:val="20"/>
        </w:rPr>
        <w:t>rise</w:t>
      </w:r>
      <w:r w:rsidRPr="0051359D">
        <w:rPr>
          <w:sz w:val="20"/>
          <w:szCs w:val="20"/>
        </w:rPr>
        <w:t xml:space="preserve"> in the rate of </w:t>
      </w:r>
      <w:r w:rsidR="005309F8" w:rsidRPr="0051359D">
        <w:rPr>
          <w:sz w:val="20"/>
          <w:szCs w:val="20"/>
        </w:rPr>
        <w:t>buoyant energy transfer</w:t>
      </w:r>
      <w:r w:rsidRPr="0051359D">
        <w:rPr>
          <w:sz w:val="20"/>
          <w:szCs w:val="20"/>
        </w:rPr>
        <w:t>. The results also highlighted the importance of the boundary conditions at the slant walls, with the adiabatic nature of these walls restricting heat exchange and shaping the thermal convection cells.</w:t>
      </w:r>
    </w:p>
    <w:p w:rsidR="00F85986" w:rsidRPr="0051359D" w:rsidRDefault="00F85986" w:rsidP="00F85986">
      <w:pPr>
        <w:pStyle w:val="NormalWeb"/>
        <w:numPr>
          <w:ilvl w:val="0"/>
          <w:numId w:val="37"/>
        </w:numPr>
        <w:spacing w:line="360" w:lineRule="auto"/>
        <w:jc w:val="both"/>
        <w:rPr>
          <w:sz w:val="20"/>
          <w:szCs w:val="20"/>
        </w:rPr>
      </w:pPr>
      <w:r w:rsidRPr="0051359D">
        <w:rPr>
          <w:sz w:val="20"/>
          <w:szCs w:val="20"/>
        </w:rPr>
        <w:t xml:space="preserve">Overall, the study demonstrated that the combination of radiation and power-law heating plays a critical role in controlling the thermal and flow dynamics in trapezoidal cavities. These </w:t>
      </w:r>
      <w:r w:rsidR="00627D35" w:rsidRPr="0051359D">
        <w:rPr>
          <w:sz w:val="20"/>
          <w:szCs w:val="20"/>
        </w:rPr>
        <w:t>results</w:t>
      </w:r>
      <w:r w:rsidRPr="0051359D">
        <w:rPr>
          <w:sz w:val="20"/>
          <w:szCs w:val="20"/>
        </w:rPr>
        <w:t xml:space="preserve"> provide valuable insights into the design and optimization of systems involving </w:t>
      </w:r>
      <w:r w:rsidR="002F14B6" w:rsidRPr="0051359D">
        <w:rPr>
          <w:sz w:val="20"/>
          <w:szCs w:val="20"/>
        </w:rPr>
        <w:t>buoyant energy transfer</w:t>
      </w:r>
      <w:r w:rsidRPr="0051359D">
        <w:rPr>
          <w:sz w:val="20"/>
          <w:szCs w:val="20"/>
        </w:rPr>
        <w:t xml:space="preserve"> in geometrically complex enclosures, particularly in applications where radiation and non-uniform heating are prominent factors.</w:t>
      </w:r>
    </w:p>
    <w:p w:rsidR="00924664" w:rsidRPr="00E301B7" w:rsidRDefault="002E33E9" w:rsidP="002E33E9">
      <w:pPr>
        <w:pStyle w:val="6Sectionheadings"/>
        <w:numPr>
          <w:ilvl w:val="0"/>
          <w:numId w:val="0"/>
        </w:numPr>
        <w:spacing w:before="0" w:line="360" w:lineRule="auto"/>
        <w:ind w:left="360"/>
        <w:jc w:val="both"/>
        <w:rPr>
          <w:szCs w:val="24"/>
        </w:rPr>
      </w:pPr>
      <w:r w:rsidRPr="00E301B7">
        <w:rPr>
          <w:szCs w:val="24"/>
        </w:rPr>
        <w:t xml:space="preserve">7. </w:t>
      </w:r>
      <w:r w:rsidR="00924664" w:rsidRPr="00E301B7">
        <w:rPr>
          <w:szCs w:val="24"/>
        </w:rPr>
        <w:t>NOMENCLATURE</w:t>
      </w:r>
    </w:p>
    <w:tbl>
      <w:tblPr>
        <w:tblW w:w="8595" w:type="dxa"/>
        <w:jc w:val="center"/>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3600"/>
        <w:gridCol w:w="652"/>
        <w:gridCol w:w="3645"/>
      </w:tblGrid>
      <w:tr w:rsidR="000C2B24" w:rsidRPr="0051359D" w:rsidTr="00C44B41">
        <w:trPr>
          <w:trHeight w:val="77"/>
          <w:jc w:val="center"/>
        </w:trPr>
        <w:tc>
          <w:tcPr>
            <w:tcW w:w="698" w:type="dxa"/>
          </w:tcPr>
          <w:p w:rsidR="000C2B24" w:rsidRPr="0051359D" w:rsidRDefault="000C2B24" w:rsidP="000C2B24">
            <w:pPr>
              <w:ind w:firstLine="0"/>
              <w:jc w:val="left"/>
              <w:rPr>
                <w:i/>
                <w:position w:val="-6"/>
                <w:sz w:val="20"/>
              </w:rPr>
            </w:pPr>
            <w:r w:rsidRPr="0051359D">
              <w:rPr>
                <w:i/>
                <w:position w:val="-6"/>
                <w:sz w:val="20"/>
              </w:rPr>
              <w:t>Nu</w:t>
            </w:r>
          </w:p>
        </w:tc>
        <w:tc>
          <w:tcPr>
            <w:tcW w:w="3600" w:type="dxa"/>
          </w:tcPr>
          <w:p w:rsidR="000C2B24" w:rsidRPr="0051359D" w:rsidRDefault="000C2B24" w:rsidP="000C2B24">
            <w:pPr>
              <w:ind w:firstLine="0"/>
              <w:jc w:val="left"/>
              <w:rPr>
                <w:i/>
                <w:position w:val="-6"/>
                <w:sz w:val="20"/>
              </w:rPr>
            </w:pPr>
            <w:r w:rsidRPr="0051359D">
              <w:rPr>
                <w:i/>
                <w:position w:val="-6"/>
                <w:sz w:val="20"/>
              </w:rPr>
              <w:t>Local heat transfer co-efficient</w:t>
            </w:r>
          </w:p>
        </w:tc>
        <w:tc>
          <w:tcPr>
            <w:tcW w:w="652" w:type="dxa"/>
          </w:tcPr>
          <w:p w:rsidR="000C2B24" w:rsidRPr="0051359D" w:rsidRDefault="000C2B24" w:rsidP="000C2B24">
            <w:pPr>
              <w:ind w:firstLine="0"/>
              <w:rPr>
                <w:i/>
                <w:position w:val="-6"/>
                <w:sz w:val="20"/>
              </w:rPr>
            </w:pPr>
            <w:r w:rsidRPr="0051359D">
              <w:rPr>
                <w:i/>
                <w:position w:val="-6"/>
                <w:sz w:val="20"/>
              </w:rPr>
              <w:t>γ</w:t>
            </w:r>
          </w:p>
        </w:tc>
        <w:tc>
          <w:tcPr>
            <w:tcW w:w="3645" w:type="dxa"/>
          </w:tcPr>
          <w:p w:rsidR="000C2B24" w:rsidRPr="0051359D" w:rsidRDefault="000C2B24" w:rsidP="000C2B24">
            <w:pPr>
              <w:ind w:firstLine="0"/>
              <w:rPr>
                <w:i/>
                <w:position w:val="-6"/>
                <w:sz w:val="20"/>
              </w:rPr>
            </w:pPr>
            <w:r w:rsidRPr="0051359D">
              <w:rPr>
                <w:i/>
                <w:position w:val="-6"/>
                <w:sz w:val="20"/>
              </w:rPr>
              <w:t>Inclination Angle</w:t>
            </w:r>
          </w:p>
        </w:tc>
      </w:tr>
      <w:tr w:rsidR="000C2B24" w:rsidRPr="0051359D" w:rsidTr="00C44B41">
        <w:trPr>
          <w:jc w:val="center"/>
        </w:trPr>
        <w:tc>
          <w:tcPr>
            <w:tcW w:w="698" w:type="dxa"/>
          </w:tcPr>
          <w:p w:rsidR="000C2B24" w:rsidRPr="0051359D" w:rsidRDefault="000C2B24" w:rsidP="000C2B24">
            <w:pPr>
              <w:ind w:firstLine="0"/>
              <w:jc w:val="left"/>
              <w:rPr>
                <w:i/>
                <w:position w:val="-6"/>
                <w:sz w:val="20"/>
              </w:rPr>
            </w:pPr>
            <w:r w:rsidRPr="0051359D">
              <w:rPr>
                <w:i/>
                <w:position w:val="-6"/>
                <w:sz w:val="20"/>
              </w:rPr>
              <w:t>Ra</w:t>
            </w:r>
          </w:p>
        </w:tc>
        <w:tc>
          <w:tcPr>
            <w:tcW w:w="3600" w:type="dxa"/>
          </w:tcPr>
          <w:p w:rsidR="000C2B24" w:rsidRPr="0051359D" w:rsidRDefault="000C2B24" w:rsidP="000C2B24">
            <w:pPr>
              <w:ind w:firstLine="0"/>
              <w:jc w:val="left"/>
              <w:rPr>
                <w:i/>
                <w:position w:val="-6"/>
                <w:sz w:val="20"/>
              </w:rPr>
            </w:pPr>
            <w:r w:rsidRPr="0051359D">
              <w:rPr>
                <w:i/>
                <w:position w:val="-6"/>
                <w:sz w:val="20"/>
              </w:rPr>
              <w:t>Rayleigh Number</w:t>
            </w:r>
          </w:p>
        </w:tc>
        <w:tc>
          <w:tcPr>
            <w:tcW w:w="652" w:type="dxa"/>
          </w:tcPr>
          <w:p w:rsidR="000C2B24" w:rsidRPr="0051359D" w:rsidRDefault="000C2B24" w:rsidP="000C2B24">
            <w:pPr>
              <w:ind w:firstLine="0"/>
              <w:rPr>
                <w:i/>
                <w:position w:val="-6"/>
                <w:sz w:val="20"/>
              </w:rPr>
            </w:pPr>
            <w:r w:rsidRPr="0051359D">
              <w:rPr>
                <w:i/>
                <w:position w:val="-6"/>
                <w:sz w:val="20"/>
              </w:rPr>
              <w:t>V</w:t>
            </w:r>
          </w:p>
        </w:tc>
        <w:tc>
          <w:tcPr>
            <w:tcW w:w="3645" w:type="dxa"/>
          </w:tcPr>
          <w:p w:rsidR="000C2B24" w:rsidRPr="0051359D" w:rsidRDefault="000C2B24" w:rsidP="000C2B24">
            <w:pPr>
              <w:ind w:firstLine="0"/>
              <w:rPr>
                <w:i/>
                <w:position w:val="-6"/>
                <w:sz w:val="20"/>
              </w:rPr>
            </w:pPr>
            <w:r w:rsidRPr="0051359D">
              <w:rPr>
                <w:i/>
                <w:position w:val="-6"/>
                <w:sz w:val="20"/>
              </w:rPr>
              <w:t>Velocity Along Y Axis</w:t>
            </w:r>
          </w:p>
        </w:tc>
      </w:tr>
      <w:tr w:rsidR="000C2B24" w:rsidRPr="0051359D" w:rsidTr="00C44B41">
        <w:trPr>
          <w:jc w:val="center"/>
        </w:trPr>
        <w:tc>
          <w:tcPr>
            <w:tcW w:w="698" w:type="dxa"/>
          </w:tcPr>
          <w:p w:rsidR="000C2B24" w:rsidRPr="0051359D" w:rsidRDefault="000C2B24" w:rsidP="000C2B24">
            <w:pPr>
              <w:ind w:firstLine="0"/>
              <w:jc w:val="left"/>
              <w:rPr>
                <w:i/>
                <w:position w:val="-6"/>
                <w:sz w:val="20"/>
              </w:rPr>
            </w:pPr>
            <w:r w:rsidRPr="0051359D">
              <w:rPr>
                <w:i/>
                <w:position w:val="-6"/>
                <w:sz w:val="20"/>
              </w:rPr>
              <w:t>Rd</w:t>
            </w:r>
          </w:p>
        </w:tc>
        <w:tc>
          <w:tcPr>
            <w:tcW w:w="3600" w:type="dxa"/>
          </w:tcPr>
          <w:p w:rsidR="000C2B24" w:rsidRPr="0051359D" w:rsidRDefault="000C2B24" w:rsidP="000C2B24">
            <w:pPr>
              <w:ind w:firstLine="0"/>
              <w:jc w:val="left"/>
              <w:rPr>
                <w:i/>
                <w:position w:val="-6"/>
                <w:sz w:val="20"/>
              </w:rPr>
            </w:pPr>
            <w:r w:rsidRPr="0051359D">
              <w:rPr>
                <w:i/>
                <w:position w:val="-6"/>
                <w:sz w:val="20"/>
              </w:rPr>
              <w:t>Radiation factor</w:t>
            </w:r>
          </w:p>
        </w:tc>
        <w:tc>
          <w:tcPr>
            <w:tcW w:w="652" w:type="dxa"/>
          </w:tcPr>
          <w:p w:rsidR="000C2B24" w:rsidRPr="0051359D" w:rsidRDefault="000C2B24" w:rsidP="000C2B24">
            <w:pPr>
              <w:ind w:firstLine="0"/>
              <w:rPr>
                <w:i/>
                <w:position w:val="-6"/>
                <w:sz w:val="20"/>
              </w:rPr>
            </w:pPr>
            <w:r w:rsidRPr="0051359D">
              <w:rPr>
                <w:i/>
                <w:position w:val="-6"/>
                <w:sz w:val="20"/>
              </w:rPr>
              <w:t>λ</w:t>
            </w:r>
          </w:p>
        </w:tc>
        <w:tc>
          <w:tcPr>
            <w:tcW w:w="3645" w:type="dxa"/>
          </w:tcPr>
          <w:p w:rsidR="000C2B24" w:rsidRPr="0051359D" w:rsidRDefault="000C2B24" w:rsidP="000C2B24">
            <w:pPr>
              <w:ind w:firstLine="0"/>
              <w:rPr>
                <w:i/>
                <w:position w:val="-6"/>
                <w:sz w:val="20"/>
              </w:rPr>
            </w:pPr>
            <w:r w:rsidRPr="0051359D">
              <w:rPr>
                <w:i/>
                <w:position w:val="-6"/>
                <w:sz w:val="20"/>
              </w:rPr>
              <w:t>Power Law Coefficient</w:t>
            </w:r>
          </w:p>
        </w:tc>
      </w:tr>
      <w:tr w:rsidR="000C2B24" w:rsidRPr="0051359D" w:rsidTr="00C44B41">
        <w:trPr>
          <w:trHeight w:val="224"/>
          <w:jc w:val="center"/>
        </w:trPr>
        <w:tc>
          <w:tcPr>
            <w:tcW w:w="698" w:type="dxa"/>
          </w:tcPr>
          <w:p w:rsidR="000C2B24" w:rsidRPr="0051359D" w:rsidRDefault="000C2B24" w:rsidP="00C44B41">
            <w:pPr>
              <w:ind w:firstLine="0"/>
              <w:jc w:val="left"/>
              <w:rPr>
                <w:i/>
                <w:position w:val="-6"/>
                <w:sz w:val="20"/>
              </w:rPr>
            </w:pPr>
            <w:r w:rsidRPr="0051359D">
              <w:rPr>
                <w:i/>
                <w:position w:val="-6"/>
                <w:sz w:val="20"/>
              </w:rPr>
              <w:t>K</w:t>
            </w:r>
          </w:p>
        </w:tc>
        <w:tc>
          <w:tcPr>
            <w:tcW w:w="3600" w:type="dxa"/>
          </w:tcPr>
          <w:p w:rsidR="000C2B24" w:rsidRPr="0051359D" w:rsidRDefault="000C2B24" w:rsidP="00C44B41">
            <w:pPr>
              <w:ind w:firstLine="0"/>
              <w:jc w:val="left"/>
              <w:rPr>
                <w:i/>
                <w:position w:val="-6"/>
                <w:sz w:val="20"/>
              </w:rPr>
            </w:pPr>
            <w:r w:rsidRPr="0051359D">
              <w:rPr>
                <w:i/>
                <w:position w:val="-6"/>
                <w:sz w:val="20"/>
              </w:rPr>
              <w:t>Permeability ,m</w:t>
            </w:r>
            <w:r w:rsidRPr="0051359D">
              <w:rPr>
                <w:i/>
                <w:position w:val="-6"/>
                <w:sz w:val="20"/>
                <w:vertAlign w:val="superscript"/>
              </w:rPr>
              <w:t xml:space="preserve">2 </w:t>
            </w:r>
            <w:r w:rsidRPr="0051359D">
              <w:rPr>
                <w:i/>
                <w:position w:val="-6"/>
                <w:sz w:val="20"/>
              </w:rPr>
              <w:t xml:space="preserve"> </w:t>
            </w:r>
          </w:p>
        </w:tc>
        <w:tc>
          <w:tcPr>
            <w:tcW w:w="652" w:type="dxa"/>
          </w:tcPr>
          <w:p w:rsidR="000C2B24" w:rsidRPr="0051359D" w:rsidRDefault="000C2B24" w:rsidP="00C44B41">
            <w:pPr>
              <w:ind w:firstLine="0"/>
              <w:rPr>
                <w:i/>
                <w:position w:val="-6"/>
                <w:sz w:val="20"/>
              </w:rPr>
            </w:pPr>
            <w:r w:rsidRPr="0051359D">
              <w:rPr>
                <w:i/>
                <w:position w:val="-6"/>
                <w:sz w:val="20"/>
              </w:rPr>
              <w:object w:dxaOrig="200" w:dyaOrig="279">
                <v:shape id="_x0000_i1037" type="#_x0000_t75" style="width:9.4pt;height:14.4pt" o:ole="">
                  <v:imagedata r:id="rId40" o:title=""/>
                </v:shape>
                <o:OLEObject Type="Embed" ProgID="Equation.3" ShapeID="_x0000_i1037" DrawAspect="Content" ObjectID="_1797190973" r:id="rId41"/>
              </w:object>
            </w:r>
          </w:p>
        </w:tc>
        <w:tc>
          <w:tcPr>
            <w:tcW w:w="3645" w:type="dxa"/>
          </w:tcPr>
          <w:p w:rsidR="000C2B24" w:rsidRPr="0051359D" w:rsidRDefault="000C2B24" w:rsidP="00C44B41">
            <w:pPr>
              <w:ind w:firstLine="0"/>
              <w:rPr>
                <w:i/>
                <w:position w:val="-6"/>
                <w:sz w:val="20"/>
              </w:rPr>
            </w:pPr>
            <w:r w:rsidRPr="0051359D">
              <w:rPr>
                <w:i/>
                <w:position w:val="-6"/>
                <w:sz w:val="20"/>
              </w:rPr>
              <w:t>Non Dimensional Temperature</w:t>
            </w:r>
          </w:p>
        </w:tc>
      </w:tr>
      <w:tr w:rsidR="000C2B24" w:rsidRPr="0051359D" w:rsidTr="00C44B41">
        <w:trPr>
          <w:jc w:val="center"/>
        </w:trPr>
        <w:tc>
          <w:tcPr>
            <w:tcW w:w="698" w:type="dxa"/>
          </w:tcPr>
          <w:p w:rsidR="000C2B24" w:rsidRPr="0051359D" w:rsidRDefault="000C2B24" w:rsidP="00C44B41">
            <w:pPr>
              <w:ind w:firstLine="0"/>
              <w:jc w:val="left"/>
              <w:rPr>
                <w:i/>
                <w:position w:val="-6"/>
                <w:sz w:val="20"/>
              </w:rPr>
            </w:pPr>
            <w:r w:rsidRPr="0051359D">
              <w:rPr>
                <w:i/>
                <w:position w:val="-6"/>
                <w:sz w:val="20"/>
              </w:rPr>
              <w:t>x y</w:t>
            </w:r>
          </w:p>
        </w:tc>
        <w:tc>
          <w:tcPr>
            <w:tcW w:w="3600" w:type="dxa"/>
          </w:tcPr>
          <w:p w:rsidR="000C2B24" w:rsidRPr="0051359D" w:rsidRDefault="000C2B24" w:rsidP="000C2B24">
            <w:pPr>
              <w:ind w:firstLine="0"/>
              <w:jc w:val="left"/>
              <w:rPr>
                <w:i/>
                <w:position w:val="-6"/>
                <w:sz w:val="20"/>
              </w:rPr>
            </w:pPr>
            <w:r w:rsidRPr="0051359D">
              <w:rPr>
                <w:i/>
                <w:position w:val="-6"/>
                <w:sz w:val="20"/>
              </w:rPr>
              <w:t>Dimensional Coordinates Along  Two Directions</w:t>
            </w:r>
          </w:p>
        </w:tc>
        <w:tc>
          <w:tcPr>
            <w:tcW w:w="652" w:type="dxa"/>
          </w:tcPr>
          <w:p w:rsidR="000C2B24" w:rsidRPr="0051359D" w:rsidRDefault="000C2B24" w:rsidP="000C2B24">
            <w:pPr>
              <w:ind w:firstLine="0"/>
              <w:rPr>
                <w:i/>
                <w:position w:val="-6"/>
                <w:sz w:val="20"/>
              </w:rPr>
            </w:pPr>
            <w:r w:rsidRPr="0051359D">
              <w:rPr>
                <w:i/>
                <w:position w:val="-6"/>
                <w:sz w:val="20"/>
              </w:rPr>
              <w:t>ψ</w:t>
            </w:r>
          </w:p>
        </w:tc>
        <w:tc>
          <w:tcPr>
            <w:tcW w:w="3645" w:type="dxa"/>
          </w:tcPr>
          <w:p w:rsidR="000C2B24" w:rsidRPr="0051359D" w:rsidRDefault="000C2B24" w:rsidP="000C2B24">
            <w:pPr>
              <w:ind w:firstLine="0"/>
              <w:rPr>
                <w:i/>
                <w:position w:val="-6"/>
                <w:sz w:val="20"/>
              </w:rPr>
            </w:pPr>
            <w:r w:rsidRPr="0051359D">
              <w:rPr>
                <w:i/>
                <w:position w:val="-6"/>
                <w:sz w:val="20"/>
              </w:rPr>
              <w:t>Stream Function</w:t>
            </w:r>
          </w:p>
        </w:tc>
      </w:tr>
      <w:tr w:rsidR="000C2B24" w:rsidRPr="0051359D" w:rsidTr="00C44B41">
        <w:trPr>
          <w:jc w:val="center"/>
        </w:trPr>
        <w:tc>
          <w:tcPr>
            <w:tcW w:w="698" w:type="dxa"/>
          </w:tcPr>
          <w:p w:rsidR="000C2B24" w:rsidRPr="0051359D" w:rsidRDefault="000C2B24" w:rsidP="000C2B24">
            <w:pPr>
              <w:ind w:firstLine="0"/>
              <w:jc w:val="left"/>
              <w:rPr>
                <w:i/>
                <w:position w:val="-6"/>
                <w:sz w:val="20"/>
                <w:vertAlign w:val="subscript"/>
              </w:rPr>
            </w:pPr>
            <w:r w:rsidRPr="0051359D">
              <w:rPr>
                <w:i/>
                <w:position w:val="-6"/>
                <w:sz w:val="20"/>
              </w:rPr>
              <w:t>T</w:t>
            </w:r>
            <w:r w:rsidRPr="0051359D">
              <w:rPr>
                <w:i/>
                <w:position w:val="-6"/>
                <w:sz w:val="20"/>
                <w:vertAlign w:val="subscript"/>
              </w:rPr>
              <w:t>h</w:t>
            </w:r>
          </w:p>
        </w:tc>
        <w:tc>
          <w:tcPr>
            <w:tcW w:w="3600" w:type="dxa"/>
          </w:tcPr>
          <w:p w:rsidR="000C2B24" w:rsidRPr="0051359D" w:rsidRDefault="000C2B24" w:rsidP="000C2B24">
            <w:pPr>
              <w:ind w:firstLine="0"/>
              <w:jc w:val="left"/>
              <w:rPr>
                <w:i/>
                <w:position w:val="-6"/>
                <w:sz w:val="20"/>
              </w:rPr>
            </w:pPr>
            <w:r w:rsidRPr="0051359D">
              <w:rPr>
                <w:i/>
                <w:position w:val="-6"/>
                <w:sz w:val="20"/>
              </w:rPr>
              <w:t>Heated  Wall Temperature,</w:t>
            </w:r>
            <w:r w:rsidRPr="0051359D">
              <w:rPr>
                <w:i/>
                <w:position w:val="-6"/>
                <w:sz w:val="20"/>
                <w:vertAlign w:val="superscript"/>
              </w:rPr>
              <w:t xml:space="preserve">0 </w:t>
            </w:r>
            <w:r w:rsidRPr="0051359D">
              <w:rPr>
                <w:i/>
                <w:position w:val="-6"/>
                <w:sz w:val="20"/>
              </w:rPr>
              <w:t>C</w:t>
            </w:r>
          </w:p>
        </w:tc>
        <w:tc>
          <w:tcPr>
            <w:tcW w:w="652" w:type="dxa"/>
          </w:tcPr>
          <w:p w:rsidR="000C2B24" w:rsidRPr="0051359D" w:rsidRDefault="000C2B24" w:rsidP="000C2B24">
            <w:pPr>
              <w:ind w:firstLine="0"/>
              <w:rPr>
                <w:b/>
                <w:i/>
                <w:position w:val="-6"/>
                <w:sz w:val="20"/>
              </w:rPr>
            </w:pPr>
            <w:r w:rsidRPr="0051359D">
              <w:rPr>
                <w:b/>
                <w:i/>
                <w:position w:val="-6"/>
                <w:sz w:val="20"/>
              </w:rPr>
              <w:t>ψ</w:t>
            </w:r>
          </w:p>
        </w:tc>
        <w:tc>
          <w:tcPr>
            <w:tcW w:w="3645" w:type="dxa"/>
          </w:tcPr>
          <w:p w:rsidR="000C2B24" w:rsidRPr="0051359D" w:rsidRDefault="000C2B24" w:rsidP="000C2B24">
            <w:pPr>
              <w:ind w:firstLine="0"/>
              <w:rPr>
                <w:i/>
                <w:position w:val="-6"/>
                <w:sz w:val="20"/>
              </w:rPr>
            </w:pPr>
            <w:r w:rsidRPr="0051359D">
              <w:rPr>
                <w:i/>
                <w:position w:val="-6"/>
                <w:sz w:val="20"/>
              </w:rPr>
              <w:t>Dimensionless  Stream Function</w:t>
            </w:r>
          </w:p>
        </w:tc>
      </w:tr>
      <w:tr w:rsidR="000C2B24" w:rsidRPr="0051359D" w:rsidTr="00C44B41">
        <w:trPr>
          <w:trHeight w:val="332"/>
          <w:jc w:val="center"/>
        </w:trPr>
        <w:tc>
          <w:tcPr>
            <w:tcW w:w="698" w:type="dxa"/>
          </w:tcPr>
          <w:p w:rsidR="000C2B24" w:rsidRPr="0051359D" w:rsidRDefault="000C2B24" w:rsidP="000C2B24">
            <w:pPr>
              <w:ind w:firstLine="0"/>
              <w:jc w:val="left"/>
              <w:rPr>
                <w:i/>
                <w:position w:val="-6"/>
                <w:sz w:val="20"/>
                <w:vertAlign w:val="subscript"/>
              </w:rPr>
            </w:pPr>
            <w:r w:rsidRPr="0051359D">
              <w:rPr>
                <w:i/>
                <w:position w:val="-6"/>
                <w:sz w:val="20"/>
              </w:rPr>
              <w:t>T</w:t>
            </w:r>
            <w:r w:rsidRPr="0051359D">
              <w:rPr>
                <w:i/>
                <w:position w:val="-6"/>
                <w:sz w:val="20"/>
                <w:vertAlign w:val="subscript"/>
              </w:rPr>
              <w:t>c</w:t>
            </w:r>
          </w:p>
        </w:tc>
        <w:tc>
          <w:tcPr>
            <w:tcW w:w="3600" w:type="dxa"/>
          </w:tcPr>
          <w:p w:rsidR="000C2B24" w:rsidRPr="0051359D" w:rsidRDefault="000C2B24" w:rsidP="000C2B24">
            <w:pPr>
              <w:ind w:firstLine="0"/>
              <w:jc w:val="left"/>
              <w:rPr>
                <w:i/>
                <w:position w:val="-6"/>
                <w:sz w:val="20"/>
              </w:rPr>
            </w:pPr>
            <w:r w:rsidRPr="0051359D">
              <w:rPr>
                <w:i/>
                <w:position w:val="-6"/>
                <w:sz w:val="20"/>
              </w:rPr>
              <w:t>Cooled   Wall Temperature,</w:t>
            </w:r>
            <w:r w:rsidRPr="0051359D">
              <w:rPr>
                <w:i/>
                <w:position w:val="-6"/>
                <w:sz w:val="20"/>
                <w:vertAlign w:val="superscript"/>
              </w:rPr>
              <w:t xml:space="preserve">0 </w:t>
            </w:r>
            <w:r w:rsidRPr="0051359D">
              <w:rPr>
                <w:i/>
                <w:position w:val="-6"/>
                <w:sz w:val="20"/>
              </w:rPr>
              <w:t>C</w:t>
            </w:r>
          </w:p>
        </w:tc>
        <w:tc>
          <w:tcPr>
            <w:tcW w:w="652" w:type="dxa"/>
          </w:tcPr>
          <w:p w:rsidR="000C2B24" w:rsidRPr="0051359D" w:rsidRDefault="000C2B24" w:rsidP="000C2B24">
            <w:pPr>
              <w:ind w:firstLine="0"/>
              <w:rPr>
                <w:i/>
                <w:position w:val="-6"/>
                <w:sz w:val="20"/>
              </w:rPr>
            </w:pPr>
            <w:r w:rsidRPr="0051359D">
              <w:rPr>
                <w:i/>
                <w:position w:val="-6"/>
                <w:sz w:val="20"/>
              </w:rPr>
              <w:t>U</w:t>
            </w:r>
          </w:p>
        </w:tc>
        <w:tc>
          <w:tcPr>
            <w:tcW w:w="3645" w:type="dxa"/>
          </w:tcPr>
          <w:p w:rsidR="000C2B24" w:rsidRPr="0051359D" w:rsidRDefault="000C2B24" w:rsidP="000C2B24">
            <w:pPr>
              <w:ind w:firstLine="0"/>
              <w:rPr>
                <w:i/>
                <w:position w:val="-6"/>
                <w:sz w:val="20"/>
              </w:rPr>
            </w:pPr>
            <w:r w:rsidRPr="0051359D">
              <w:rPr>
                <w:i/>
                <w:position w:val="-6"/>
                <w:sz w:val="20"/>
              </w:rPr>
              <w:t>Velocity Along X Axis</w:t>
            </w:r>
          </w:p>
        </w:tc>
      </w:tr>
    </w:tbl>
    <w:p w:rsidR="00BE7721" w:rsidRPr="00E301B7" w:rsidRDefault="00BE7721" w:rsidP="00BE7721">
      <w:pPr>
        <w:pStyle w:val="Reference"/>
        <w:numPr>
          <w:ilvl w:val="0"/>
          <w:numId w:val="0"/>
        </w:numPr>
        <w:spacing w:line="360" w:lineRule="auto"/>
        <w:ind w:left="357" w:hanging="357"/>
        <w:jc w:val="both"/>
        <w:rPr>
          <w:rFonts w:eastAsia="TimesNewRoman"/>
          <w:szCs w:val="24"/>
        </w:rPr>
      </w:pPr>
    </w:p>
    <w:p w:rsidR="00F1036C" w:rsidRPr="00E301B7" w:rsidRDefault="002E33E9" w:rsidP="002E33E9">
      <w:pPr>
        <w:pStyle w:val="Heading1"/>
        <w:numPr>
          <w:ilvl w:val="0"/>
          <w:numId w:val="0"/>
        </w:numPr>
        <w:rPr>
          <w:sz w:val="24"/>
          <w:szCs w:val="24"/>
        </w:rPr>
      </w:pPr>
      <w:r w:rsidRPr="00E301B7">
        <w:rPr>
          <w:sz w:val="24"/>
          <w:szCs w:val="24"/>
        </w:rPr>
        <w:t xml:space="preserve">8. </w:t>
      </w:r>
      <w:r w:rsidR="00F1036C" w:rsidRPr="00E301B7">
        <w:rPr>
          <w:sz w:val="24"/>
          <w:szCs w:val="24"/>
        </w:rPr>
        <w:t>REFERENCES</w:t>
      </w:r>
    </w:p>
    <w:p w:rsidR="00404FEC" w:rsidRPr="0051359D" w:rsidRDefault="00404FEC" w:rsidP="00894F2C">
      <w:pPr>
        <w:rPr>
          <w:sz w:val="20"/>
          <w:lang w:val="en-US"/>
        </w:rPr>
      </w:pP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K. Aparna and K.N. Seetharamu, "Investigations on the Effect of Non-Uniform Temperature on Fluid Flow and Heat Transfer in a Trapezoidal Cavity Filled with Porous Media," </w:t>
      </w:r>
      <w:r w:rsidRPr="0051359D">
        <w:rPr>
          <w:rFonts w:ascii="Times New Roman" w:hAnsi="Times New Roman"/>
          <w:i/>
          <w:iCs/>
          <w:sz w:val="20"/>
          <w:szCs w:val="20"/>
        </w:rPr>
        <w:t>International Journal of Heat and Mass Transfer</w:t>
      </w:r>
      <w:r w:rsidRPr="0051359D">
        <w:rPr>
          <w:rFonts w:ascii="Times New Roman" w:hAnsi="Times New Roman"/>
          <w:sz w:val="20"/>
          <w:szCs w:val="20"/>
        </w:rPr>
        <w:t>, vol. 108, pp. 63–78, 2017.</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Nield, D. A., &amp; Bejan, A. (2006). </w:t>
      </w:r>
      <w:r w:rsidRPr="0051359D">
        <w:rPr>
          <w:rFonts w:ascii="Times New Roman" w:hAnsi="Times New Roman"/>
          <w:i/>
          <w:iCs/>
          <w:sz w:val="20"/>
          <w:szCs w:val="20"/>
        </w:rPr>
        <w:t>Convection in Porous Media</w:t>
      </w:r>
      <w:r w:rsidRPr="0051359D">
        <w:rPr>
          <w:rFonts w:ascii="Times New Roman" w:hAnsi="Times New Roman"/>
          <w:sz w:val="20"/>
          <w:szCs w:val="20"/>
        </w:rPr>
        <w:t>. Springer.</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Ingham, D. B., &amp; Pop, I. (2005). </w:t>
      </w:r>
      <w:r w:rsidRPr="0051359D">
        <w:rPr>
          <w:rFonts w:ascii="Times New Roman" w:hAnsi="Times New Roman"/>
          <w:i/>
          <w:iCs/>
          <w:sz w:val="20"/>
          <w:szCs w:val="20"/>
        </w:rPr>
        <w:t>Transport Phenomena in Porous Media III</w:t>
      </w:r>
      <w:r w:rsidRPr="0051359D">
        <w:rPr>
          <w:rFonts w:ascii="Times New Roman" w:hAnsi="Times New Roman"/>
          <w:sz w:val="20"/>
          <w:szCs w:val="20"/>
        </w:rPr>
        <w:t>. Pergamon Press.</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lastRenderedPageBreak/>
        <w:t xml:space="preserve">Das, S. K., &amp; Mahmud, H. (2011). "Effect of Aspect Ratio on Heat Transfer and Fluid Flow in Trapezoidal Cavities." </w:t>
      </w:r>
      <w:r w:rsidRPr="0051359D">
        <w:rPr>
          <w:rFonts w:ascii="Times New Roman" w:hAnsi="Times New Roman"/>
          <w:i/>
          <w:iCs/>
          <w:sz w:val="20"/>
          <w:szCs w:val="20"/>
        </w:rPr>
        <w:t>International Journal of Heat and Fluid Flow</w:t>
      </w:r>
      <w:r w:rsidRPr="0051359D">
        <w:rPr>
          <w:rFonts w:ascii="Times New Roman" w:hAnsi="Times New Roman"/>
          <w:sz w:val="20"/>
          <w:szCs w:val="20"/>
        </w:rPr>
        <w:t>, 32(4), 642-652.</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Basak, T., Roy, S., &amp; Pop, I. (2013). "Natural Convection Heat Transfer in Trapezoidal Enclosures." </w:t>
      </w:r>
      <w:r w:rsidRPr="0051359D">
        <w:rPr>
          <w:rFonts w:ascii="Times New Roman" w:hAnsi="Times New Roman"/>
          <w:i/>
          <w:iCs/>
          <w:sz w:val="20"/>
          <w:szCs w:val="20"/>
        </w:rPr>
        <w:t>International Journal of Heat and Mass Transfer</w:t>
      </w:r>
      <w:r w:rsidRPr="0051359D">
        <w:rPr>
          <w:rFonts w:ascii="Times New Roman" w:hAnsi="Times New Roman"/>
          <w:sz w:val="20"/>
          <w:szCs w:val="20"/>
        </w:rPr>
        <w:t>, 56(1-2), 267-279.</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Gupta, S., &amp; Das, P. K. (2012). "Effect of Non-Uniform Heating on Natural Convection in Enclosures." </w:t>
      </w:r>
      <w:r w:rsidRPr="0051359D">
        <w:rPr>
          <w:rFonts w:ascii="Times New Roman" w:hAnsi="Times New Roman"/>
          <w:i/>
          <w:iCs/>
          <w:sz w:val="20"/>
          <w:szCs w:val="20"/>
        </w:rPr>
        <w:t>Journal of Heat Transfer</w:t>
      </w:r>
      <w:r w:rsidRPr="0051359D">
        <w:rPr>
          <w:rFonts w:ascii="Times New Roman" w:hAnsi="Times New Roman"/>
          <w:sz w:val="20"/>
          <w:szCs w:val="20"/>
        </w:rPr>
        <w:t>, 134(3), 032501.</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Mahmud, S., &amp; Fraser, R. A. (2015). "Natural Convection in a Trapezoidal Cavity with Non-Uniform Heating." </w:t>
      </w:r>
      <w:r w:rsidRPr="0051359D">
        <w:rPr>
          <w:rFonts w:ascii="Times New Roman" w:hAnsi="Times New Roman"/>
          <w:i/>
          <w:iCs/>
          <w:sz w:val="20"/>
          <w:szCs w:val="20"/>
        </w:rPr>
        <w:t>Journal of Thermophysics and Heat Transfer</w:t>
      </w:r>
      <w:r w:rsidRPr="0051359D">
        <w:rPr>
          <w:rFonts w:ascii="Times New Roman" w:hAnsi="Times New Roman"/>
          <w:sz w:val="20"/>
          <w:szCs w:val="20"/>
        </w:rPr>
        <w:t>, 29(2), 324-332.</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Vafai, K., &amp; Tien, C. L. (1981). "Boundary and Inertia Effects on Flow and Heat Transfer in Porous Media." </w:t>
      </w:r>
      <w:r w:rsidRPr="0051359D">
        <w:rPr>
          <w:rFonts w:ascii="Times New Roman" w:hAnsi="Times New Roman"/>
          <w:i/>
          <w:iCs/>
          <w:sz w:val="20"/>
          <w:szCs w:val="20"/>
        </w:rPr>
        <w:t>International Journal of Heat and Mass Transfer</w:t>
      </w:r>
      <w:r w:rsidRPr="0051359D">
        <w:rPr>
          <w:rFonts w:ascii="Times New Roman" w:hAnsi="Times New Roman"/>
          <w:sz w:val="20"/>
          <w:szCs w:val="20"/>
        </w:rPr>
        <w:t>, 24(2), 195-203.</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Lauriat, G., &amp; Prasad, V. (1989). "Non-Darcy Convection in Porous Media." </w:t>
      </w:r>
      <w:r w:rsidRPr="0051359D">
        <w:rPr>
          <w:rFonts w:ascii="Times New Roman" w:hAnsi="Times New Roman"/>
          <w:i/>
          <w:iCs/>
          <w:sz w:val="20"/>
          <w:szCs w:val="20"/>
        </w:rPr>
        <w:t>Journal of Thermophysics and Heat Transfer</w:t>
      </w:r>
      <w:r w:rsidRPr="0051359D">
        <w:rPr>
          <w:rFonts w:ascii="Times New Roman" w:hAnsi="Times New Roman"/>
          <w:sz w:val="20"/>
          <w:szCs w:val="20"/>
        </w:rPr>
        <w:t>, 3(1), 62-66.</w:t>
      </w:r>
    </w:p>
    <w:p w:rsidR="00404FEC" w:rsidRPr="0051359D" w:rsidRDefault="00404FEC" w:rsidP="00404FEC">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Beckermann, C., &amp; Viskanta, R. (1993). "Natural Convection in Enclosures with Porous Media." </w:t>
      </w:r>
      <w:r w:rsidRPr="0051359D">
        <w:rPr>
          <w:rFonts w:ascii="Times New Roman" w:hAnsi="Times New Roman"/>
          <w:i/>
          <w:iCs/>
          <w:sz w:val="20"/>
          <w:szCs w:val="20"/>
        </w:rPr>
        <w:t>Applied Mechanics Reviews</w:t>
      </w:r>
      <w:r w:rsidRPr="0051359D">
        <w:rPr>
          <w:rFonts w:ascii="Times New Roman" w:hAnsi="Times New Roman"/>
          <w:sz w:val="20"/>
          <w:szCs w:val="20"/>
        </w:rPr>
        <w:t>, 46(1), 1-27.</w:t>
      </w:r>
    </w:p>
    <w:p w:rsidR="004B055B" w:rsidRPr="0051359D" w:rsidRDefault="004B055B" w:rsidP="004B055B">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Bilgen, E., &amp; Oztop, H. F. (2005). Natural convection in inclined trapezoidal enclosures. </w:t>
      </w:r>
      <w:r w:rsidRPr="0051359D">
        <w:rPr>
          <w:rFonts w:ascii="Times New Roman" w:hAnsi="Times New Roman"/>
          <w:i/>
          <w:iCs/>
          <w:sz w:val="20"/>
          <w:szCs w:val="20"/>
        </w:rPr>
        <w:t>International Journal of Heat and Mass Transfer</w:t>
      </w:r>
      <w:r w:rsidRPr="0051359D">
        <w:rPr>
          <w:rFonts w:ascii="Times New Roman" w:hAnsi="Times New Roman"/>
          <w:sz w:val="20"/>
          <w:szCs w:val="20"/>
        </w:rPr>
        <w:t>, 48(1), 147–155.</w:t>
      </w:r>
    </w:p>
    <w:p w:rsidR="004B055B" w:rsidRPr="0051359D" w:rsidRDefault="004B055B" w:rsidP="004B055B">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Chen, C. H., Chang, W. J., &amp; Wang, C. C. (2012). Forced convection of power-law fluids in porous media. </w:t>
      </w:r>
      <w:r w:rsidRPr="0051359D">
        <w:rPr>
          <w:rFonts w:ascii="Times New Roman" w:hAnsi="Times New Roman"/>
          <w:i/>
          <w:iCs/>
          <w:sz w:val="20"/>
          <w:szCs w:val="20"/>
        </w:rPr>
        <w:t>International Journal of Heat and Fluid Flow</w:t>
      </w:r>
      <w:r w:rsidRPr="0051359D">
        <w:rPr>
          <w:rFonts w:ascii="Times New Roman" w:hAnsi="Times New Roman"/>
          <w:sz w:val="20"/>
          <w:szCs w:val="20"/>
        </w:rPr>
        <w:t>, 33(1), 165–175.</w:t>
      </w:r>
    </w:p>
    <w:p w:rsidR="004B055B" w:rsidRPr="0051359D" w:rsidRDefault="004B055B" w:rsidP="004B055B">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 Kumar, A., Singh, S., &amp; Gupta, P. (2022). Parametric study on energy transfer characteristics of non-Newtonian fluids in porous trapezoidal cavities. </w:t>
      </w:r>
      <w:r w:rsidRPr="0051359D">
        <w:rPr>
          <w:rFonts w:ascii="Times New Roman" w:hAnsi="Times New Roman"/>
          <w:i/>
          <w:iCs/>
          <w:sz w:val="20"/>
          <w:szCs w:val="20"/>
        </w:rPr>
        <w:t>Journal of Fluid Mechanics</w:t>
      </w:r>
      <w:r w:rsidRPr="0051359D">
        <w:rPr>
          <w:rFonts w:ascii="Times New Roman" w:hAnsi="Times New Roman"/>
          <w:sz w:val="20"/>
          <w:szCs w:val="20"/>
        </w:rPr>
        <w:t>, 920, 113-129.</w:t>
      </w:r>
    </w:p>
    <w:p w:rsidR="004B055B" w:rsidRPr="0051359D" w:rsidRDefault="004B055B" w:rsidP="004B055B">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 Mahmoudi, A., Shahi, M., &amp; Pop, I. (2010). Natural convection of non-Newtonian fluids in enclosures: A review. </w:t>
      </w:r>
      <w:r w:rsidRPr="0051359D">
        <w:rPr>
          <w:rFonts w:ascii="Times New Roman" w:hAnsi="Times New Roman"/>
          <w:i/>
          <w:iCs/>
          <w:sz w:val="20"/>
          <w:szCs w:val="20"/>
        </w:rPr>
        <w:t>International Journal of Thermal Sciences</w:t>
      </w:r>
      <w:r w:rsidRPr="0051359D">
        <w:rPr>
          <w:rFonts w:ascii="Times New Roman" w:hAnsi="Times New Roman"/>
          <w:sz w:val="20"/>
          <w:szCs w:val="20"/>
        </w:rPr>
        <w:t>, 49(6), 1305–1315.</w:t>
      </w:r>
    </w:p>
    <w:p w:rsidR="004B055B" w:rsidRPr="0051359D" w:rsidRDefault="004B055B" w:rsidP="004B055B">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sz w:val="20"/>
          <w:szCs w:val="20"/>
        </w:rPr>
        <w:t xml:space="preserve">  Nield, D. A., &amp; Bejan, A. (2006). </w:t>
      </w:r>
      <w:r w:rsidRPr="0051359D">
        <w:rPr>
          <w:rFonts w:ascii="Times New Roman" w:hAnsi="Times New Roman"/>
          <w:i/>
          <w:iCs/>
          <w:sz w:val="20"/>
          <w:szCs w:val="20"/>
        </w:rPr>
        <w:t>Convection in porous media</w:t>
      </w:r>
      <w:r w:rsidRPr="0051359D">
        <w:rPr>
          <w:rFonts w:ascii="Times New Roman" w:hAnsi="Times New Roman"/>
          <w:sz w:val="20"/>
          <w:szCs w:val="20"/>
        </w:rPr>
        <w:t xml:space="preserve"> (3rd ed.). Springer.</w:t>
      </w:r>
    </w:p>
    <w:p w:rsidR="004B055B" w:rsidRPr="0051359D" w:rsidRDefault="0057674D" w:rsidP="0057674D">
      <w:pPr>
        <w:pStyle w:val="ListParagraph"/>
        <w:numPr>
          <w:ilvl w:val="0"/>
          <w:numId w:val="39"/>
        </w:numPr>
        <w:spacing w:line="360" w:lineRule="auto"/>
        <w:jc w:val="both"/>
        <w:rPr>
          <w:rFonts w:ascii="Times New Roman" w:hAnsi="Times New Roman"/>
          <w:sz w:val="20"/>
          <w:szCs w:val="20"/>
        </w:rPr>
      </w:pPr>
      <w:r w:rsidRPr="0051359D">
        <w:rPr>
          <w:rFonts w:ascii="Times New Roman" w:hAnsi="Times New Roman"/>
          <w:color w:val="000000"/>
          <w:sz w:val="20"/>
          <w:szCs w:val="20"/>
        </w:rPr>
        <w:t>Yasin Varol, Hakan F.Oztop,Ioan Pop, “ Maximum density effects on buoyancy-drivenconvection in a porous trapezoidal cavity”, Int. Communication in Heat and MassTransfer, Vol. 37, 2010, pp 401-409.</w:t>
      </w:r>
    </w:p>
    <w:p w:rsidR="00B369B3" w:rsidRPr="0051359D" w:rsidRDefault="00B369B3" w:rsidP="00B369B3">
      <w:pPr>
        <w:spacing w:line="360" w:lineRule="auto"/>
        <w:ind w:hanging="2"/>
        <w:jc w:val="left"/>
        <w:rPr>
          <w:sz w:val="20"/>
          <w:lang w:val="en-US"/>
        </w:rPr>
      </w:pPr>
      <w:r w:rsidRPr="0051359D">
        <w:rPr>
          <w:color w:val="000000"/>
          <w:sz w:val="20"/>
        </w:rPr>
        <w:br/>
      </w:r>
    </w:p>
    <w:p w:rsidR="00BE7721" w:rsidRPr="00B369B3" w:rsidRDefault="00BE7721" w:rsidP="00B369B3">
      <w:pPr>
        <w:pStyle w:val="Reference"/>
        <w:numPr>
          <w:ilvl w:val="0"/>
          <w:numId w:val="0"/>
        </w:numPr>
        <w:spacing w:line="360" w:lineRule="auto"/>
        <w:ind w:left="357" w:hanging="357"/>
        <w:rPr>
          <w:rFonts w:ascii="Arial" w:hAnsi="Arial" w:cs="Arial"/>
          <w:sz w:val="20"/>
        </w:rPr>
      </w:pPr>
    </w:p>
    <w:sectPr w:rsidR="00BE7721" w:rsidRPr="00B369B3" w:rsidSect="004B4C6F">
      <w:footerReference w:type="default" r:id="rId42"/>
      <w:headerReference w:type="first" r:id="rId43"/>
      <w:footerReference w:type="first" r:id="rId44"/>
      <w:pgSz w:w="12240" w:h="15840" w:code="1"/>
      <w:pgMar w:top="1440" w:right="1440" w:bottom="1440" w:left="1440" w:header="426" w:footer="90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3689" w:rsidRDefault="00403689">
      <w:r>
        <w:separator/>
      </w:r>
    </w:p>
  </w:endnote>
  <w:endnote w:type="continuationSeparator" w:id="1">
    <w:p w:rsidR="00403689" w:rsidRDefault="0040368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imesNewRoman">
    <w:altName w:val="Times New Roman"/>
    <w:panose1 w:val="00000000000000000000"/>
    <w:charset w:val="00"/>
    <w:family w:val="auto"/>
    <w:notTrueType/>
    <w:pitch w:val="default"/>
    <w:sig w:usb0="00000081" w:usb1="00000000" w:usb2="00000000" w:usb3="00000000" w:csb0="00000009" w:csb1="00000000"/>
  </w:font>
  <w:font w:name="Calibri Light">
    <w:altName w:val="Arial"/>
    <w:charset w:val="00"/>
    <w:family w:val="swiss"/>
    <w:pitch w:val="variable"/>
    <w:sig w:usb0="00000000"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C1A" w:rsidRDefault="00A47C1A">
    <w:pPr>
      <w:pStyle w:val="Footer"/>
      <w:jc w:val="center"/>
    </w:pPr>
  </w:p>
  <w:p w:rsidR="00A47C1A" w:rsidRDefault="006D437E">
    <w:pPr>
      <w:pStyle w:val="Footer"/>
      <w:jc w:val="center"/>
    </w:pPr>
    <w:r>
      <w:rPr>
        <w:lang w:val="sl-SI"/>
      </w:rPr>
      <w:t xml:space="preserve">Page No </w:t>
    </w:r>
    <w:r w:rsidR="00A47C1A">
      <w:t>-</w:t>
    </w:r>
    <w:r w:rsidR="000A1702">
      <w:fldChar w:fldCharType="begin"/>
    </w:r>
    <w:r w:rsidR="00A47C1A">
      <w:instrText xml:space="preserve"> PAGE </w:instrText>
    </w:r>
    <w:r w:rsidR="000A1702">
      <w:fldChar w:fldCharType="separate"/>
    </w:r>
    <w:r w:rsidR="008F6BFF">
      <w:rPr>
        <w:noProof/>
      </w:rPr>
      <w:t>13</w:t>
    </w:r>
    <w:r w:rsidR="000A1702">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C1A" w:rsidRDefault="006D437E" w:rsidP="006D437E">
    <w:pPr>
      <w:pStyle w:val="Footer"/>
      <w:tabs>
        <w:tab w:val="center" w:pos="4963"/>
        <w:tab w:val="left" w:pos="6996"/>
      </w:tabs>
      <w:jc w:val="left"/>
      <w:rPr>
        <w:lang w:val="sl-SI"/>
      </w:rPr>
    </w:pPr>
    <w:r>
      <w:rPr>
        <w:lang w:val="sl-SI"/>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3689" w:rsidRDefault="00403689">
      <w:r>
        <w:separator/>
      </w:r>
    </w:p>
  </w:footnote>
  <w:footnote w:type="continuationSeparator" w:id="1">
    <w:p w:rsidR="00403689" w:rsidRDefault="004036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39C3" w:rsidRPr="00317A0C" w:rsidRDefault="005339C3" w:rsidP="00317A0C">
    <w:pPr>
      <w:pStyle w:val="Header"/>
    </w:pPr>
    <w:r w:rsidRPr="00317A0C">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744377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1554BF1A"/>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31946062"/>
    <w:lvl w:ilvl="0">
      <w:start w:val="1"/>
      <w:numFmt w:val="decimal"/>
      <w:pStyle w:val="ListNumber3"/>
      <w:lvlText w:val="%1."/>
      <w:lvlJc w:val="left"/>
      <w:pPr>
        <w:tabs>
          <w:tab w:val="num" w:pos="926"/>
        </w:tabs>
        <w:ind w:left="926" w:hanging="360"/>
      </w:pPr>
    </w:lvl>
  </w:abstractNum>
  <w:abstractNum w:abstractNumId="3">
    <w:nsid w:val="FFFFFF7F"/>
    <w:multiLevelType w:val="singleLevel"/>
    <w:tmpl w:val="DD4EA16C"/>
    <w:lvl w:ilvl="0">
      <w:start w:val="1"/>
      <w:numFmt w:val="decimal"/>
      <w:pStyle w:val="ListNumber2"/>
      <w:lvlText w:val="%1."/>
      <w:lvlJc w:val="left"/>
      <w:pPr>
        <w:tabs>
          <w:tab w:val="num" w:pos="643"/>
        </w:tabs>
        <w:ind w:left="643" w:hanging="360"/>
      </w:pPr>
    </w:lvl>
  </w:abstractNum>
  <w:abstractNum w:abstractNumId="4">
    <w:nsid w:val="FFFFFF80"/>
    <w:multiLevelType w:val="singleLevel"/>
    <w:tmpl w:val="1BFA87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2C84132"/>
    <w:lvl w:ilvl="0">
      <w:start w:val="1"/>
      <w:numFmt w:val="decimal"/>
      <w:pStyle w:val="Reference"/>
      <w:lvlText w:val="[%1]"/>
      <w:lvlJc w:val="left"/>
      <w:pPr>
        <w:tabs>
          <w:tab w:val="num" w:pos="360"/>
        </w:tabs>
        <w:ind w:left="357" w:hanging="357"/>
      </w:pPr>
    </w:lvl>
  </w:abstractNum>
  <w:abstractNum w:abstractNumId="6">
    <w:nsid w:val="FFFFFF82"/>
    <w:multiLevelType w:val="singleLevel"/>
    <w:tmpl w:val="91DE9FD2"/>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5B80B0D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ACB89B38"/>
    <w:lvl w:ilvl="0">
      <w:start w:val="1"/>
      <w:numFmt w:val="decimal"/>
      <w:pStyle w:val="ListNumber"/>
      <w:lvlText w:val="%1."/>
      <w:lvlJc w:val="left"/>
      <w:pPr>
        <w:tabs>
          <w:tab w:val="num" w:pos="360"/>
        </w:tabs>
        <w:ind w:left="360" w:hanging="360"/>
      </w:pPr>
    </w:lvl>
  </w:abstractNum>
  <w:abstractNum w:abstractNumId="9">
    <w:nsid w:val="FFFFFF89"/>
    <w:multiLevelType w:val="singleLevel"/>
    <w:tmpl w:val="67802BD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1821AA"/>
    <w:multiLevelType w:val="hybridMultilevel"/>
    <w:tmpl w:val="7FDCA5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A828FD"/>
    <w:multiLevelType w:val="multilevel"/>
    <w:tmpl w:val="6F905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A97018B"/>
    <w:multiLevelType w:val="multilevel"/>
    <w:tmpl w:val="D42EA7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DE83318"/>
    <w:multiLevelType w:val="multilevel"/>
    <w:tmpl w:val="D660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E9A6B29"/>
    <w:multiLevelType w:val="multilevel"/>
    <w:tmpl w:val="BD668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2EC2808"/>
    <w:multiLevelType w:val="multilevel"/>
    <w:tmpl w:val="D1F41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3F729D1"/>
    <w:multiLevelType w:val="hybridMultilevel"/>
    <w:tmpl w:val="BF940E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5363969"/>
    <w:multiLevelType w:val="hybridMultilevel"/>
    <w:tmpl w:val="926EE81A"/>
    <w:lvl w:ilvl="0" w:tplc="FFFFFFFF">
      <w:start w:val="1"/>
      <w:numFmt w:val="decimal"/>
      <w:lvlText w:val="%1)"/>
      <w:lvlJc w:val="left"/>
      <w:pPr>
        <w:tabs>
          <w:tab w:val="num" w:pos="1080"/>
        </w:tabs>
        <w:ind w:left="1080" w:hanging="360"/>
      </w:pPr>
      <w:rPr>
        <w:rFonts w:hint="default"/>
      </w:rPr>
    </w:lvl>
    <w:lvl w:ilvl="1" w:tplc="FFFFFFFF">
      <w:numFmt w:val="bullet"/>
      <w:lvlText w:val="-"/>
      <w:lvlJc w:val="left"/>
      <w:pPr>
        <w:tabs>
          <w:tab w:val="num" w:pos="1800"/>
        </w:tabs>
        <w:ind w:left="1800" w:hanging="360"/>
      </w:pPr>
      <w:rPr>
        <w:rFonts w:ascii="Times New Roman" w:eastAsia="Times New Roman" w:hAnsi="Times New Roman" w:cs="Times New Roman" w:hint="default"/>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8">
    <w:nsid w:val="2B7439E3"/>
    <w:multiLevelType w:val="multilevel"/>
    <w:tmpl w:val="07F24E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BB91250"/>
    <w:multiLevelType w:val="multilevel"/>
    <w:tmpl w:val="6BBEC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E302073"/>
    <w:multiLevelType w:val="multilevel"/>
    <w:tmpl w:val="166E0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43D3717"/>
    <w:multiLevelType w:val="hybridMultilevel"/>
    <w:tmpl w:val="4B86A2DC"/>
    <w:lvl w:ilvl="0" w:tplc="506E082E">
      <w:start w:val="1"/>
      <w:numFmt w:val="decimal"/>
      <w:lvlText w:val="%1."/>
      <w:lvlJc w:val="left"/>
      <w:pPr>
        <w:ind w:left="347" w:hanging="227"/>
        <w:jc w:val="right"/>
      </w:pPr>
      <w:rPr>
        <w:rFonts w:ascii="Times New Roman" w:eastAsia="Times New Roman" w:hAnsi="Times New Roman" w:cs="Times New Roman" w:hint="default"/>
        <w:color w:val="131413"/>
        <w:spacing w:val="-1"/>
        <w:w w:val="99"/>
        <w:sz w:val="17"/>
        <w:szCs w:val="17"/>
        <w:lang w:val="en-US" w:eastAsia="en-US" w:bidi="ar-SA"/>
      </w:rPr>
    </w:lvl>
    <w:lvl w:ilvl="1" w:tplc="505C6A76">
      <w:numFmt w:val="bullet"/>
      <w:lvlText w:val="•"/>
      <w:lvlJc w:val="left"/>
      <w:pPr>
        <w:ind w:left="798" w:hanging="227"/>
      </w:pPr>
      <w:rPr>
        <w:rFonts w:hint="default"/>
        <w:lang w:val="en-US" w:eastAsia="en-US" w:bidi="ar-SA"/>
      </w:rPr>
    </w:lvl>
    <w:lvl w:ilvl="2" w:tplc="940C0A9C">
      <w:numFmt w:val="bullet"/>
      <w:lvlText w:val="•"/>
      <w:lvlJc w:val="left"/>
      <w:pPr>
        <w:ind w:left="1256" w:hanging="227"/>
      </w:pPr>
      <w:rPr>
        <w:rFonts w:hint="default"/>
        <w:lang w:val="en-US" w:eastAsia="en-US" w:bidi="ar-SA"/>
      </w:rPr>
    </w:lvl>
    <w:lvl w:ilvl="3" w:tplc="3F6EF37C">
      <w:numFmt w:val="bullet"/>
      <w:lvlText w:val="•"/>
      <w:lvlJc w:val="left"/>
      <w:pPr>
        <w:ind w:left="1714" w:hanging="227"/>
      </w:pPr>
      <w:rPr>
        <w:rFonts w:hint="default"/>
        <w:lang w:val="en-US" w:eastAsia="en-US" w:bidi="ar-SA"/>
      </w:rPr>
    </w:lvl>
    <w:lvl w:ilvl="4" w:tplc="93DA7D48">
      <w:numFmt w:val="bullet"/>
      <w:lvlText w:val="•"/>
      <w:lvlJc w:val="left"/>
      <w:pPr>
        <w:ind w:left="2172" w:hanging="227"/>
      </w:pPr>
      <w:rPr>
        <w:rFonts w:hint="default"/>
        <w:lang w:val="en-US" w:eastAsia="en-US" w:bidi="ar-SA"/>
      </w:rPr>
    </w:lvl>
    <w:lvl w:ilvl="5" w:tplc="B1E65CBC">
      <w:numFmt w:val="bullet"/>
      <w:lvlText w:val="•"/>
      <w:lvlJc w:val="left"/>
      <w:pPr>
        <w:ind w:left="2630" w:hanging="227"/>
      </w:pPr>
      <w:rPr>
        <w:rFonts w:hint="default"/>
        <w:lang w:val="en-US" w:eastAsia="en-US" w:bidi="ar-SA"/>
      </w:rPr>
    </w:lvl>
    <w:lvl w:ilvl="6" w:tplc="062C45F6">
      <w:numFmt w:val="bullet"/>
      <w:lvlText w:val="•"/>
      <w:lvlJc w:val="left"/>
      <w:pPr>
        <w:ind w:left="3088" w:hanging="227"/>
      </w:pPr>
      <w:rPr>
        <w:rFonts w:hint="default"/>
        <w:lang w:val="en-US" w:eastAsia="en-US" w:bidi="ar-SA"/>
      </w:rPr>
    </w:lvl>
    <w:lvl w:ilvl="7" w:tplc="46A4512E">
      <w:numFmt w:val="bullet"/>
      <w:lvlText w:val="•"/>
      <w:lvlJc w:val="left"/>
      <w:pPr>
        <w:ind w:left="3546" w:hanging="227"/>
      </w:pPr>
      <w:rPr>
        <w:rFonts w:hint="default"/>
        <w:lang w:val="en-US" w:eastAsia="en-US" w:bidi="ar-SA"/>
      </w:rPr>
    </w:lvl>
    <w:lvl w:ilvl="8" w:tplc="C1627926">
      <w:numFmt w:val="bullet"/>
      <w:lvlText w:val="•"/>
      <w:lvlJc w:val="left"/>
      <w:pPr>
        <w:ind w:left="4004" w:hanging="227"/>
      </w:pPr>
      <w:rPr>
        <w:rFonts w:hint="default"/>
        <w:lang w:val="en-US" w:eastAsia="en-US" w:bidi="ar-SA"/>
      </w:rPr>
    </w:lvl>
  </w:abstractNum>
  <w:abstractNum w:abstractNumId="22">
    <w:nsid w:val="387C3A55"/>
    <w:multiLevelType w:val="hybridMultilevel"/>
    <w:tmpl w:val="14C2D4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88F062F"/>
    <w:multiLevelType w:val="multilevel"/>
    <w:tmpl w:val="DA8A8554"/>
    <w:lvl w:ilvl="0">
      <w:start w:val="1"/>
      <w:numFmt w:val="decimal"/>
      <w:pStyle w:val="Heading1"/>
      <w:lvlText w:val="%1"/>
      <w:lvlJc w:val="left"/>
      <w:pPr>
        <w:tabs>
          <w:tab w:val="num" w:pos="855"/>
        </w:tabs>
        <w:ind w:left="510" w:hanging="510"/>
      </w:pPr>
      <w:rPr>
        <w:rFonts w:hint="default"/>
      </w:rPr>
    </w:lvl>
    <w:lvl w:ilvl="1">
      <w:start w:val="1"/>
      <w:numFmt w:val="decimal"/>
      <w:pStyle w:val="Heading2"/>
      <w:lvlText w:val="%1.%2"/>
      <w:lvlJc w:val="left"/>
      <w:pPr>
        <w:tabs>
          <w:tab w:val="num" w:pos="855"/>
        </w:tabs>
        <w:ind w:left="855" w:hanging="855"/>
      </w:pPr>
      <w:rPr>
        <w:rFonts w:hint="default"/>
      </w:rPr>
    </w:lvl>
    <w:lvl w:ilvl="2">
      <w:start w:val="1"/>
      <w:numFmt w:val="decimal"/>
      <w:pStyle w:val="Heading3"/>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38C217BF"/>
    <w:multiLevelType w:val="multilevel"/>
    <w:tmpl w:val="38C217BF"/>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nsid w:val="4BA118FE"/>
    <w:multiLevelType w:val="multilevel"/>
    <w:tmpl w:val="F33E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03A1640"/>
    <w:multiLevelType w:val="multilevel"/>
    <w:tmpl w:val="8544F1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5834B2E"/>
    <w:multiLevelType w:val="hybridMultilevel"/>
    <w:tmpl w:val="E788F1F2"/>
    <w:lvl w:ilvl="0" w:tplc="7A1C06C4">
      <w:start w:val="1"/>
      <w:numFmt w:val="lowerLetter"/>
      <w:lvlText w:val="(%1)"/>
      <w:lvlJc w:val="left"/>
      <w:pPr>
        <w:tabs>
          <w:tab w:val="num" w:pos="4680"/>
        </w:tabs>
        <w:ind w:left="4680" w:hanging="432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8">
    <w:nsid w:val="57C732F9"/>
    <w:multiLevelType w:val="multilevel"/>
    <w:tmpl w:val="8806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B47AFD"/>
    <w:multiLevelType w:val="multilevel"/>
    <w:tmpl w:val="34B8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CD2632"/>
    <w:multiLevelType w:val="hybridMultilevel"/>
    <w:tmpl w:val="E8BE5060"/>
    <w:lvl w:ilvl="0" w:tplc="0409000F">
      <w:start w:val="1"/>
      <w:numFmt w:val="decimal"/>
      <w:lvlText w:val="%1."/>
      <w:lvlJc w:val="left"/>
      <w:pPr>
        <w:ind w:left="347" w:hanging="227"/>
        <w:jc w:val="right"/>
      </w:pPr>
      <w:rPr>
        <w:rFonts w:hint="default"/>
        <w:color w:val="131413"/>
        <w:spacing w:val="-1"/>
        <w:w w:val="99"/>
        <w:sz w:val="17"/>
        <w:szCs w:val="17"/>
        <w:lang w:val="en-US" w:eastAsia="en-US" w:bidi="ar-SA"/>
      </w:rPr>
    </w:lvl>
    <w:lvl w:ilvl="1" w:tplc="505C6A76">
      <w:numFmt w:val="bullet"/>
      <w:lvlText w:val="•"/>
      <w:lvlJc w:val="left"/>
      <w:pPr>
        <w:ind w:left="798" w:hanging="227"/>
      </w:pPr>
      <w:rPr>
        <w:rFonts w:hint="default"/>
        <w:lang w:val="en-US" w:eastAsia="en-US" w:bidi="ar-SA"/>
      </w:rPr>
    </w:lvl>
    <w:lvl w:ilvl="2" w:tplc="940C0A9C">
      <w:numFmt w:val="bullet"/>
      <w:lvlText w:val="•"/>
      <w:lvlJc w:val="left"/>
      <w:pPr>
        <w:ind w:left="1256" w:hanging="227"/>
      </w:pPr>
      <w:rPr>
        <w:rFonts w:hint="default"/>
        <w:lang w:val="en-US" w:eastAsia="en-US" w:bidi="ar-SA"/>
      </w:rPr>
    </w:lvl>
    <w:lvl w:ilvl="3" w:tplc="3F6EF37C">
      <w:numFmt w:val="bullet"/>
      <w:lvlText w:val="•"/>
      <w:lvlJc w:val="left"/>
      <w:pPr>
        <w:ind w:left="1714" w:hanging="227"/>
      </w:pPr>
      <w:rPr>
        <w:rFonts w:hint="default"/>
        <w:lang w:val="en-US" w:eastAsia="en-US" w:bidi="ar-SA"/>
      </w:rPr>
    </w:lvl>
    <w:lvl w:ilvl="4" w:tplc="93DA7D48">
      <w:numFmt w:val="bullet"/>
      <w:lvlText w:val="•"/>
      <w:lvlJc w:val="left"/>
      <w:pPr>
        <w:ind w:left="2172" w:hanging="227"/>
      </w:pPr>
      <w:rPr>
        <w:rFonts w:hint="default"/>
        <w:lang w:val="en-US" w:eastAsia="en-US" w:bidi="ar-SA"/>
      </w:rPr>
    </w:lvl>
    <w:lvl w:ilvl="5" w:tplc="B1E65CBC">
      <w:numFmt w:val="bullet"/>
      <w:lvlText w:val="•"/>
      <w:lvlJc w:val="left"/>
      <w:pPr>
        <w:ind w:left="2630" w:hanging="227"/>
      </w:pPr>
      <w:rPr>
        <w:rFonts w:hint="default"/>
        <w:lang w:val="en-US" w:eastAsia="en-US" w:bidi="ar-SA"/>
      </w:rPr>
    </w:lvl>
    <w:lvl w:ilvl="6" w:tplc="062C45F6">
      <w:numFmt w:val="bullet"/>
      <w:lvlText w:val="•"/>
      <w:lvlJc w:val="left"/>
      <w:pPr>
        <w:ind w:left="3088" w:hanging="227"/>
      </w:pPr>
      <w:rPr>
        <w:rFonts w:hint="default"/>
        <w:lang w:val="en-US" w:eastAsia="en-US" w:bidi="ar-SA"/>
      </w:rPr>
    </w:lvl>
    <w:lvl w:ilvl="7" w:tplc="46A4512E">
      <w:numFmt w:val="bullet"/>
      <w:lvlText w:val="•"/>
      <w:lvlJc w:val="left"/>
      <w:pPr>
        <w:ind w:left="3546" w:hanging="227"/>
      </w:pPr>
      <w:rPr>
        <w:rFonts w:hint="default"/>
        <w:lang w:val="en-US" w:eastAsia="en-US" w:bidi="ar-SA"/>
      </w:rPr>
    </w:lvl>
    <w:lvl w:ilvl="8" w:tplc="C1627926">
      <w:numFmt w:val="bullet"/>
      <w:lvlText w:val="•"/>
      <w:lvlJc w:val="left"/>
      <w:pPr>
        <w:ind w:left="4004" w:hanging="227"/>
      </w:pPr>
      <w:rPr>
        <w:rFonts w:hint="default"/>
        <w:lang w:val="en-US" w:eastAsia="en-US" w:bidi="ar-SA"/>
      </w:rPr>
    </w:lvl>
  </w:abstractNum>
  <w:abstractNum w:abstractNumId="31">
    <w:nsid w:val="63823B20"/>
    <w:multiLevelType w:val="multilevel"/>
    <w:tmpl w:val="21DA28F6"/>
    <w:lvl w:ilvl="0">
      <w:start w:val="1"/>
      <w:numFmt w:val="decimal"/>
      <w:pStyle w:val="6Sectionheadings"/>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2">
    <w:nsid w:val="67F270F1"/>
    <w:multiLevelType w:val="multilevel"/>
    <w:tmpl w:val="2890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05424F8"/>
    <w:multiLevelType w:val="multilevel"/>
    <w:tmpl w:val="D8782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7E5302"/>
    <w:multiLevelType w:val="singleLevel"/>
    <w:tmpl w:val="DCF677BC"/>
    <w:lvl w:ilvl="0">
      <w:start w:val="1"/>
      <w:numFmt w:val="decimal"/>
      <w:lvlText w:val="[%1]"/>
      <w:lvlJc w:val="left"/>
      <w:pPr>
        <w:tabs>
          <w:tab w:val="num" w:pos="360"/>
        </w:tabs>
        <w:ind w:left="360" w:hanging="360"/>
      </w:pPr>
    </w:lvl>
  </w:abstractNum>
  <w:num w:numId="1">
    <w:abstractNumId w:val="23"/>
  </w:num>
  <w:num w:numId="2">
    <w:abstractNumId w:val="34"/>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5"/>
  </w:num>
  <w:num w:numId="14">
    <w:abstractNumId w:val="17"/>
  </w:num>
  <w:num w:numId="15">
    <w:abstractNumId w:val="23"/>
  </w:num>
  <w:num w:numId="16">
    <w:abstractNumId w:val="5"/>
  </w:num>
  <w:num w:numId="17">
    <w:abstractNumId w:val="23"/>
  </w:num>
  <w:num w:numId="18">
    <w:abstractNumId w:val="23"/>
  </w:num>
  <w:num w:numId="19">
    <w:abstractNumId w:val="5"/>
  </w:num>
  <w:num w:numId="20">
    <w:abstractNumId w:val="31"/>
  </w:num>
  <w:num w:numId="21">
    <w:abstractNumId w:val="27"/>
  </w:num>
  <w:num w:numId="22">
    <w:abstractNumId w:val="24"/>
  </w:num>
  <w:num w:numId="23">
    <w:abstractNumId w:val="19"/>
  </w:num>
  <w:num w:numId="24">
    <w:abstractNumId w:val="10"/>
  </w:num>
  <w:num w:numId="25">
    <w:abstractNumId w:val="21"/>
  </w:num>
  <w:num w:numId="26">
    <w:abstractNumId w:val="30"/>
  </w:num>
  <w:num w:numId="27">
    <w:abstractNumId w:val="12"/>
  </w:num>
  <w:num w:numId="28">
    <w:abstractNumId w:val="23"/>
    <w:lvlOverride w:ilvl="0">
      <w:startOverride w:val="3"/>
    </w:lvlOverride>
    <w:lvlOverride w:ilvl="1">
      <w:startOverride w:val="1"/>
    </w:lvlOverride>
  </w:num>
  <w:num w:numId="29">
    <w:abstractNumId w:val="23"/>
    <w:lvlOverride w:ilvl="0">
      <w:startOverride w:val="3"/>
    </w:lvlOverride>
    <w:lvlOverride w:ilvl="1">
      <w:startOverride w:val="1"/>
    </w:lvlOverride>
  </w:num>
  <w:num w:numId="30">
    <w:abstractNumId w:val="26"/>
  </w:num>
  <w:num w:numId="31">
    <w:abstractNumId w:val="15"/>
  </w:num>
  <w:num w:numId="32">
    <w:abstractNumId w:val="28"/>
  </w:num>
  <w:num w:numId="33">
    <w:abstractNumId w:val="29"/>
  </w:num>
  <w:num w:numId="34">
    <w:abstractNumId w:val="13"/>
  </w:num>
  <w:num w:numId="35">
    <w:abstractNumId w:val="11"/>
  </w:num>
  <w:num w:numId="36">
    <w:abstractNumId w:val="25"/>
  </w:num>
  <w:num w:numId="37">
    <w:abstractNumId w:val="22"/>
  </w:num>
  <w:num w:numId="38">
    <w:abstractNumId w:val="33"/>
  </w:num>
  <w:num w:numId="39">
    <w:abstractNumId w:val="16"/>
  </w:num>
  <w:num w:numId="40">
    <w:abstractNumId w:val="14"/>
  </w:num>
  <w:num w:numId="41">
    <w:abstractNumId w:val="20"/>
  </w:num>
  <w:num w:numId="42">
    <w:abstractNumId w:val="32"/>
  </w:num>
  <w:num w:numId="4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stylePaneFormatFilter w:val="3F01"/>
  <w:defaultTabStop w:val="567"/>
  <w:displayHorizontalDrawingGridEvery w:val="0"/>
  <w:displayVerticalDrawingGridEvery w:val="0"/>
  <w:doNotUseMarginsForDrawingGridOrigin/>
  <w:noPunctuationKerning/>
  <w:characterSpacingControl w:val="doNotCompress"/>
  <w:hdrShapeDefaults>
    <o:shapedefaults v:ext="edit" spidmax="59394"/>
  </w:hdrShapeDefaults>
  <w:footnotePr>
    <w:footnote w:id="0"/>
    <w:footnote w:id="1"/>
  </w:footnotePr>
  <w:endnotePr>
    <w:endnote w:id="0"/>
    <w:endnote w:id="1"/>
  </w:endnotePr>
  <w:compat>
    <w:doNotUseHTMLParagraphAutoSpacing/>
  </w:compat>
  <w:rsids>
    <w:rsidRoot w:val="008D4882"/>
    <w:rsid w:val="000008C7"/>
    <w:rsid w:val="000057DA"/>
    <w:rsid w:val="00006E3B"/>
    <w:rsid w:val="00007FE0"/>
    <w:rsid w:val="000154ED"/>
    <w:rsid w:val="00026D13"/>
    <w:rsid w:val="000354F4"/>
    <w:rsid w:val="00044FAF"/>
    <w:rsid w:val="00056D49"/>
    <w:rsid w:val="00060451"/>
    <w:rsid w:val="0006447D"/>
    <w:rsid w:val="000654E1"/>
    <w:rsid w:val="00070C18"/>
    <w:rsid w:val="00071C8A"/>
    <w:rsid w:val="000733B5"/>
    <w:rsid w:val="0007794C"/>
    <w:rsid w:val="0008280A"/>
    <w:rsid w:val="000848AF"/>
    <w:rsid w:val="000849F5"/>
    <w:rsid w:val="000873BD"/>
    <w:rsid w:val="00095DE1"/>
    <w:rsid w:val="000A1702"/>
    <w:rsid w:val="000A4117"/>
    <w:rsid w:val="000A5852"/>
    <w:rsid w:val="000B0C03"/>
    <w:rsid w:val="000B1228"/>
    <w:rsid w:val="000B4ED5"/>
    <w:rsid w:val="000C097C"/>
    <w:rsid w:val="000C1046"/>
    <w:rsid w:val="000C110C"/>
    <w:rsid w:val="000C2B24"/>
    <w:rsid w:val="000D6631"/>
    <w:rsid w:val="000E1C4B"/>
    <w:rsid w:val="000F22C9"/>
    <w:rsid w:val="000F268D"/>
    <w:rsid w:val="000F4B94"/>
    <w:rsid w:val="000F6FF0"/>
    <w:rsid w:val="000F7271"/>
    <w:rsid w:val="000F7CC5"/>
    <w:rsid w:val="00105AAC"/>
    <w:rsid w:val="00115D32"/>
    <w:rsid w:val="0011741F"/>
    <w:rsid w:val="00126AE3"/>
    <w:rsid w:val="00127066"/>
    <w:rsid w:val="00136364"/>
    <w:rsid w:val="0014062A"/>
    <w:rsid w:val="001455A5"/>
    <w:rsid w:val="0018634F"/>
    <w:rsid w:val="00195CD5"/>
    <w:rsid w:val="001972A2"/>
    <w:rsid w:val="001A1A87"/>
    <w:rsid w:val="001B1A37"/>
    <w:rsid w:val="001B7D27"/>
    <w:rsid w:val="001C294C"/>
    <w:rsid w:val="001C7403"/>
    <w:rsid w:val="001C7AFC"/>
    <w:rsid w:val="001D1093"/>
    <w:rsid w:val="001D38DE"/>
    <w:rsid w:val="001F4C3D"/>
    <w:rsid w:val="001F57B9"/>
    <w:rsid w:val="00202499"/>
    <w:rsid w:val="0020726A"/>
    <w:rsid w:val="002118EB"/>
    <w:rsid w:val="002136CC"/>
    <w:rsid w:val="00221304"/>
    <w:rsid w:val="002217F8"/>
    <w:rsid w:val="002239AA"/>
    <w:rsid w:val="00223E0B"/>
    <w:rsid w:val="00230394"/>
    <w:rsid w:val="0023634D"/>
    <w:rsid w:val="00243A47"/>
    <w:rsid w:val="002458DD"/>
    <w:rsid w:val="0024718D"/>
    <w:rsid w:val="00250932"/>
    <w:rsid w:val="00252C83"/>
    <w:rsid w:val="00257E2A"/>
    <w:rsid w:val="00260407"/>
    <w:rsid w:val="002608D7"/>
    <w:rsid w:val="00261EF7"/>
    <w:rsid w:val="00262706"/>
    <w:rsid w:val="0027140D"/>
    <w:rsid w:val="00281FB6"/>
    <w:rsid w:val="002866F1"/>
    <w:rsid w:val="00290676"/>
    <w:rsid w:val="00297E71"/>
    <w:rsid w:val="002A028B"/>
    <w:rsid w:val="002B5966"/>
    <w:rsid w:val="002B5D30"/>
    <w:rsid w:val="002B69EA"/>
    <w:rsid w:val="002C1EA5"/>
    <w:rsid w:val="002C20BB"/>
    <w:rsid w:val="002C3636"/>
    <w:rsid w:val="002C3AFB"/>
    <w:rsid w:val="002E33E9"/>
    <w:rsid w:val="002E6BB8"/>
    <w:rsid w:val="002F064F"/>
    <w:rsid w:val="002F06AE"/>
    <w:rsid w:val="002F14B6"/>
    <w:rsid w:val="002F5965"/>
    <w:rsid w:val="0030182F"/>
    <w:rsid w:val="0030251D"/>
    <w:rsid w:val="00306346"/>
    <w:rsid w:val="00313536"/>
    <w:rsid w:val="003169FA"/>
    <w:rsid w:val="00316D14"/>
    <w:rsid w:val="00317A0C"/>
    <w:rsid w:val="00322C87"/>
    <w:rsid w:val="00327D13"/>
    <w:rsid w:val="00331D11"/>
    <w:rsid w:val="00332F62"/>
    <w:rsid w:val="00336BCD"/>
    <w:rsid w:val="00336E6B"/>
    <w:rsid w:val="003516E8"/>
    <w:rsid w:val="00353137"/>
    <w:rsid w:val="00354E36"/>
    <w:rsid w:val="00356CF3"/>
    <w:rsid w:val="0036729C"/>
    <w:rsid w:val="00371DC3"/>
    <w:rsid w:val="0037549D"/>
    <w:rsid w:val="0037679E"/>
    <w:rsid w:val="003809F1"/>
    <w:rsid w:val="00380D88"/>
    <w:rsid w:val="003925BA"/>
    <w:rsid w:val="00393D37"/>
    <w:rsid w:val="0039436F"/>
    <w:rsid w:val="0039599F"/>
    <w:rsid w:val="003B0F5E"/>
    <w:rsid w:val="003B23F8"/>
    <w:rsid w:val="003B4838"/>
    <w:rsid w:val="003C30C5"/>
    <w:rsid w:val="003D116C"/>
    <w:rsid w:val="003D31D2"/>
    <w:rsid w:val="003D52FD"/>
    <w:rsid w:val="003D6712"/>
    <w:rsid w:val="003D6992"/>
    <w:rsid w:val="003E4386"/>
    <w:rsid w:val="003E542F"/>
    <w:rsid w:val="003E5878"/>
    <w:rsid w:val="003F2474"/>
    <w:rsid w:val="003F5A94"/>
    <w:rsid w:val="00403689"/>
    <w:rsid w:val="00404FEC"/>
    <w:rsid w:val="0040653E"/>
    <w:rsid w:val="00430FD2"/>
    <w:rsid w:val="00431704"/>
    <w:rsid w:val="00433391"/>
    <w:rsid w:val="004334AC"/>
    <w:rsid w:val="00441418"/>
    <w:rsid w:val="004465B0"/>
    <w:rsid w:val="004537EC"/>
    <w:rsid w:val="00455067"/>
    <w:rsid w:val="0045625D"/>
    <w:rsid w:val="0045651D"/>
    <w:rsid w:val="00463752"/>
    <w:rsid w:val="00465AC9"/>
    <w:rsid w:val="00470684"/>
    <w:rsid w:val="00470E35"/>
    <w:rsid w:val="004762B3"/>
    <w:rsid w:val="0048312F"/>
    <w:rsid w:val="00486BDA"/>
    <w:rsid w:val="00491AEB"/>
    <w:rsid w:val="00491C9D"/>
    <w:rsid w:val="004A5D46"/>
    <w:rsid w:val="004B0034"/>
    <w:rsid w:val="004B055B"/>
    <w:rsid w:val="004B3F03"/>
    <w:rsid w:val="004B4C6F"/>
    <w:rsid w:val="004B4C74"/>
    <w:rsid w:val="004C55D6"/>
    <w:rsid w:val="004C62C9"/>
    <w:rsid w:val="004C6C6A"/>
    <w:rsid w:val="004D3703"/>
    <w:rsid w:val="004D59AD"/>
    <w:rsid w:val="004E299D"/>
    <w:rsid w:val="004E477E"/>
    <w:rsid w:val="004F3A9D"/>
    <w:rsid w:val="004F5573"/>
    <w:rsid w:val="0050252A"/>
    <w:rsid w:val="00511DC4"/>
    <w:rsid w:val="0051359D"/>
    <w:rsid w:val="00513DD6"/>
    <w:rsid w:val="00516DED"/>
    <w:rsid w:val="005309F8"/>
    <w:rsid w:val="00530C7E"/>
    <w:rsid w:val="00532A04"/>
    <w:rsid w:val="005339C3"/>
    <w:rsid w:val="00545366"/>
    <w:rsid w:val="00554130"/>
    <w:rsid w:val="00571C9D"/>
    <w:rsid w:val="005734A0"/>
    <w:rsid w:val="0057674D"/>
    <w:rsid w:val="005806EB"/>
    <w:rsid w:val="00581E62"/>
    <w:rsid w:val="00581EE9"/>
    <w:rsid w:val="00586297"/>
    <w:rsid w:val="005878BB"/>
    <w:rsid w:val="005922D0"/>
    <w:rsid w:val="00592913"/>
    <w:rsid w:val="00594AD1"/>
    <w:rsid w:val="005A6335"/>
    <w:rsid w:val="005B2764"/>
    <w:rsid w:val="005B32C5"/>
    <w:rsid w:val="005D55FB"/>
    <w:rsid w:val="005D6F99"/>
    <w:rsid w:val="005E40B0"/>
    <w:rsid w:val="005F408D"/>
    <w:rsid w:val="00611A20"/>
    <w:rsid w:val="00624373"/>
    <w:rsid w:val="006258B2"/>
    <w:rsid w:val="00627D35"/>
    <w:rsid w:val="00630D62"/>
    <w:rsid w:val="006326D7"/>
    <w:rsid w:val="00636196"/>
    <w:rsid w:val="00636375"/>
    <w:rsid w:val="00646878"/>
    <w:rsid w:val="006667C1"/>
    <w:rsid w:val="00666BE7"/>
    <w:rsid w:val="0067055C"/>
    <w:rsid w:val="006924C2"/>
    <w:rsid w:val="006A4915"/>
    <w:rsid w:val="006C002A"/>
    <w:rsid w:val="006C2797"/>
    <w:rsid w:val="006C5327"/>
    <w:rsid w:val="006C6324"/>
    <w:rsid w:val="006D437E"/>
    <w:rsid w:val="006D4891"/>
    <w:rsid w:val="006E7C33"/>
    <w:rsid w:val="006F0392"/>
    <w:rsid w:val="007075EC"/>
    <w:rsid w:val="00712C0A"/>
    <w:rsid w:val="0071601D"/>
    <w:rsid w:val="00720C81"/>
    <w:rsid w:val="0072662E"/>
    <w:rsid w:val="00726BB2"/>
    <w:rsid w:val="007270B0"/>
    <w:rsid w:val="007412F8"/>
    <w:rsid w:val="00752AF7"/>
    <w:rsid w:val="00752D54"/>
    <w:rsid w:val="00770452"/>
    <w:rsid w:val="00777F23"/>
    <w:rsid w:val="0078206F"/>
    <w:rsid w:val="0078587A"/>
    <w:rsid w:val="00795BC1"/>
    <w:rsid w:val="00796E3E"/>
    <w:rsid w:val="007A59F0"/>
    <w:rsid w:val="007B0005"/>
    <w:rsid w:val="007B6AA8"/>
    <w:rsid w:val="007C02E6"/>
    <w:rsid w:val="007C5AE7"/>
    <w:rsid w:val="007C6E21"/>
    <w:rsid w:val="007D06BF"/>
    <w:rsid w:val="007D2110"/>
    <w:rsid w:val="007E0923"/>
    <w:rsid w:val="007F0133"/>
    <w:rsid w:val="0080181C"/>
    <w:rsid w:val="008120F9"/>
    <w:rsid w:val="0081448C"/>
    <w:rsid w:val="008162B2"/>
    <w:rsid w:val="00823AF6"/>
    <w:rsid w:val="0082457F"/>
    <w:rsid w:val="00825C91"/>
    <w:rsid w:val="00826753"/>
    <w:rsid w:val="00831C50"/>
    <w:rsid w:val="008408F9"/>
    <w:rsid w:val="00845846"/>
    <w:rsid w:val="008549C3"/>
    <w:rsid w:val="008645E3"/>
    <w:rsid w:val="00864D60"/>
    <w:rsid w:val="00873F10"/>
    <w:rsid w:val="008766C1"/>
    <w:rsid w:val="0088317B"/>
    <w:rsid w:val="008841D0"/>
    <w:rsid w:val="0088771F"/>
    <w:rsid w:val="00894F2C"/>
    <w:rsid w:val="00897054"/>
    <w:rsid w:val="008A014F"/>
    <w:rsid w:val="008A1024"/>
    <w:rsid w:val="008A61B9"/>
    <w:rsid w:val="008D04CE"/>
    <w:rsid w:val="008D09EA"/>
    <w:rsid w:val="008D3772"/>
    <w:rsid w:val="008D3A2C"/>
    <w:rsid w:val="008D4882"/>
    <w:rsid w:val="008D52C3"/>
    <w:rsid w:val="008D552B"/>
    <w:rsid w:val="008E6D06"/>
    <w:rsid w:val="008F5550"/>
    <w:rsid w:val="008F5A75"/>
    <w:rsid w:val="008F6BFF"/>
    <w:rsid w:val="00900FD4"/>
    <w:rsid w:val="009045AB"/>
    <w:rsid w:val="00905780"/>
    <w:rsid w:val="00905896"/>
    <w:rsid w:val="00915D10"/>
    <w:rsid w:val="0091776B"/>
    <w:rsid w:val="00921009"/>
    <w:rsid w:val="00924664"/>
    <w:rsid w:val="009262D2"/>
    <w:rsid w:val="00935003"/>
    <w:rsid w:val="00937DDE"/>
    <w:rsid w:val="00941013"/>
    <w:rsid w:val="009412D6"/>
    <w:rsid w:val="009427CA"/>
    <w:rsid w:val="009432BC"/>
    <w:rsid w:val="00947910"/>
    <w:rsid w:val="0095748C"/>
    <w:rsid w:val="00961EE2"/>
    <w:rsid w:val="0097781F"/>
    <w:rsid w:val="00981653"/>
    <w:rsid w:val="009827C5"/>
    <w:rsid w:val="00983021"/>
    <w:rsid w:val="00983CFB"/>
    <w:rsid w:val="0099290A"/>
    <w:rsid w:val="00994138"/>
    <w:rsid w:val="00994C97"/>
    <w:rsid w:val="00996590"/>
    <w:rsid w:val="009A47D7"/>
    <w:rsid w:val="009A537B"/>
    <w:rsid w:val="009B340B"/>
    <w:rsid w:val="009B5C71"/>
    <w:rsid w:val="009B6DC0"/>
    <w:rsid w:val="009C26E7"/>
    <w:rsid w:val="009C673D"/>
    <w:rsid w:val="009D262D"/>
    <w:rsid w:val="009D778B"/>
    <w:rsid w:val="009E66FC"/>
    <w:rsid w:val="009F5047"/>
    <w:rsid w:val="009F509C"/>
    <w:rsid w:val="009F5AF3"/>
    <w:rsid w:val="009F705E"/>
    <w:rsid w:val="00A01C9D"/>
    <w:rsid w:val="00A04E91"/>
    <w:rsid w:val="00A127C3"/>
    <w:rsid w:val="00A13F97"/>
    <w:rsid w:val="00A20C0C"/>
    <w:rsid w:val="00A224BD"/>
    <w:rsid w:val="00A256F9"/>
    <w:rsid w:val="00A30528"/>
    <w:rsid w:val="00A36F9F"/>
    <w:rsid w:val="00A37886"/>
    <w:rsid w:val="00A4037F"/>
    <w:rsid w:val="00A42007"/>
    <w:rsid w:val="00A46529"/>
    <w:rsid w:val="00A47C1A"/>
    <w:rsid w:val="00A561CE"/>
    <w:rsid w:val="00A60076"/>
    <w:rsid w:val="00A646F3"/>
    <w:rsid w:val="00A6718B"/>
    <w:rsid w:val="00A67776"/>
    <w:rsid w:val="00A741E3"/>
    <w:rsid w:val="00A759DB"/>
    <w:rsid w:val="00A76109"/>
    <w:rsid w:val="00A77868"/>
    <w:rsid w:val="00A86234"/>
    <w:rsid w:val="00A93879"/>
    <w:rsid w:val="00A9630D"/>
    <w:rsid w:val="00AB3114"/>
    <w:rsid w:val="00AB39AC"/>
    <w:rsid w:val="00AC1F89"/>
    <w:rsid w:val="00AC5858"/>
    <w:rsid w:val="00AD13D8"/>
    <w:rsid w:val="00AD469C"/>
    <w:rsid w:val="00AD59B6"/>
    <w:rsid w:val="00AD6B59"/>
    <w:rsid w:val="00AE208B"/>
    <w:rsid w:val="00AE2920"/>
    <w:rsid w:val="00AF047C"/>
    <w:rsid w:val="00B00D37"/>
    <w:rsid w:val="00B06D79"/>
    <w:rsid w:val="00B10289"/>
    <w:rsid w:val="00B20051"/>
    <w:rsid w:val="00B311C5"/>
    <w:rsid w:val="00B33AED"/>
    <w:rsid w:val="00B369B3"/>
    <w:rsid w:val="00B4737D"/>
    <w:rsid w:val="00B52163"/>
    <w:rsid w:val="00B53F65"/>
    <w:rsid w:val="00B67316"/>
    <w:rsid w:val="00B6754A"/>
    <w:rsid w:val="00B870BC"/>
    <w:rsid w:val="00B92A5F"/>
    <w:rsid w:val="00B94D46"/>
    <w:rsid w:val="00B9550D"/>
    <w:rsid w:val="00BA4ADC"/>
    <w:rsid w:val="00BB5B76"/>
    <w:rsid w:val="00BC3FCC"/>
    <w:rsid w:val="00BD3674"/>
    <w:rsid w:val="00BE41B9"/>
    <w:rsid w:val="00BE7721"/>
    <w:rsid w:val="00BF3FD5"/>
    <w:rsid w:val="00BF7AE8"/>
    <w:rsid w:val="00C0387D"/>
    <w:rsid w:val="00C10B67"/>
    <w:rsid w:val="00C213F0"/>
    <w:rsid w:val="00C22C0E"/>
    <w:rsid w:val="00C44A6E"/>
    <w:rsid w:val="00C44AAF"/>
    <w:rsid w:val="00C44B41"/>
    <w:rsid w:val="00C46DEF"/>
    <w:rsid w:val="00C50A4E"/>
    <w:rsid w:val="00C5255E"/>
    <w:rsid w:val="00C53F2D"/>
    <w:rsid w:val="00C75979"/>
    <w:rsid w:val="00C7677E"/>
    <w:rsid w:val="00CA3BB4"/>
    <w:rsid w:val="00CA690F"/>
    <w:rsid w:val="00CA7E23"/>
    <w:rsid w:val="00CB0DA4"/>
    <w:rsid w:val="00CB3344"/>
    <w:rsid w:val="00CD2D1D"/>
    <w:rsid w:val="00CD3565"/>
    <w:rsid w:val="00CD3F2D"/>
    <w:rsid w:val="00CD6060"/>
    <w:rsid w:val="00CD71FD"/>
    <w:rsid w:val="00CE0536"/>
    <w:rsid w:val="00CF0A6F"/>
    <w:rsid w:val="00D01CC9"/>
    <w:rsid w:val="00D06E95"/>
    <w:rsid w:val="00D149AD"/>
    <w:rsid w:val="00D27A90"/>
    <w:rsid w:val="00D27C05"/>
    <w:rsid w:val="00D34080"/>
    <w:rsid w:val="00D34E6C"/>
    <w:rsid w:val="00D350F3"/>
    <w:rsid w:val="00D47D12"/>
    <w:rsid w:val="00D5788C"/>
    <w:rsid w:val="00D60208"/>
    <w:rsid w:val="00D6186B"/>
    <w:rsid w:val="00D64B8D"/>
    <w:rsid w:val="00D67312"/>
    <w:rsid w:val="00D70953"/>
    <w:rsid w:val="00D73E8A"/>
    <w:rsid w:val="00D7494F"/>
    <w:rsid w:val="00D82145"/>
    <w:rsid w:val="00D833C4"/>
    <w:rsid w:val="00D865E9"/>
    <w:rsid w:val="00D91309"/>
    <w:rsid w:val="00D95A88"/>
    <w:rsid w:val="00DA2FCB"/>
    <w:rsid w:val="00DB26C8"/>
    <w:rsid w:val="00DB410A"/>
    <w:rsid w:val="00DB691F"/>
    <w:rsid w:val="00DE3E6C"/>
    <w:rsid w:val="00DE63E2"/>
    <w:rsid w:val="00DF4C37"/>
    <w:rsid w:val="00E04E29"/>
    <w:rsid w:val="00E050EA"/>
    <w:rsid w:val="00E301B7"/>
    <w:rsid w:val="00E51048"/>
    <w:rsid w:val="00E54D11"/>
    <w:rsid w:val="00E551DD"/>
    <w:rsid w:val="00E72BD6"/>
    <w:rsid w:val="00E740B9"/>
    <w:rsid w:val="00E74541"/>
    <w:rsid w:val="00EA676C"/>
    <w:rsid w:val="00EC160C"/>
    <w:rsid w:val="00EC3B6B"/>
    <w:rsid w:val="00EC70DC"/>
    <w:rsid w:val="00ED07B7"/>
    <w:rsid w:val="00ED259D"/>
    <w:rsid w:val="00ED38C3"/>
    <w:rsid w:val="00ED5738"/>
    <w:rsid w:val="00ED67E7"/>
    <w:rsid w:val="00EE5776"/>
    <w:rsid w:val="00EE72B3"/>
    <w:rsid w:val="00EF3929"/>
    <w:rsid w:val="00F0217E"/>
    <w:rsid w:val="00F07773"/>
    <w:rsid w:val="00F1036C"/>
    <w:rsid w:val="00F13329"/>
    <w:rsid w:val="00F167FC"/>
    <w:rsid w:val="00F22431"/>
    <w:rsid w:val="00F24197"/>
    <w:rsid w:val="00F331B7"/>
    <w:rsid w:val="00F36554"/>
    <w:rsid w:val="00F44E57"/>
    <w:rsid w:val="00F45337"/>
    <w:rsid w:val="00F46662"/>
    <w:rsid w:val="00F4687C"/>
    <w:rsid w:val="00F50752"/>
    <w:rsid w:val="00F513EE"/>
    <w:rsid w:val="00F56A15"/>
    <w:rsid w:val="00F60092"/>
    <w:rsid w:val="00F6294C"/>
    <w:rsid w:val="00F73D23"/>
    <w:rsid w:val="00F85986"/>
    <w:rsid w:val="00F918F6"/>
    <w:rsid w:val="00F93890"/>
    <w:rsid w:val="00FA10FC"/>
    <w:rsid w:val="00FA25CA"/>
    <w:rsid w:val="00FA7498"/>
    <w:rsid w:val="00FB1E38"/>
    <w:rsid w:val="00FB58A9"/>
    <w:rsid w:val="00FC552D"/>
    <w:rsid w:val="00FC73C4"/>
    <w:rsid w:val="00FE054D"/>
    <w:rsid w:val="00FE249B"/>
    <w:rsid w:val="00FE4428"/>
    <w:rsid w:val="00FE55AF"/>
    <w:rsid w:val="00FF02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20051"/>
    <w:pPr>
      <w:ind w:firstLine="567"/>
      <w:jc w:val="both"/>
    </w:pPr>
    <w:rPr>
      <w:sz w:val="24"/>
      <w:lang w:val="en-GB" w:eastAsia="en-US"/>
    </w:rPr>
  </w:style>
  <w:style w:type="paragraph" w:styleId="Heading1">
    <w:name w:val="heading 1"/>
    <w:next w:val="Normal"/>
    <w:qFormat/>
    <w:rsid w:val="001F57B9"/>
    <w:pPr>
      <w:keepNext/>
      <w:numPr>
        <w:numId w:val="1"/>
      </w:numPr>
      <w:tabs>
        <w:tab w:val="left" w:pos="567"/>
      </w:tabs>
      <w:spacing w:before="240" w:after="240"/>
      <w:outlineLvl w:val="0"/>
    </w:pPr>
    <w:rPr>
      <w:b/>
      <w:caps/>
      <w:noProof/>
      <w:sz w:val="22"/>
      <w:lang w:val="en-US" w:eastAsia="en-US"/>
    </w:rPr>
  </w:style>
  <w:style w:type="paragraph" w:styleId="Heading2">
    <w:name w:val="heading 2"/>
    <w:basedOn w:val="Normal"/>
    <w:next w:val="Normal"/>
    <w:qFormat/>
    <w:rsid w:val="001F57B9"/>
    <w:pPr>
      <w:keepNext/>
      <w:numPr>
        <w:ilvl w:val="1"/>
        <w:numId w:val="1"/>
      </w:numPr>
      <w:tabs>
        <w:tab w:val="clear" w:pos="855"/>
        <w:tab w:val="left" w:pos="567"/>
      </w:tabs>
      <w:spacing w:after="240"/>
      <w:outlineLvl w:val="1"/>
    </w:pPr>
    <w:rPr>
      <w:b/>
      <w:sz w:val="22"/>
    </w:rPr>
  </w:style>
  <w:style w:type="paragraph" w:styleId="Heading3">
    <w:name w:val="heading 3"/>
    <w:basedOn w:val="Normal"/>
    <w:next w:val="Normal"/>
    <w:qFormat/>
    <w:rsid w:val="00B20051"/>
    <w:pPr>
      <w:keepNext/>
      <w:numPr>
        <w:ilvl w:val="2"/>
        <w:numId w:val="1"/>
      </w:numPr>
      <w:spacing w:after="240"/>
      <w:outlineLvl w:val="2"/>
    </w:pPr>
  </w:style>
  <w:style w:type="paragraph" w:styleId="Heading4">
    <w:name w:val="heading 4"/>
    <w:basedOn w:val="Normal"/>
    <w:next w:val="Normal"/>
    <w:qFormat/>
    <w:rsid w:val="00B20051"/>
    <w:pPr>
      <w:keepNext/>
      <w:spacing w:before="240" w:after="60"/>
      <w:outlineLvl w:val="3"/>
    </w:pPr>
    <w:rPr>
      <w:rFonts w:ascii="Arial" w:hAnsi="Arial"/>
      <w:b/>
    </w:rPr>
  </w:style>
  <w:style w:type="paragraph" w:styleId="Heading5">
    <w:name w:val="heading 5"/>
    <w:basedOn w:val="Normal"/>
    <w:next w:val="Normal"/>
    <w:qFormat/>
    <w:rsid w:val="00B20051"/>
    <w:pPr>
      <w:spacing w:before="240" w:after="60"/>
      <w:outlineLvl w:val="4"/>
    </w:pPr>
    <w:rPr>
      <w:sz w:val="22"/>
    </w:rPr>
  </w:style>
  <w:style w:type="paragraph" w:styleId="Heading6">
    <w:name w:val="heading 6"/>
    <w:basedOn w:val="Normal"/>
    <w:next w:val="Normal"/>
    <w:qFormat/>
    <w:rsid w:val="00B20051"/>
    <w:pPr>
      <w:spacing w:before="240" w:after="60"/>
      <w:outlineLvl w:val="5"/>
    </w:pPr>
    <w:rPr>
      <w:i/>
      <w:sz w:val="22"/>
    </w:rPr>
  </w:style>
  <w:style w:type="paragraph" w:styleId="Heading7">
    <w:name w:val="heading 7"/>
    <w:basedOn w:val="Normal"/>
    <w:next w:val="Normal"/>
    <w:qFormat/>
    <w:rsid w:val="00B20051"/>
    <w:pPr>
      <w:spacing w:before="240" w:after="60"/>
      <w:outlineLvl w:val="6"/>
    </w:pPr>
    <w:rPr>
      <w:rFonts w:ascii="Arial" w:hAnsi="Arial"/>
      <w:sz w:val="20"/>
    </w:rPr>
  </w:style>
  <w:style w:type="paragraph" w:styleId="Heading8">
    <w:name w:val="heading 8"/>
    <w:basedOn w:val="Normal"/>
    <w:next w:val="Normal"/>
    <w:qFormat/>
    <w:rsid w:val="00B20051"/>
    <w:pPr>
      <w:spacing w:before="240" w:after="60"/>
      <w:outlineLvl w:val="7"/>
    </w:pPr>
    <w:rPr>
      <w:rFonts w:ascii="Arial" w:hAnsi="Arial"/>
      <w:i/>
      <w:sz w:val="20"/>
    </w:rPr>
  </w:style>
  <w:style w:type="paragraph" w:styleId="Heading9">
    <w:name w:val="heading 9"/>
    <w:basedOn w:val="Normal"/>
    <w:next w:val="Normal"/>
    <w:qFormat/>
    <w:rsid w:val="00B20051"/>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ofthepaper">
    <w:name w:val="Title of the paper"/>
    <w:rsid w:val="00B20051"/>
    <w:pPr>
      <w:jc w:val="center"/>
    </w:pPr>
    <w:rPr>
      <w:rFonts w:ascii="Arial" w:hAnsi="Arial"/>
      <w:b/>
      <w:noProof/>
      <w:sz w:val="28"/>
      <w:lang w:val="en-US" w:eastAsia="en-US"/>
    </w:rPr>
  </w:style>
  <w:style w:type="paragraph" w:customStyle="1" w:styleId="Authorname">
    <w:name w:val="Author name"/>
    <w:rsid w:val="00B20051"/>
    <w:pPr>
      <w:spacing w:before="240"/>
      <w:jc w:val="center"/>
    </w:pPr>
    <w:rPr>
      <w:b/>
      <w:sz w:val="24"/>
      <w:lang w:val="en-US" w:eastAsia="en-US"/>
    </w:rPr>
  </w:style>
  <w:style w:type="paragraph" w:customStyle="1" w:styleId="AuthorAffilliation">
    <w:name w:val="Author Affilliation"/>
    <w:rsid w:val="00B20051"/>
    <w:pPr>
      <w:jc w:val="center"/>
    </w:pPr>
    <w:rPr>
      <w:noProof/>
      <w:sz w:val="24"/>
      <w:lang w:val="en-US" w:eastAsia="en-US"/>
    </w:rPr>
  </w:style>
  <w:style w:type="paragraph" w:customStyle="1" w:styleId="HeaderAbs">
    <w:name w:val="Header (Abs."/>
    <w:aliases w:val="Ref.,Ack.)"/>
    <w:basedOn w:val="Heading1"/>
    <w:rsid w:val="00B20051"/>
    <w:pPr>
      <w:numPr>
        <w:numId w:val="0"/>
      </w:numPr>
    </w:pPr>
    <w:rPr>
      <w:noProof w:val="0"/>
    </w:rPr>
  </w:style>
  <w:style w:type="paragraph" w:customStyle="1" w:styleId="Reference">
    <w:name w:val="Reference"/>
    <w:basedOn w:val="Normal"/>
    <w:rsid w:val="00B20051"/>
    <w:pPr>
      <w:numPr>
        <w:numId w:val="13"/>
      </w:numPr>
      <w:spacing w:after="240"/>
      <w:jc w:val="left"/>
    </w:pPr>
  </w:style>
  <w:style w:type="paragraph" w:styleId="Header">
    <w:name w:val="header"/>
    <w:basedOn w:val="Normal"/>
    <w:link w:val="HeaderChar"/>
    <w:rsid w:val="00B20051"/>
    <w:pPr>
      <w:tabs>
        <w:tab w:val="center" w:pos="4153"/>
        <w:tab w:val="right" w:pos="9072"/>
      </w:tabs>
    </w:pPr>
    <w:rPr>
      <w:sz w:val="18"/>
      <w:lang w:val="en-US"/>
    </w:rPr>
  </w:style>
  <w:style w:type="paragraph" w:styleId="Footer">
    <w:name w:val="footer"/>
    <w:basedOn w:val="Normal"/>
    <w:link w:val="FooterChar"/>
    <w:uiPriority w:val="99"/>
    <w:rsid w:val="00B20051"/>
    <w:pPr>
      <w:tabs>
        <w:tab w:val="center" w:pos="4153"/>
        <w:tab w:val="right" w:pos="8306"/>
      </w:tabs>
    </w:pPr>
    <w:rPr>
      <w:sz w:val="18"/>
      <w:lang w:val="en-US"/>
    </w:rPr>
  </w:style>
  <w:style w:type="paragraph" w:styleId="Caption">
    <w:name w:val="caption"/>
    <w:basedOn w:val="Normal"/>
    <w:next w:val="Normal"/>
    <w:qFormat/>
    <w:rsid w:val="00B20051"/>
    <w:pPr>
      <w:spacing w:before="120" w:after="120"/>
      <w:jc w:val="center"/>
    </w:pPr>
    <w:rPr>
      <w:lang w:val="en-US"/>
    </w:rPr>
  </w:style>
  <w:style w:type="character" w:styleId="Hyperlink">
    <w:name w:val="Hyperlink"/>
    <w:uiPriority w:val="99"/>
    <w:rsid w:val="00B20051"/>
    <w:rPr>
      <w:color w:val="0000FF"/>
      <w:u w:val="single"/>
    </w:rPr>
  </w:style>
  <w:style w:type="character" w:styleId="PageNumber">
    <w:name w:val="page number"/>
    <w:basedOn w:val="DefaultParagraphFont"/>
    <w:rsid w:val="00B20051"/>
  </w:style>
  <w:style w:type="character" w:styleId="FollowedHyperlink">
    <w:name w:val="FollowedHyperlink"/>
    <w:rsid w:val="00B20051"/>
    <w:rPr>
      <w:color w:val="800080"/>
      <w:u w:val="single"/>
    </w:rPr>
  </w:style>
  <w:style w:type="character" w:styleId="LineNumber">
    <w:name w:val="line number"/>
    <w:basedOn w:val="DefaultParagraphFont"/>
    <w:rsid w:val="00B20051"/>
  </w:style>
  <w:style w:type="paragraph" w:styleId="BlockText">
    <w:name w:val="Block Text"/>
    <w:basedOn w:val="Normal"/>
    <w:rsid w:val="00B20051"/>
    <w:pPr>
      <w:spacing w:after="120"/>
      <w:ind w:left="1440" w:right="1440"/>
    </w:pPr>
  </w:style>
  <w:style w:type="paragraph" w:styleId="BodyText">
    <w:name w:val="Body Text"/>
    <w:basedOn w:val="Normal"/>
    <w:rsid w:val="00B20051"/>
    <w:pPr>
      <w:spacing w:after="120"/>
    </w:pPr>
  </w:style>
  <w:style w:type="paragraph" w:styleId="BodyText2">
    <w:name w:val="Body Text 2"/>
    <w:basedOn w:val="Normal"/>
    <w:rsid w:val="00B20051"/>
    <w:pPr>
      <w:spacing w:after="120" w:line="480" w:lineRule="auto"/>
    </w:pPr>
  </w:style>
  <w:style w:type="paragraph" w:styleId="BodyText3">
    <w:name w:val="Body Text 3"/>
    <w:basedOn w:val="Normal"/>
    <w:rsid w:val="00B20051"/>
    <w:pPr>
      <w:spacing w:after="120"/>
    </w:pPr>
    <w:rPr>
      <w:sz w:val="16"/>
    </w:rPr>
  </w:style>
  <w:style w:type="paragraph" w:styleId="BodyTextFirstIndent">
    <w:name w:val="Body Text First Indent"/>
    <w:basedOn w:val="BodyText"/>
    <w:rsid w:val="00B20051"/>
    <w:pPr>
      <w:ind w:firstLine="210"/>
    </w:pPr>
  </w:style>
  <w:style w:type="paragraph" w:styleId="BodyTextIndent">
    <w:name w:val="Body Text Indent"/>
    <w:basedOn w:val="Normal"/>
    <w:rsid w:val="00B20051"/>
    <w:pPr>
      <w:spacing w:after="120"/>
      <w:ind w:left="283"/>
    </w:pPr>
  </w:style>
  <w:style w:type="paragraph" w:styleId="BodyTextFirstIndent2">
    <w:name w:val="Body Text First Indent 2"/>
    <w:basedOn w:val="BodyTextIndent"/>
    <w:rsid w:val="00B20051"/>
    <w:pPr>
      <w:ind w:firstLine="210"/>
    </w:pPr>
  </w:style>
  <w:style w:type="paragraph" w:styleId="BodyTextIndent2">
    <w:name w:val="Body Text Indent 2"/>
    <w:basedOn w:val="Normal"/>
    <w:rsid w:val="00B20051"/>
    <w:pPr>
      <w:spacing w:after="120" w:line="480" w:lineRule="auto"/>
      <w:ind w:left="283"/>
    </w:pPr>
  </w:style>
  <w:style w:type="paragraph" w:styleId="BodyTextIndent3">
    <w:name w:val="Body Text Indent 3"/>
    <w:basedOn w:val="Normal"/>
    <w:rsid w:val="00B20051"/>
    <w:pPr>
      <w:spacing w:after="120"/>
      <w:ind w:left="283"/>
    </w:pPr>
    <w:rPr>
      <w:sz w:val="16"/>
    </w:rPr>
  </w:style>
  <w:style w:type="paragraph" w:styleId="Closing">
    <w:name w:val="Closing"/>
    <w:basedOn w:val="Normal"/>
    <w:rsid w:val="00B20051"/>
    <w:pPr>
      <w:ind w:left="4252"/>
    </w:pPr>
  </w:style>
  <w:style w:type="paragraph" w:styleId="CommentText">
    <w:name w:val="annotation text"/>
    <w:basedOn w:val="Normal"/>
    <w:link w:val="CommentTextChar"/>
    <w:semiHidden/>
    <w:rsid w:val="00B20051"/>
    <w:rPr>
      <w:sz w:val="20"/>
    </w:rPr>
  </w:style>
  <w:style w:type="paragraph" w:styleId="Date">
    <w:name w:val="Date"/>
    <w:basedOn w:val="Normal"/>
    <w:next w:val="Normal"/>
    <w:rsid w:val="00B20051"/>
  </w:style>
  <w:style w:type="paragraph" w:styleId="DocumentMap">
    <w:name w:val="Document Map"/>
    <w:basedOn w:val="Normal"/>
    <w:semiHidden/>
    <w:rsid w:val="00B20051"/>
    <w:pPr>
      <w:shd w:val="clear" w:color="auto" w:fill="000080"/>
    </w:pPr>
    <w:rPr>
      <w:rFonts w:ascii="Tahoma" w:hAnsi="Tahoma"/>
    </w:rPr>
  </w:style>
  <w:style w:type="paragraph" w:styleId="EndnoteText">
    <w:name w:val="endnote text"/>
    <w:basedOn w:val="Normal"/>
    <w:semiHidden/>
    <w:rsid w:val="00B20051"/>
    <w:rPr>
      <w:sz w:val="20"/>
    </w:rPr>
  </w:style>
  <w:style w:type="paragraph" w:styleId="EnvelopeAddress">
    <w:name w:val="envelope address"/>
    <w:basedOn w:val="Normal"/>
    <w:rsid w:val="00B20051"/>
    <w:pPr>
      <w:framePr w:w="7920" w:h="1980" w:hRule="exact" w:hSpace="180" w:wrap="auto" w:hAnchor="page" w:xAlign="center" w:yAlign="bottom"/>
      <w:ind w:left="2880"/>
    </w:pPr>
    <w:rPr>
      <w:rFonts w:ascii="Arial" w:hAnsi="Arial"/>
    </w:rPr>
  </w:style>
  <w:style w:type="paragraph" w:styleId="EnvelopeReturn">
    <w:name w:val="envelope return"/>
    <w:basedOn w:val="Normal"/>
    <w:rsid w:val="00B20051"/>
    <w:rPr>
      <w:rFonts w:ascii="Arial" w:hAnsi="Arial"/>
      <w:sz w:val="20"/>
    </w:rPr>
  </w:style>
  <w:style w:type="paragraph" w:styleId="FootnoteText">
    <w:name w:val="footnote text"/>
    <w:basedOn w:val="Normal"/>
    <w:semiHidden/>
    <w:rsid w:val="00B20051"/>
    <w:rPr>
      <w:sz w:val="20"/>
    </w:rPr>
  </w:style>
  <w:style w:type="paragraph" w:styleId="Index1">
    <w:name w:val="index 1"/>
    <w:basedOn w:val="Normal"/>
    <w:next w:val="Normal"/>
    <w:autoRedefine/>
    <w:semiHidden/>
    <w:rsid w:val="00B20051"/>
    <w:pPr>
      <w:ind w:left="240" w:hanging="240"/>
    </w:pPr>
  </w:style>
  <w:style w:type="paragraph" w:styleId="Index2">
    <w:name w:val="index 2"/>
    <w:basedOn w:val="Normal"/>
    <w:next w:val="Normal"/>
    <w:autoRedefine/>
    <w:semiHidden/>
    <w:rsid w:val="00B20051"/>
    <w:pPr>
      <w:ind w:left="480" w:hanging="240"/>
    </w:pPr>
  </w:style>
  <w:style w:type="paragraph" w:styleId="Index3">
    <w:name w:val="index 3"/>
    <w:basedOn w:val="Normal"/>
    <w:next w:val="Normal"/>
    <w:autoRedefine/>
    <w:semiHidden/>
    <w:rsid w:val="00B20051"/>
    <w:pPr>
      <w:ind w:left="720" w:hanging="240"/>
    </w:pPr>
  </w:style>
  <w:style w:type="paragraph" w:styleId="Index4">
    <w:name w:val="index 4"/>
    <w:basedOn w:val="Normal"/>
    <w:next w:val="Normal"/>
    <w:autoRedefine/>
    <w:semiHidden/>
    <w:rsid w:val="00B20051"/>
    <w:pPr>
      <w:ind w:left="960" w:hanging="240"/>
    </w:pPr>
  </w:style>
  <w:style w:type="paragraph" w:styleId="Index5">
    <w:name w:val="index 5"/>
    <w:basedOn w:val="Normal"/>
    <w:next w:val="Normal"/>
    <w:autoRedefine/>
    <w:semiHidden/>
    <w:rsid w:val="00B20051"/>
    <w:pPr>
      <w:ind w:left="1200" w:hanging="240"/>
    </w:pPr>
  </w:style>
  <w:style w:type="paragraph" w:styleId="Index6">
    <w:name w:val="index 6"/>
    <w:basedOn w:val="Normal"/>
    <w:next w:val="Normal"/>
    <w:autoRedefine/>
    <w:semiHidden/>
    <w:rsid w:val="00B20051"/>
    <w:pPr>
      <w:ind w:left="1440" w:hanging="240"/>
    </w:pPr>
  </w:style>
  <w:style w:type="paragraph" w:styleId="Index7">
    <w:name w:val="index 7"/>
    <w:basedOn w:val="Normal"/>
    <w:next w:val="Normal"/>
    <w:autoRedefine/>
    <w:semiHidden/>
    <w:rsid w:val="00B20051"/>
    <w:pPr>
      <w:ind w:left="1680" w:hanging="240"/>
    </w:pPr>
  </w:style>
  <w:style w:type="paragraph" w:styleId="Index8">
    <w:name w:val="index 8"/>
    <w:basedOn w:val="Normal"/>
    <w:next w:val="Normal"/>
    <w:autoRedefine/>
    <w:semiHidden/>
    <w:rsid w:val="00B20051"/>
    <w:pPr>
      <w:ind w:left="1920" w:hanging="240"/>
    </w:pPr>
  </w:style>
  <w:style w:type="paragraph" w:styleId="Index9">
    <w:name w:val="index 9"/>
    <w:basedOn w:val="Normal"/>
    <w:next w:val="Normal"/>
    <w:autoRedefine/>
    <w:semiHidden/>
    <w:rsid w:val="00B20051"/>
    <w:pPr>
      <w:ind w:left="2160" w:hanging="240"/>
    </w:pPr>
  </w:style>
  <w:style w:type="paragraph" w:styleId="IndexHeading">
    <w:name w:val="index heading"/>
    <w:basedOn w:val="Normal"/>
    <w:next w:val="Index1"/>
    <w:semiHidden/>
    <w:rsid w:val="00B20051"/>
    <w:rPr>
      <w:rFonts w:ascii="Arial" w:hAnsi="Arial"/>
      <w:b/>
    </w:rPr>
  </w:style>
  <w:style w:type="paragraph" w:styleId="List">
    <w:name w:val="List"/>
    <w:basedOn w:val="Normal"/>
    <w:rsid w:val="00B20051"/>
    <w:pPr>
      <w:ind w:left="283" w:hanging="283"/>
    </w:pPr>
  </w:style>
  <w:style w:type="paragraph" w:styleId="List2">
    <w:name w:val="List 2"/>
    <w:basedOn w:val="Normal"/>
    <w:rsid w:val="00B20051"/>
    <w:pPr>
      <w:ind w:left="566" w:hanging="283"/>
    </w:pPr>
  </w:style>
  <w:style w:type="paragraph" w:styleId="List3">
    <w:name w:val="List 3"/>
    <w:basedOn w:val="Normal"/>
    <w:rsid w:val="00B20051"/>
    <w:pPr>
      <w:ind w:left="849" w:hanging="283"/>
    </w:pPr>
  </w:style>
  <w:style w:type="paragraph" w:styleId="List4">
    <w:name w:val="List 4"/>
    <w:basedOn w:val="Normal"/>
    <w:rsid w:val="00B20051"/>
    <w:pPr>
      <w:ind w:left="1132" w:hanging="283"/>
    </w:pPr>
  </w:style>
  <w:style w:type="paragraph" w:styleId="List5">
    <w:name w:val="List 5"/>
    <w:basedOn w:val="Normal"/>
    <w:rsid w:val="00B20051"/>
    <w:pPr>
      <w:ind w:left="1415" w:hanging="283"/>
    </w:pPr>
  </w:style>
  <w:style w:type="paragraph" w:styleId="ListBullet">
    <w:name w:val="List Bullet"/>
    <w:basedOn w:val="Normal"/>
    <w:autoRedefine/>
    <w:rsid w:val="00B20051"/>
    <w:pPr>
      <w:numPr>
        <w:numId w:val="3"/>
      </w:numPr>
    </w:pPr>
  </w:style>
  <w:style w:type="paragraph" w:styleId="ListBullet2">
    <w:name w:val="List Bullet 2"/>
    <w:basedOn w:val="Normal"/>
    <w:autoRedefine/>
    <w:rsid w:val="00B20051"/>
    <w:pPr>
      <w:numPr>
        <w:numId w:val="4"/>
      </w:numPr>
    </w:pPr>
  </w:style>
  <w:style w:type="paragraph" w:styleId="ListBullet3">
    <w:name w:val="List Bullet 3"/>
    <w:basedOn w:val="Normal"/>
    <w:autoRedefine/>
    <w:rsid w:val="00B20051"/>
    <w:pPr>
      <w:numPr>
        <w:numId w:val="5"/>
      </w:numPr>
    </w:pPr>
  </w:style>
  <w:style w:type="paragraph" w:styleId="ListBullet4">
    <w:name w:val="List Bullet 4"/>
    <w:basedOn w:val="Normal"/>
    <w:autoRedefine/>
    <w:rsid w:val="00B20051"/>
    <w:pPr>
      <w:ind w:firstLine="0"/>
    </w:pPr>
  </w:style>
  <w:style w:type="paragraph" w:styleId="ListBullet5">
    <w:name w:val="List Bullet 5"/>
    <w:basedOn w:val="Normal"/>
    <w:autoRedefine/>
    <w:rsid w:val="00B20051"/>
    <w:pPr>
      <w:numPr>
        <w:numId w:val="7"/>
      </w:numPr>
    </w:pPr>
  </w:style>
  <w:style w:type="paragraph" w:styleId="ListContinue">
    <w:name w:val="List Continue"/>
    <w:basedOn w:val="Normal"/>
    <w:rsid w:val="00B20051"/>
    <w:pPr>
      <w:spacing w:after="120"/>
      <w:ind w:left="283"/>
    </w:pPr>
  </w:style>
  <w:style w:type="paragraph" w:styleId="ListContinue2">
    <w:name w:val="List Continue 2"/>
    <w:basedOn w:val="Normal"/>
    <w:rsid w:val="00B20051"/>
    <w:pPr>
      <w:spacing w:after="120"/>
      <w:ind w:left="566"/>
    </w:pPr>
  </w:style>
  <w:style w:type="paragraph" w:styleId="ListContinue3">
    <w:name w:val="List Continue 3"/>
    <w:basedOn w:val="Normal"/>
    <w:rsid w:val="00B20051"/>
    <w:pPr>
      <w:spacing w:after="120"/>
      <w:ind w:left="849"/>
    </w:pPr>
  </w:style>
  <w:style w:type="paragraph" w:styleId="ListContinue4">
    <w:name w:val="List Continue 4"/>
    <w:basedOn w:val="Normal"/>
    <w:rsid w:val="00B20051"/>
    <w:pPr>
      <w:spacing w:after="120"/>
      <w:ind w:left="1132"/>
    </w:pPr>
  </w:style>
  <w:style w:type="paragraph" w:styleId="ListContinue5">
    <w:name w:val="List Continue 5"/>
    <w:basedOn w:val="Normal"/>
    <w:rsid w:val="00B20051"/>
    <w:pPr>
      <w:spacing w:after="120"/>
      <w:ind w:left="1415"/>
    </w:pPr>
  </w:style>
  <w:style w:type="paragraph" w:styleId="ListNumber">
    <w:name w:val="List Number"/>
    <w:basedOn w:val="Normal"/>
    <w:rsid w:val="00B20051"/>
    <w:pPr>
      <w:numPr>
        <w:numId w:val="8"/>
      </w:numPr>
    </w:pPr>
  </w:style>
  <w:style w:type="paragraph" w:styleId="ListNumber2">
    <w:name w:val="List Number 2"/>
    <w:basedOn w:val="Normal"/>
    <w:rsid w:val="00B20051"/>
    <w:pPr>
      <w:numPr>
        <w:numId w:val="9"/>
      </w:numPr>
    </w:pPr>
  </w:style>
  <w:style w:type="paragraph" w:styleId="ListNumber3">
    <w:name w:val="List Number 3"/>
    <w:basedOn w:val="Normal"/>
    <w:rsid w:val="00B20051"/>
    <w:pPr>
      <w:numPr>
        <w:numId w:val="10"/>
      </w:numPr>
    </w:pPr>
  </w:style>
  <w:style w:type="paragraph" w:styleId="ListNumber4">
    <w:name w:val="List Number 4"/>
    <w:basedOn w:val="Normal"/>
    <w:rsid w:val="00B20051"/>
    <w:pPr>
      <w:numPr>
        <w:numId w:val="11"/>
      </w:numPr>
    </w:pPr>
  </w:style>
  <w:style w:type="paragraph" w:styleId="ListNumber5">
    <w:name w:val="List Number 5"/>
    <w:basedOn w:val="Normal"/>
    <w:rsid w:val="00B20051"/>
    <w:pPr>
      <w:numPr>
        <w:numId w:val="12"/>
      </w:numPr>
    </w:pPr>
  </w:style>
  <w:style w:type="paragraph" w:styleId="MacroText">
    <w:name w:val="macro"/>
    <w:semiHidden/>
    <w:rsid w:val="00B20051"/>
    <w:pPr>
      <w:tabs>
        <w:tab w:val="left" w:pos="480"/>
        <w:tab w:val="left" w:pos="960"/>
        <w:tab w:val="left" w:pos="1440"/>
        <w:tab w:val="left" w:pos="1920"/>
        <w:tab w:val="left" w:pos="2400"/>
        <w:tab w:val="left" w:pos="2880"/>
        <w:tab w:val="left" w:pos="3360"/>
        <w:tab w:val="left" w:pos="3840"/>
        <w:tab w:val="left" w:pos="4320"/>
      </w:tabs>
      <w:ind w:firstLine="567"/>
      <w:jc w:val="both"/>
    </w:pPr>
    <w:rPr>
      <w:rFonts w:ascii="Courier New" w:hAnsi="Courier New"/>
      <w:lang w:val="en-GB" w:eastAsia="en-US"/>
    </w:rPr>
  </w:style>
  <w:style w:type="paragraph" w:styleId="MessageHeader">
    <w:name w:val="Message Header"/>
    <w:basedOn w:val="Normal"/>
    <w:rsid w:val="00B20051"/>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rsid w:val="00B20051"/>
    <w:pPr>
      <w:ind w:left="720"/>
    </w:pPr>
  </w:style>
  <w:style w:type="paragraph" w:styleId="NoteHeading">
    <w:name w:val="Note Heading"/>
    <w:basedOn w:val="Normal"/>
    <w:next w:val="Normal"/>
    <w:rsid w:val="00B20051"/>
  </w:style>
  <w:style w:type="paragraph" w:styleId="PlainText">
    <w:name w:val="Plain Text"/>
    <w:basedOn w:val="Normal"/>
    <w:rsid w:val="00B20051"/>
    <w:rPr>
      <w:rFonts w:ascii="Courier New" w:hAnsi="Courier New"/>
      <w:sz w:val="20"/>
    </w:rPr>
  </w:style>
  <w:style w:type="paragraph" w:styleId="Salutation">
    <w:name w:val="Salutation"/>
    <w:basedOn w:val="Normal"/>
    <w:next w:val="Normal"/>
    <w:rsid w:val="00B20051"/>
  </w:style>
  <w:style w:type="paragraph" w:styleId="Signature">
    <w:name w:val="Signature"/>
    <w:basedOn w:val="Normal"/>
    <w:rsid w:val="00B20051"/>
    <w:pPr>
      <w:ind w:left="4252"/>
    </w:pPr>
  </w:style>
  <w:style w:type="paragraph" w:styleId="Subtitle">
    <w:name w:val="Subtitle"/>
    <w:basedOn w:val="Normal"/>
    <w:qFormat/>
    <w:rsid w:val="00B20051"/>
    <w:pPr>
      <w:spacing w:after="60"/>
      <w:jc w:val="center"/>
      <w:outlineLvl w:val="1"/>
    </w:pPr>
    <w:rPr>
      <w:rFonts w:ascii="Arial" w:hAnsi="Arial"/>
    </w:rPr>
  </w:style>
  <w:style w:type="paragraph" w:styleId="TableofAuthorities">
    <w:name w:val="table of authorities"/>
    <w:basedOn w:val="Normal"/>
    <w:next w:val="Normal"/>
    <w:semiHidden/>
    <w:rsid w:val="00B20051"/>
    <w:pPr>
      <w:ind w:left="240" w:hanging="240"/>
    </w:pPr>
  </w:style>
  <w:style w:type="paragraph" w:styleId="TableofFigures">
    <w:name w:val="table of figures"/>
    <w:basedOn w:val="Normal"/>
    <w:next w:val="Normal"/>
    <w:semiHidden/>
    <w:rsid w:val="00B20051"/>
    <w:pPr>
      <w:ind w:left="480" w:hanging="480"/>
    </w:pPr>
  </w:style>
  <w:style w:type="paragraph" w:styleId="Title">
    <w:name w:val="Title"/>
    <w:basedOn w:val="Normal"/>
    <w:qFormat/>
    <w:rsid w:val="00B20051"/>
    <w:pPr>
      <w:spacing w:before="240" w:after="60"/>
      <w:jc w:val="center"/>
      <w:outlineLvl w:val="0"/>
    </w:pPr>
    <w:rPr>
      <w:rFonts w:ascii="Arial" w:hAnsi="Arial"/>
      <w:b/>
      <w:kern w:val="28"/>
      <w:sz w:val="32"/>
    </w:rPr>
  </w:style>
  <w:style w:type="paragraph" w:styleId="TOAHeading">
    <w:name w:val="toa heading"/>
    <w:basedOn w:val="Normal"/>
    <w:next w:val="Normal"/>
    <w:semiHidden/>
    <w:rsid w:val="00B20051"/>
    <w:pPr>
      <w:spacing w:before="120"/>
    </w:pPr>
    <w:rPr>
      <w:rFonts w:ascii="Arial" w:hAnsi="Arial"/>
      <w:b/>
    </w:rPr>
  </w:style>
  <w:style w:type="paragraph" w:styleId="TOC1">
    <w:name w:val="toc 1"/>
    <w:basedOn w:val="Normal"/>
    <w:next w:val="Normal"/>
    <w:autoRedefine/>
    <w:semiHidden/>
    <w:rsid w:val="00B20051"/>
  </w:style>
  <w:style w:type="paragraph" w:styleId="TOC2">
    <w:name w:val="toc 2"/>
    <w:basedOn w:val="Normal"/>
    <w:next w:val="Normal"/>
    <w:autoRedefine/>
    <w:semiHidden/>
    <w:rsid w:val="00B20051"/>
    <w:pPr>
      <w:ind w:left="240"/>
    </w:pPr>
  </w:style>
  <w:style w:type="paragraph" w:styleId="TOC3">
    <w:name w:val="toc 3"/>
    <w:basedOn w:val="Normal"/>
    <w:next w:val="Normal"/>
    <w:autoRedefine/>
    <w:semiHidden/>
    <w:rsid w:val="00B20051"/>
    <w:pPr>
      <w:ind w:left="480"/>
    </w:pPr>
  </w:style>
  <w:style w:type="paragraph" w:styleId="TOC4">
    <w:name w:val="toc 4"/>
    <w:basedOn w:val="Normal"/>
    <w:next w:val="Normal"/>
    <w:autoRedefine/>
    <w:semiHidden/>
    <w:rsid w:val="00B20051"/>
    <w:pPr>
      <w:ind w:left="720"/>
    </w:pPr>
  </w:style>
  <w:style w:type="paragraph" w:styleId="TOC5">
    <w:name w:val="toc 5"/>
    <w:basedOn w:val="Normal"/>
    <w:next w:val="Normal"/>
    <w:autoRedefine/>
    <w:semiHidden/>
    <w:rsid w:val="00B20051"/>
    <w:pPr>
      <w:ind w:left="960"/>
    </w:pPr>
  </w:style>
  <w:style w:type="paragraph" w:styleId="TOC6">
    <w:name w:val="toc 6"/>
    <w:basedOn w:val="Normal"/>
    <w:next w:val="Normal"/>
    <w:autoRedefine/>
    <w:semiHidden/>
    <w:rsid w:val="00B20051"/>
    <w:pPr>
      <w:ind w:left="1200"/>
    </w:pPr>
  </w:style>
  <w:style w:type="paragraph" w:styleId="TOC7">
    <w:name w:val="toc 7"/>
    <w:basedOn w:val="Normal"/>
    <w:next w:val="Normal"/>
    <w:autoRedefine/>
    <w:semiHidden/>
    <w:rsid w:val="00B20051"/>
    <w:pPr>
      <w:ind w:left="1440"/>
    </w:pPr>
  </w:style>
  <w:style w:type="paragraph" w:styleId="TOC8">
    <w:name w:val="toc 8"/>
    <w:basedOn w:val="Normal"/>
    <w:next w:val="Normal"/>
    <w:autoRedefine/>
    <w:semiHidden/>
    <w:rsid w:val="00B20051"/>
    <w:pPr>
      <w:ind w:left="1680"/>
    </w:pPr>
  </w:style>
  <w:style w:type="paragraph" w:styleId="TOC9">
    <w:name w:val="toc 9"/>
    <w:basedOn w:val="Normal"/>
    <w:next w:val="Normal"/>
    <w:autoRedefine/>
    <w:semiHidden/>
    <w:rsid w:val="00B20051"/>
    <w:pPr>
      <w:ind w:left="1920"/>
    </w:pPr>
  </w:style>
  <w:style w:type="paragraph" w:customStyle="1" w:styleId="References">
    <w:name w:val="References"/>
    <w:basedOn w:val="Normal"/>
    <w:rsid w:val="00B20051"/>
    <w:pPr>
      <w:spacing w:before="40" w:line="200" w:lineRule="atLeast"/>
      <w:ind w:left="426" w:hanging="426"/>
    </w:pPr>
    <w:rPr>
      <w:sz w:val="18"/>
    </w:rPr>
  </w:style>
  <w:style w:type="character" w:styleId="CommentReference">
    <w:name w:val="annotation reference"/>
    <w:semiHidden/>
    <w:rsid w:val="00B20051"/>
    <w:rPr>
      <w:sz w:val="16"/>
    </w:rPr>
  </w:style>
  <w:style w:type="paragraph" w:customStyle="1" w:styleId="Equation">
    <w:name w:val="Equation"/>
    <w:basedOn w:val="Normal"/>
    <w:next w:val="Normal"/>
    <w:rsid w:val="00B20051"/>
    <w:pPr>
      <w:spacing w:before="120" w:after="120" w:line="260" w:lineRule="atLeast"/>
      <w:ind w:firstLine="0"/>
    </w:pPr>
    <w:rPr>
      <w:sz w:val="22"/>
    </w:rPr>
  </w:style>
  <w:style w:type="paragraph" w:customStyle="1" w:styleId="FigureCaption">
    <w:name w:val="Figure_Caption"/>
    <w:basedOn w:val="Normal"/>
    <w:rsid w:val="00B20051"/>
    <w:pPr>
      <w:spacing w:before="120" w:after="120"/>
      <w:ind w:firstLine="0"/>
      <w:jc w:val="center"/>
    </w:pPr>
    <w:rPr>
      <w:iCs/>
      <w:sz w:val="20"/>
      <w:szCs w:val="24"/>
    </w:rPr>
  </w:style>
  <w:style w:type="paragraph" w:customStyle="1" w:styleId="TableCaption">
    <w:name w:val="Table_Caption"/>
    <w:basedOn w:val="Normal"/>
    <w:rsid w:val="00B20051"/>
    <w:pPr>
      <w:keepNext/>
      <w:spacing w:before="240" w:after="120"/>
      <w:ind w:firstLine="0"/>
      <w:jc w:val="center"/>
    </w:pPr>
    <w:rPr>
      <w:sz w:val="20"/>
      <w:szCs w:val="24"/>
    </w:rPr>
  </w:style>
  <w:style w:type="character" w:customStyle="1" w:styleId="CharChar">
    <w:name w:val="Char Char"/>
    <w:rsid w:val="00B20051"/>
    <w:rPr>
      <w:sz w:val="24"/>
      <w:lang w:val="en-US" w:eastAsia="en-US" w:bidi="ar-SA"/>
    </w:rPr>
  </w:style>
  <w:style w:type="character" w:styleId="Emphasis">
    <w:name w:val="Emphasis"/>
    <w:uiPriority w:val="20"/>
    <w:qFormat/>
    <w:rsid w:val="0048312F"/>
    <w:rPr>
      <w:b/>
      <w:bCs/>
      <w:i w:val="0"/>
      <w:iCs w:val="0"/>
    </w:rPr>
  </w:style>
  <w:style w:type="paragraph" w:styleId="BalloonText">
    <w:name w:val="Balloon Text"/>
    <w:basedOn w:val="Normal"/>
    <w:link w:val="BalloonTextChar"/>
    <w:rsid w:val="00A93879"/>
    <w:rPr>
      <w:rFonts w:ascii="Tahoma" w:hAnsi="Tahoma" w:cs="Tahoma"/>
      <w:sz w:val="16"/>
      <w:szCs w:val="16"/>
    </w:rPr>
  </w:style>
  <w:style w:type="character" w:customStyle="1" w:styleId="BalloonTextChar">
    <w:name w:val="Balloon Text Char"/>
    <w:link w:val="BalloonText"/>
    <w:rsid w:val="00A93879"/>
    <w:rPr>
      <w:rFonts w:ascii="Tahoma" w:hAnsi="Tahoma" w:cs="Tahoma"/>
      <w:sz w:val="16"/>
      <w:szCs w:val="16"/>
      <w:lang w:val="en-GB"/>
    </w:rPr>
  </w:style>
  <w:style w:type="paragraph" w:styleId="CommentSubject">
    <w:name w:val="annotation subject"/>
    <w:basedOn w:val="CommentText"/>
    <w:next w:val="CommentText"/>
    <w:link w:val="CommentSubjectChar"/>
    <w:rsid w:val="008D04CE"/>
    <w:rPr>
      <w:b/>
      <w:bCs/>
    </w:rPr>
  </w:style>
  <w:style w:type="character" w:customStyle="1" w:styleId="CommentTextChar">
    <w:name w:val="Comment Text Char"/>
    <w:link w:val="CommentText"/>
    <w:semiHidden/>
    <w:rsid w:val="008D04CE"/>
    <w:rPr>
      <w:lang w:val="en-GB"/>
    </w:rPr>
  </w:style>
  <w:style w:type="character" w:customStyle="1" w:styleId="CommentSubjectChar">
    <w:name w:val="Comment Subject Char"/>
    <w:basedOn w:val="CommentTextChar"/>
    <w:link w:val="CommentSubject"/>
    <w:rsid w:val="008D04CE"/>
    <w:rPr>
      <w:lang w:val="en-GB"/>
    </w:rPr>
  </w:style>
  <w:style w:type="character" w:customStyle="1" w:styleId="HeaderChar">
    <w:name w:val="Header Char"/>
    <w:link w:val="Header"/>
    <w:rsid w:val="005339C3"/>
    <w:rPr>
      <w:sz w:val="18"/>
      <w:lang w:val="en-US" w:eastAsia="en-US"/>
    </w:rPr>
  </w:style>
  <w:style w:type="character" w:customStyle="1" w:styleId="FooterChar">
    <w:name w:val="Footer Char"/>
    <w:link w:val="Footer"/>
    <w:uiPriority w:val="99"/>
    <w:rsid w:val="005339C3"/>
    <w:rPr>
      <w:sz w:val="18"/>
      <w:lang w:val="en-US" w:eastAsia="en-US"/>
    </w:rPr>
  </w:style>
  <w:style w:type="character" w:customStyle="1" w:styleId="UnresolvedMention">
    <w:name w:val="Unresolved Mention"/>
    <w:basedOn w:val="DefaultParagraphFont"/>
    <w:uiPriority w:val="99"/>
    <w:semiHidden/>
    <w:unhideWhenUsed/>
    <w:rsid w:val="009045AB"/>
    <w:rPr>
      <w:color w:val="605E5C"/>
      <w:shd w:val="clear" w:color="auto" w:fill="E1DFDD"/>
    </w:rPr>
  </w:style>
  <w:style w:type="paragraph" w:styleId="Revision">
    <w:name w:val="Revision"/>
    <w:hidden/>
    <w:uiPriority w:val="99"/>
    <w:semiHidden/>
    <w:rsid w:val="002E6BB8"/>
    <w:rPr>
      <w:sz w:val="24"/>
      <w:lang w:val="en-GB" w:eastAsia="en-US"/>
    </w:rPr>
  </w:style>
  <w:style w:type="paragraph" w:customStyle="1" w:styleId="Els-Title">
    <w:name w:val="Els-Title"/>
    <w:next w:val="Normal"/>
    <w:autoRedefine/>
    <w:rsid w:val="0037549D"/>
    <w:pPr>
      <w:suppressAutoHyphens/>
      <w:spacing w:after="240" w:line="400" w:lineRule="exact"/>
      <w:jc w:val="center"/>
    </w:pPr>
    <w:rPr>
      <w:rFonts w:ascii="Arial" w:eastAsia="SimSun" w:hAnsi="Arial" w:cs="Arial"/>
      <w:b/>
      <w:sz w:val="28"/>
      <w:szCs w:val="28"/>
      <w:lang w:val="en-US" w:eastAsia="en-US"/>
    </w:rPr>
  </w:style>
  <w:style w:type="paragraph" w:customStyle="1" w:styleId="Els-Affiliation">
    <w:name w:val="Els-Affiliation"/>
    <w:next w:val="Normal"/>
    <w:rsid w:val="0037549D"/>
    <w:pPr>
      <w:suppressAutoHyphens/>
      <w:spacing w:line="200" w:lineRule="exact"/>
      <w:jc w:val="center"/>
    </w:pPr>
    <w:rPr>
      <w:rFonts w:eastAsia="SimSun"/>
      <w:i/>
      <w:noProof/>
      <w:sz w:val="16"/>
      <w:lang w:val="en-US" w:eastAsia="en-US"/>
    </w:rPr>
  </w:style>
  <w:style w:type="paragraph" w:customStyle="1" w:styleId="93Emptyline">
    <w:name w:val="93 Empty line"/>
    <w:basedOn w:val="Normal"/>
    <w:rsid w:val="003D116C"/>
    <w:pPr>
      <w:ind w:firstLine="0"/>
      <w:jc w:val="left"/>
    </w:pPr>
    <w:rPr>
      <w:sz w:val="16"/>
    </w:rPr>
  </w:style>
  <w:style w:type="paragraph" w:customStyle="1" w:styleId="6Sectionheadings">
    <w:name w:val="6 Section headings"/>
    <w:rsid w:val="003D116C"/>
    <w:pPr>
      <w:numPr>
        <w:numId w:val="20"/>
      </w:numPr>
      <w:spacing w:before="240" w:after="60"/>
    </w:pPr>
    <w:rPr>
      <w:b/>
      <w:sz w:val="24"/>
      <w:lang w:val="en-GB" w:eastAsia="en-US"/>
    </w:rPr>
  </w:style>
  <w:style w:type="paragraph" w:styleId="NormalWeb">
    <w:name w:val="Normal (Web)"/>
    <w:basedOn w:val="Normal"/>
    <w:uiPriority w:val="99"/>
    <w:unhideWhenUsed/>
    <w:rsid w:val="003D116C"/>
    <w:pPr>
      <w:spacing w:before="100" w:beforeAutospacing="1" w:after="100" w:afterAutospacing="1"/>
      <w:ind w:firstLine="0"/>
      <w:jc w:val="left"/>
    </w:pPr>
    <w:rPr>
      <w:szCs w:val="24"/>
      <w:lang w:val="en-US"/>
    </w:rPr>
  </w:style>
  <w:style w:type="paragraph" w:styleId="ListParagraph">
    <w:name w:val="List Paragraph"/>
    <w:basedOn w:val="Normal"/>
    <w:link w:val="ListParagraphChar"/>
    <w:uiPriority w:val="34"/>
    <w:qFormat/>
    <w:rsid w:val="00825C91"/>
    <w:pPr>
      <w:spacing w:after="200" w:line="276" w:lineRule="auto"/>
      <w:ind w:left="720" w:firstLine="0"/>
      <w:contextualSpacing/>
      <w:jc w:val="left"/>
    </w:pPr>
    <w:rPr>
      <w:rFonts w:ascii="Calibri" w:eastAsia="SimSun" w:hAnsi="Calibri"/>
      <w:sz w:val="22"/>
      <w:szCs w:val="22"/>
      <w:lang w:val="en-US" w:eastAsia="zh-CN"/>
    </w:rPr>
  </w:style>
  <w:style w:type="paragraph" w:customStyle="1" w:styleId="91TableFigureTitle">
    <w:name w:val="91 Table Figure Title"/>
    <w:rsid w:val="00825C91"/>
    <w:pPr>
      <w:spacing w:before="120" w:after="120"/>
    </w:pPr>
    <w:rPr>
      <w:b/>
      <w:sz w:val="16"/>
      <w:lang w:val="en-GB" w:eastAsia="en-US"/>
    </w:rPr>
  </w:style>
  <w:style w:type="character" w:customStyle="1" w:styleId="ListParagraphChar">
    <w:name w:val="List Paragraph Char"/>
    <w:link w:val="ListParagraph"/>
    <w:uiPriority w:val="1"/>
    <w:rsid w:val="00825C91"/>
    <w:rPr>
      <w:rFonts w:ascii="Calibri" w:eastAsia="SimSun" w:hAnsi="Calibri"/>
      <w:sz w:val="22"/>
      <w:szCs w:val="22"/>
      <w:lang w:val="en-US" w:eastAsia="zh-CN"/>
    </w:rPr>
  </w:style>
  <w:style w:type="paragraph" w:customStyle="1" w:styleId="7Sectionsubheading1">
    <w:name w:val="7 Section sub heading 1"/>
    <w:rsid w:val="00532A04"/>
    <w:pPr>
      <w:spacing w:before="60" w:after="60"/>
    </w:pPr>
    <w:rPr>
      <w:b/>
      <w:i/>
      <w:sz w:val="22"/>
      <w:lang w:val="en-GB" w:eastAsia="en-US"/>
    </w:rPr>
  </w:style>
  <w:style w:type="character" w:customStyle="1" w:styleId="katex-mathml">
    <w:name w:val="katex-mathml"/>
    <w:basedOn w:val="DefaultParagraphFont"/>
    <w:rsid w:val="00A4037F"/>
  </w:style>
  <w:style w:type="character" w:customStyle="1" w:styleId="mord">
    <w:name w:val="mord"/>
    <w:basedOn w:val="DefaultParagraphFont"/>
    <w:rsid w:val="00A4037F"/>
  </w:style>
  <w:style w:type="character" w:customStyle="1" w:styleId="mpunct">
    <w:name w:val="mpunct"/>
    <w:basedOn w:val="DefaultParagraphFont"/>
    <w:rsid w:val="00A4037F"/>
  </w:style>
  <w:style w:type="character" w:customStyle="1" w:styleId="mrel">
    <w:name w:val="mrel"/>
    <w:basedOn w:val="DefaultParagraphFont"/>
    <w:rsid w:val="00AE208B"/>
  </w:style>
  <w:style w:type="paragraph" w:customStyle="1" w:styleId="Default">
    <w:name w:val="Default"/>
    <w:rsid w:val="00AE208B"/>
    <w:pPr>
      <w:autoSpaceDE w:val="0"/>
      <w:autoSpaceDN w:val="0"/>
      <w:adjustRightInd w:val="0"/>
    </w:pPr>
    <w:rPr>
      <w:rFonts w:eastAsiaTheme="minorHAnsi"/>
      <w:color w:val="000000"/>
      <w:sz w:val="24"/>
      <w:szCs w:val="24"/>
      <w:lang w:val="en-US" w:eastAsia="en-US"/>
    </w:rPr>
  </w:style>
  <w:style w:type="character" w:customStyle="1" w:styleId="vlist-s">
    <w:name w:val="vlist-s"/>
    <w:basedOn w:val="DefaultParagraphFont"/>
    <w:rsid w:val="00380D88"/>
  </w:style>
  <w:style w:type="character" w:styleId="Strong">
    <w:name w:val="Strong"/>
    <w:basedOn w:val="DefaultParagraphFont"/>
    <w:uiPriority w:val="22"/>
    <w:qFormat/>
    <w:rsid w:val="00E54D11"/>
    <w:rPr>
      <w:b/>
      <w:bCs/>
    </w:rPr>
  </w:style>
  <w:style w:type="character" w:customStyle="1" w:styleId="overflow-hidden">
    <w:name w:val="overflow-hidden"/>
    <w:basedOn w:val="DefaultParagraphFont"/>
    <w:rsid w:val="005922D0"/>
  </w:style>
  <w:style w:type="character" w:customStyle="1" w:styleId="mbin">
    <w:name w:val="mbin"/>
    <w:basedOn w:val="DefaultParagraphFont"/>
    <w:rsid w:val="002608D7"/>
  </w:style>
  <w:style w:type="character" w:customStyle="1" w:styleId="mopen">
    <w:name w:val="mopen"/>
    <w:basedOn w:val="DefaultParagraphFont"/>
    <w:rsid w:val="0095748C"/>
  </w:style>
  <w:style w:type="character" w:customStyle="1" w:styleId="mclose">
    <w:name w:val="mclose"/>
    <w:basedOn w:val="DefaultParagraphFont"/>
    <w:rsid w:val="0095748C"/>
  </w:style>
  <w:style w:type="character" w:customStyle="1" w:styleId="delimsizing">
    <w:name w:val="delimsizing"/>
    <w:basedOn w:val="DefaultParagraphFont"/>
    <w:rsid w:val="0095748C"/>
  </w:style>
</w:styles>
</file>

<file path=word/webSettings.xml><?xml version="1.0" encoding="utf-8"?>
<w:webSettings xmlns:r="http://schemas.openxmlformats.org/officeDocument/2006/relationships" xmlns:w="http://schemas.openxmlformats.org/wordprocessingml/2006/main">
  <w:divs>
    <w:div w:id="302852875">
      <w:bodyDiv w:val="1"/>
      <w:marLeft w:val="0"/>
      <w:marRight w:val="0"/>
      <w:marTop w:val="0"/>
      <w:marBottom w:val="0"/>
      <w:divBdr>
        <w:top w:val="none" w:sz="0" w:space="0" w:color="auto"/>
        <w:left w:val="none" w:sz="0" w:space="0" w:color="auto"/>
        <w:bottom w:val="none" w:sz="0" w:space="0" w:color="auto"/>
        <w:right w:val="none" w:sz="0" w:space="0" w:color="auto"/>
      </w:divBdr>
    </w:div>
    <w:div w:id="419065226">
      <w:bodyDiv w:val="1"/>
      <w:marLeft w:val="0"/>
      <w:marRight w:val="0"/>
      <w:marTop w:val="0"/>
      <w:marBottom w:val="0"/>
      <w:divBdr>
        <w:top w:val="none" w:sz="0" w:space="0" w:color="auto"/>
        <w:left w:val="none" w:sz="0" w:space="0" w:color="auto"/>
        <w:bottom w:val="none" w:sz="0" w:space="0" w:color="auto"/>
        <w:right w:val="none" w:sz="0" w:space="0" w:color="auto"/>
      </w:divBdr>
    </w:div>
    <w:div w:id="505096396">
      <w:bodyDiv w:val="1"/>
      <w:marLeft w:val="0"/>
      <w:marRight w:val="0"/>
      <w:marTop w:val="0"/>
      <w:marBottom w:val="0"/>
      <w:divBdr>
        <w:top w:val="none" w:sz="0" w:space="0" w:color="auto"/>
        <w:left w:val="none" w:sz="0" w:space="0" w:color="auto"/>
        <w:bottom w:val="none" w:sz="0" w:space="0" w:color="auto"/>
        <w:right w:val="none" w:sz="0" w:space="0" w:color="auto"/>
      </w:divBdr>
    </w:div>
    <w:div w:id="722557545">
      <w:bodyDiv w:val="1"/>
      <w:marLeft w:val="0"/>
      <w:marRight w:val="0"/>
      <w:marTop w:val="0"/>
      <w:marBottom w:val="0"/>
      <w:divBdr>
        <w:top w:val="none" w:sz="0" w:space="0" w:color="auto"/>
        <w:left w:val="none" w:sz="0" w:space="0" w:color="auto"/>
        <w:bottom w:val="none" w:sz="0" w:space="0" w:color="auto"/>
        <w:right w:val="none" w:sz="0" w:space="0" w:color="auto"/>
      </w:divBdr>
    </w:div>
    <w:div w:id="766850531">
      <w:bodyDiv w:val="1"/>
      <w:marLeft w:val="0"/>
      <w:marRight w:val="0"/>
      <w:marTop w:val="0"/>
      <w:marBottom w:val="0"/>
      <w:divBdr>
        <w:top w:val="none" w:sz="0" w:space="0" w:color="auto"/>
        <w:left w:val="none" w:sz="0" w:space="0" w:color="auto"/>
        <w:bottom w:val="none" w:sz="0" w:space="0" w:color="auto"/>
        <w:right w:val="none" w:sz="0" w:space="0" w:color="auto"/>
      </w:divBdr>
    </w:div>
    <w:div w:id="845904642">
      <w:bodyDiv w:val="1"/>
      <w:marLeft w:val="0"/>
      <w:marRight w:val="0"/>
      <w:marTop w:val="0"/>
      <w:marBottom w:val="0"/>
      <w:divBdr>
        <w:top w:val="none" w:sz="0" w:space="0" w:color="auto"/>
        <w:left w:val="none" w:sz="0" w:space="0" w:color="auto"/>
        <w:bottom w:val="none" w:sz="0" w:space="0" w:color="auto"/>
        <w:right w:val="none" w:sz="0" w:space="0" w:color="auto"/>
      </w:divBdr>
    </w:div>
    <w:div w:id="914244501">
      <w:bodyDiv w:val="1"/>
      <w:marLeft w:val="0"/>
      <w:marRight w:val="0"/>
      <w:marTop w:val="0"/>
      <w:marBottom w:val="0"/>
      <w:divBdr>
        <w:top w:val="none" w:sz="0" w:space="0" w:color="auto"/>
        <w:left w:val="none" w:sz="0" w:space="0" w:color="auto"/>
        <w:bottom w:val="none" w:sz="0" w:space="0" w:color="auto"/>
        <w:right w:val="none" w:sz="0" w:space="0" w:color="auto"/>
      </w:divBdr>
    </w:div>
    <w:div w:id="917710385">
      <w:bodyDiv w:val="1"/>
      <w:marLeft w:val="0"/>
      <w:marRight w:val="0"/>
      <w:marTop w:val="0"/>
      <w:marBottom w:val="0"/>
      <w:divBdr>
        <w:top w:val="none" w:sz="0" w:space="0" w:color="auto"/>
        <w:left w:val="none" w:sz="0" w:space="0" w:color="auto"/>
        <w:bottom w:val="none" w:sz="0" w:space="0" w:color="auto"/>
        <w:right w:val="none" w:sz="0" w:space="0" w:color="auto"/>
      </w:divBdr>
    </w:div>
    <w:div w:id="1135870868">
      <w:bodyDiv w:val="1"/>
      <w:marLeft w:val="0"/>
      <w:marRight w:val="0"/>
      <w:marTop w:val="0"/>
      <w:marBottom w:val="0"/>
      <w:divBdr>
        <w:top w:val="none" w:sz="0" w:space="0" w:color="auto"/>
        <w:left w:val="none" w:sz="0" w:space="0" w:color="auto"/>
        <w:bottom w:val="none" w:sz="0" w:space="0" w:color="auto"/>
        <w:right w:val="none" w:sz="0" w:space="0" w:color="auto"/>
      </w:divBdr>
    </w:div>
    <w:div w:id="1234319954">
      <w:bodyDiv w:val="1"/>
      <w:marLeft w:val="0"/>
      <w:marRight w:val="0"/>
      <w:marTop w:val="0"/>
      <w:marBottom w:val="0"/>
      <w:divBdr>
        <w:top w:val="none" w:sz="0" w:space="0" w:color="auto"/>
        <w:left w:val="none" w:sz="0" w:space="0" w:color="auto"/>
        <w:bottom w:val="none" w:sz="0" w:space="0" w:color="auto"/>
        <w:right w:val="none" w:sz="0" w:space="0" w:color="auto"/>
      </w:divBdr>
    </w:div>
    <w:div w:id="1297877424">
      <w:bodyDiv w:val="1"/>
      <w:marLeft w:val="0"/>
      <w:marRight w:val="0"/>
      <w:marTop w:val="0"/>
      <w:marBottom w:val="0"/>
      <w:divBdr>
        <w:top w:val="none" w:sz="0" w:space="0" w:color="auto"/>
        <w:left w:val="none" w:sz="0" w:space="0" w:color="auto"/>
        <w:bottom w:val="none" w:sz="0" w:space="0" w:color="auto"/>
        <w:right w:val="none" w:sz="0" w:space="0" w:color="auto"/>
      </w:divBdr>
      <w:divsChild>
        <w:div w:id="1754814995">
          <w:marLeft w:val="0"/>
          <w:marRight w:val="0"/>
          <w:marTop w:val="0"/>
          <w:marBottom w:val="0"/>
          <w:divBdr>
            <w:top w:val="none" w:sz="0" w:space="0" w:color="auto"/>
            <w:left w:val="none" w:sz="0" w:space="0" w:color="auto"/>
            <w:bottom w:val="none" w:sz="0" w:space="0" w:color="auto"/>
            <w:right w:val="none" w:sz="0" w:space="0" w:color="auto"/>
          </w:divBdr>
          <w:divsChild>
            <w:div w:id="1626738845">
              <w:marLeft w:val="0"/>
              <w:marRight w:val="0"/>
              <w:marTop w:val="0"/>
              <w:marBottom w:val="0"/>
              <w:divBdr>
                <w:top w:val="none" w:sz="0" w:space="0" w:color="auto"/>
                <w:left w:val="none" w:sz="0" w:space="0" w:color="auto"/>
                <w:bottom w:val="none" w:sz="0" w:space="0" w:color="auto"/>
                <w:right w:val="none" w:sz="0" w:space="0" w:color="auto"/>
              </w:divBdr>
              <w:divsChild>
                <w:div w:id="1646663454">
                  <w:marLeft w:val="0"/>
                  <w:marRight w:val="0"/>
                  <w:marTop w:val="0"/>
                  <w:marBottom w:val="0"/>
                  <w:divBdr>
                    <w:top w:val="none" w:sz="0" w:space="0" w:color="auto"/>
                    <w:left w:val="none" w:sz="0" w:space="0" w:color="auto"/>
                    <w:bottom w:val="none" w:sz="0" w:space="0" w:color="auto"/>
                    <w:right w:val="none" w:sz="0" w:space="0" w:color="auto"/>
                  </w:divBdr>
                  <w:divsChild>
                    <w:div w:id="90638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77122">
          <w:marLeft w:val="0"/>
          <w:marRight w:val="0"/>
          <w:marTop w:val="0"/>
          <w:marBottom w:val="0"/>
          <w:divBdr>
            <w:top w:val="none" w:sz="0" w:space="0" w:color="auto"/>
            <w:left w:val="none" w:sz="0" w:space="0" w:color="auto"/>
            <w:bottom w:val="none" w:sz="0" w:space="0" w:color="auto"/>
            <w:right w:val="none" w:sz="0" w:space="0" w:color="auto"/>
          </w:divBdr>
          <w:divsChild>
            <w:div w:id="1157644524">
              <w:marLeft w:val="0"/>
              <w:marRight w:val="0"/>
              <w:marTop w:val="0"/>
              <w:marBottom w:val="0"/>
              <w:divBdr>
                <w:top w:val="none" w:sz="0" w:space="0" w:color="auto"/>
                <w:left w:val="none" w:sz="0" w:space="0" w:color="auto"/>
                <w:bottom w:val="none" w:sz="0" w:space="0" w:color="auto"/>
                <w:right w:val="none" w:sz="0" w:space="0" w:color="auto"/>
              </w:divBdr>
              <w:divsChild>
                <w:div w:id="1117792197">
                  <w:marLeft w:val="0"/>
                  <w:marRight w:val="0"/>
                  <w:marTop w:val="0"/>
                  <w:marBottom w:val="0"/>
                  <w:divBdr>
                    <w:top w:val="none" w:sz="0" w:space="0" w:color="auto"/>
                    <w:left w:val="none" w:sz="0" w:space="0" w:color="auto"/>
                    <w:bottom w:val="none" w:sz="0" w:space="0" w:color="auto"/>
                    <w:right w:val="none" w:sz="0" w:space="0" w:color="auto"/>
                  </w:divBdr>
                  <w:divsChild>
                    <w:div w:id="72086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763087">
      <w:bodyDiv w:val="1"/>
      <w:marLeft w:val="0"/>
      <w:marRight w:val="0"/>
      <w:marTop w:val="0"/>
      <w:marBottom w:val="0"/>
      <w:divBdr>
        <w:top w:val="none" w:sz="0" w:space="0" w:color="auto"/>
        <w:left w:val="none" w:sz="0" w:space="0" w:color="auto"/>
        <w:bottom w:val="none" w:sz="0" w:space="0" w:color="auto"/>
        <w:right w:val="none" w:sz="0" w:space="0" w:color="auto"/>
      </w:divBdr>
    </w:div>
    <w:div w:id="1534223473">
      <w:bodyDiv w:val="1"/>
      <w:marLeft w:val="0"/>
      <w:marRight w:val="0"/>
      <w:marTop w:val="0"/>
      <w:marBottom w:val="0"/>
      <w:divBdr>
        <w:top w:val="none" w:sz="0" w:space="0" w:color="auto"/>
        <w:left w:val="none" w:sz="0" w:space="0" w:color="auto"/>
        <w:bottom w:val="none" w:sz="0" w:space="0" w:color="auto"/>
        <w:right w:val="none" w:sz="0" w:space="0" w:color="auto"/>
      </w:divBdr>
    </w:div>
    <w:div w:id="1543783606">
      <w:bodyDiv w:val="1"/>
      <w:marLeft w:val="0"/>
      <w:marRight w:val="0"/>
      <w:marTop w:val="0"/>
      <w:marBottom w:val="0"/>
      <w:divBdr>
        <w:top w:val="none" w:sz="0" w:space="0" w:color="auto"/>
        <w:left w:val="none" w:sz="0" w:space="0" w:color="auto"/>
        <w:bottom w:val="none" w:sz="0" w:space="0" w:color="auto"/>
        <w:right w:val="none" w:sz="0" w:space="0" w:color="auto"/>
      </w:divBdr>
      <w:divsChild>
        <w:div w:id="911351341">
          <w:marLeft w:val="0"/>
          <w:marRight w:val="0"/>
          <w:marTop w:val="0"/>
          <w:marBottom w:val="0"/>
          <w:divBdr>
            <w:top w:val="none" w:sz="0" w:space="0" w:color="auto"/>
            <w:left w:val="none" w:sz="0" w:space="0" w:color="auto"/>
            <w:bottom w:val="none" w:sz="0" w:space="0" w:color="auto"/>
            <w:right w:val="none" w:sz="0" w:space="0" w:color="auto"/>
          </w:divBdr>
          <w:divsChild>
            <w:div w:id="933897101">
              <w:marLeft w:val="0"/>
              <w:marRight w:val="0"/>
              <w:marTop w:val="0"/>
              <w:marBottom w:val="0"/>
              <w:divBdr>
                <w:top w:val="none" w:sz="0" w:space="0" w:color="auto"/>
                <w:left w:val="none" w:sz="0" w:space="0" w:color="auto"/>
                <w:bottom w:val="none" w:sz="0" w:space="0" w:color="auto"/>
                <w:right w:val="none" w:sz="0" w:space="0" w:color="auto"/>
              </w:divBdr>
              <w:divsChild>
                <w:div w:id="2056737833">
                  <w:marLeft w:val="0"/>
                  <w:marRight w:val="0"/>
                  <w:marTop w:val="0"/>
                  <w:marBottom w:val="0"/>
                  <w:divBdr>
                    <w:top w:val="none" w:sz="0" w:space="0" w:color="auto"/>
                    <w:left w:val="none" w:sz="0" w:space="0" w:color="auto"/>
                    <w:bottom w:val="none" w:sz="0" w:space="0" w:color="auto"/>
                    <w:right w:val="none" w:sz="0" w:space="0" w:color="auto"/>
                  </w:divBdr>
                  <w:divsChild>
                    <w:div w:id="1404182687">
                      <w:marLeft w:val="0"/>
                      <w:marRight w:val="0"/>
                      <w:marTop w:val="0"/>
                      <w:marBottom w:val="0"/>
                      <w:divBdr>
                        <w:top w:val="none" w:sz="0" w:space="0" w:color="auto"/>
                        <w:left w:val="none" w:sz="0" w:space="0" w:color="auto"/>
                        <w:bottom w:val="none" w:sz="0" w:space="0" w:color="auto"/>
                        <w:right w:val="none" w:sz="0" w:space="0" w:color="auto"/>
                      </w:divBdr>
                      <w:divsChild>
                        <w:div w:id="170860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87612">
              <w:marLeft w:val="0"/>
              <w:marRight w:val="0"/>
              <w:marTop w:val="0"/>
              <w:marBottom w:val="0"/>
              <w:divBdr>
                <w:top w:val="none" w:sz="0" w:space="0" w:color="auto"/>
                <w:left w:val="none" w:sz="0" w:space="0" w:color="auto"/>
                <w:bottom w:val="none" w:sz="0" w:space="0" w:color="auto"/>
                <w:right w:val="none" w:sz="0" w:space="0" w:color="auto"/>
              </w:divBdr>
            </w:div>
          </w:divsChild>
        </w:div>
        <w:div w:id="192499126">
          <w:marLeft w:val="0"/>
          <w:marRight w:val="0"/>
          <w:marTop w:val="0"/>
          <w:marBottom w:val="0"/>
          <w:divBdr>
            <w:top w:val="none" w:sz="0" w:space="0" w:color="auto"/>
            <w:left w:val="none" w:sz="0" w:space="0" w:color="auto"/>
            <w:bottom w:val="none" w:sz="0" w:space="0" w:color="auto"/>
            <w:right w:val="none" w:sz="0" w:space="0" w:color="auto"/>
          </w:divBdr>
          <w:divsChild>
            <w:div w:id="763957871">
              <w:marLeft w:val="0"/>
              <w:marRight w:val="0"/>
              <w:marTop w:val="0"/>
              <w:marBottom w:val="0"/>
              <w:divBdr>
                <w:top w:val="none" w:sz="0" w:space="0" w:color="auto"/>
                <w:left w:val="none" w:sz="0" w:space="0" w:color="auto"/>
                <w:bottom w:val="none" w:sz="0" w:space="0" w:color="auto"/>
                <w:right w:val="none" w:sz="0" w:space="0" w:color="auto"/>
              </w:divBdr>
              <w:divsChild>
                <w:div w:id="1066221529">
                  <w:marLeft w:val="0"/>
                  <w:marRight w:val="0"/>
                  <w:marTop w:val="0"/>
                  <w:marBottom w:val="0"/>
                  <w:divBdr>
                    <w:top w:val="none" w:sz="0" w:space="0" w:color="auto"/>
                    <w:left w:val="none" w:sz="0" w:space="0" w:color="auto"/>
                    <w:bottom w:val="none" w:sz="0" w:space="0" w:color="auto"/>
                    <w:right w:val="none" w:sz="0" w:space="0" w:color="auto"/>
                  </w:divBdr>
                  <w:divsChild>
                    <w:div w:id="85464404">
                      <w:marLeft w:val="0"/>
                      <w:marRight w:val="0"/>
                      <w:marTop w:val="0"/>
                      <w:marBottom w:val="0"/>
                      <w:divBdr>
                        <w:top w:val="none" w:sz="0" w:space="0" w:color="auto"/>
                        <w:left w:val="none" w:sz="0" w:space="0" w:color="auto"/>
                        <w:bottom w:val="none" w:sz="0" w:space="0" w:color="auto"/>
                        <w:right w:val="none" w:sz="0" w:space="0" w:color="auto"/>
                      </w:divBdr>
                      <w:divsChild>
                        <w:div w:id="1204445708">
                          <w:marLeft w:val="0"/>
                          <w:marRight w:val="0"/>
                          <w:marTop w:val="0"/>
                          <w:marBottom w:val="0"/>
                          <w:divBdr>
                            <w:top w:val="none" w:sz="0" w:space="0" w:color="auto"/>
                            <w:left w:val="none" w:sz="0" w:space="0" w:color="auto"/>
                            <w:bottom w:val="none" w:sz="0" w:space="0" w:color="auto"/>
                            <w:right w:val="none" w:sz="0" w:space="0" w:color="auto"/>
                          </w:divBdr>
                          <w:divsChild>
                            <w:div w:id="83985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597182">
                  <w:marLeft w:val="0"/>
                  <w:marRight w:val="0"/>
                  <w:marTop w:val="0"/>
                  <w:marBottom w:val="0"/>
                  <w:divBdr>
                    <w:top w:val="none" w:sz="0" w:space="0" w:color="auto"/>
                    <w:left w:val="none" w:sz="0" w:space="0" w:color="auto"/>
                    <w:bottom w:val="none" w:sz="0" w:space="0" w:color="auto"/>
                    <w:right w:val="none" w:sz="0" w:space="0" w:color="auto"/>
                  </w:divBdr>
                </w:div>
              </w:divsChild>
            </w:div>
            <w:div w:id="624578356">
              <w:marLeft w:val="0"/>
              <w:marRight w:val="0"/>
              <w:marTop w:val="0"/>
              <w:marBottom w:val="0"/>
              <w:divBdr>
                <w:top w:val="none" w:sz="0" w:space="0" w:color="auto"/>
                <w:left w:val="none" w:sz="0" w:space="0" w:color="auto"/>
                <w:bottom w:val="none" w:sz="0" w:space="0" w:color="auto"/>
                <w:right w:val="none" w:sz="0" w:space="0" w:color="auto"/>
              </w:divBdr>
              <w:divsChild>
                <w:div w:id="1758938164">
                  <w:marLeft w:val="0"/>
                  <w:marRight w:val="0"/>
                  <w:marTop w:val="0"/>
                  <w:marBottom w:val="0"/>
                  <w:divBdr>
                    <w:top w:val="none" w:sz="0" w:space="0" w:color="auto"/>
                    <w:left w:val="none" w:sz="0" w:space="0" w:color="auto"/>
                    <w:bottom w:val="none" w:sz="0" w:space="0" w:color="auto"/>
                    <w:right w:val="none" w:sz="0" w:space="0" w:color="auto"/>
                  </w:divBdr>
                  <w:divsChild>
                    <w:div w:id="1970088705">
                      <w:marLeft w:val="0"/>
                      <w:marRight w:val="0"/>
                      <w:marTop w:val="0"/>
                      <w:marBottom w:val="0"/>
                      <w:divBdr>
                        <w:top w:val="none" w:sz="0" w:space="0" w:color="auto"/>
                        <w:left w:val="none" w:sz="0" w:space="0" w:color="auto"/>
                        <w:bottom w:val="none" w:sz="0" w:space="0" w:color="auto"/>
                        <w:right w:val="none" w:sz="0" w:space="0" w:color="auto"/>
                      </w:divBdr>
                      <w:divsChild>
                        <w:div w:id="74646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803117">
      <w:bodyDiv w:val="1"/>
      <w:marLeft w:val="0"/>
      <w:marRight w:val="0"/>
      <w:marTop w:val="0"/>
      <w:marBottom w:val="0"/>
      <w:divBdr>
        <w:top w:val="none" w:sz="0" w:space="0" w:color="auto"/>
        <w:left w:val="none" w:sz="0" w:space="0" w:color="auto"/>
        <w:bottom w:val="none" w:sz="0" w:space="0" w:color="auto"/>
        <w:right w:val="none" w:sz="0" w:space="0" w:color="auto"/>
      </w:divBdr>
    </w:div>
    <w:div w:id="1691175489">
      <w:bodyDiv w:val="1"/>
      <w:marLeft w:val="0"/>
      <w:marRight w:val="0"/>
      <w:marTop w:val="0"/>
      <w:marBottom w:val="0"/>
      <w:divBdr>
        <w:top w:val="none" w:sz="0" w:space="0" w:color="auto"/>
        <w:left w:val="none" w:sz="0" w:space="0" w:color="auto"/>
        <w:bottom w:val="none" w:sz="0" w:space="0" w:color="auto"/>
        <w:right w:val="none" w:sz="0" w:space="0" w:color="auto"/>
      </w:divBdr>
    </w:div>
    <w:div w:id="1753090234">
      <w:bodyDiv w:val="1"/>
      <w:marLeft w:val="0"/>
      <w:marRight w:val="0"/>
      <w:marTop w:val="0"/>
      <w:marBottom w:val="0"/>
      <w:divBdr>
        <w:top w:val="none" w:sz="0" w:space="0" w:color="auto"/>
        <w:left w:val="none" w:sz="0" w:space="0" w:color="auto"/>
        <w:bottom w:val="none" w:sz="0" w:space="0" w:color="auto"/>
        <w:right w:val="none" w:sz="0" w:space="0" w:color="auto"/>
      </w:divBdr>
      <w:divsChild>
        <w:div w:id="1124032668">
          <w:marLeft w:val="0"/>
          <w:marRight w:val="0"/>
          <w:marTop w:val="0"/>
          <w:marBottom w:val="0"/>
          <w:divBdr>
            <w:top w:val="none" w:sz="0" w:space="0" w:color="auto"/>
            <w:left w:val="none" w:sz="0" w:space="0" w:color="auto"/>
            <w:bottom w:val="none" w:sz="0" w:space="0" w:color="auto"/>
            <w:right w:val="none" w:sz="0" w:space="0" w:color="auto"/>
          </w:divBdr>
          <w:divsChild>
            <w:div w:id="1751585331">
              <w:marLeft w:val="0"/>
              <w:marRight w:val="0"/>
              <w:marTop w:val="0"/>
              <w:marBottom w:val="0"/>
              <w:divBdr>
                <w:top w:val="none" w:sz="0" w:space="0" w:color="auto"/>
                <w:left w:val="none" w:sz="0" w:space="0" w:color="auto"/>
                <w:bottom w:val="none" w:sz="0" w:space="0" w:color="auto"/>
                <w:right w:val="none" w:sz="0" w:space="0" w:color="auto"/>
              </w:divBdr>
              <w:divsChild>
                <w:div w:id="242958196">
                  <w:marLeft w:val="0"/>
                  <w:marRight w:val="0"/>
                  <w:marTop w:val="0"/>
                  <w:marBottom w:val="0"/>
                  <w:divBdr>
                    <w:top w:val="none" w:sz="0" w:space="0" w:color="auto"/>
                    <w:left w:val="none" w:sz="0" w:space="0" w:color="auto"/>
                    <w:bottom w:val="none" w:sz="0" w:space="0" w:color="auto"/>
                    <w:right w:val="none" w:sz="0" w:space="0" w:color="auto"/>
                  </w:divBdr>
                  <w:divsChild>
                    <w:div w:id="26457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975659">
          <w:marLeft w:val="0"/>
          <w:marRight w:val="0"/>
          <w:marTop w:val="0"/>
          <w:marBottom w:val="0"/>
          <w:divBdr>
            <w:top w:val="none" w:sz="0" w:space="0" w:color="auto"/>
            <w:left w:val="none" w:sz="0" w:space="0" w:color="auto"/>
            <w:bottom w:val="none" w:sz="0" w:space="0" w:color="auto"/>
            <w:right w:val="none" w:sz="0" w:space="0" w:color="auto"/>
          </w:divBdr>
          <w:divsChild>
            <w:div w:id="1831485744">
              <w:marLeft w:val="0"/>
              <w:marRight w:val="0"/>
              <w:marTop w:val="0"/>
              <w:marBottom w:val="0"/>
              <w:divBdr>
                <w:top w:val="none" w:sz="0" w:space="0" w:color="auto"/>
                <w:left w:val="none" w:sz="0" w:space="0" w:color="auto"/>
                <w:bottom w:val="none" w:sz="0" w:space="0" w:color="auto"/>
                <w:right w:val="none" w:sz="0" w:space="0" w:color="auto"/>
              </w:divBdr>
              <w:divsChild>
                <w:div w:id="1669552991">
                  <w:marLeft w:val="0"/>
                  <w:marRight w:val="0"/>
                  <w:marTop w:val="0"/>
                  <w:marBottom w:val="0"/>
                  <w:divBdr>
                    <w:top w:val="none" w:sz="0" w:space="0" w:color="auto"/>
                    <w:left w:val="none" w:sz="0" w:space="0" w:color="auto"/>
                    <w:bottom w:val="none" w:sz="0" w:space="0" w:color="auto"/>
                    <w:right w:val="none" w:sz="0" w:space="0" w:color="auto"/>
                  </w:divBdr>
                  <w:divsChild>
                    <w:div w:id="144141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337107">
      <w:bodyDiv w:val="1"/>
      <w:marLeft w:val="0"/>
      <w:marRight w:val="0"/>
      <w:marTop w:val="0"/>
      <w:marBottom w:val="0"/>
      <w:divBdr>
        <w:top w:val="none" w:sz="0" w:space="0" w:color="auto"/>
        <w:left w:val="none" w:sz="0" w:space="0" w:color="auto"/>
        <w:bottom w:val="none" w:sz="0" w:space="0" w:color="auto"/>
        <w:right w:val="none" w:sz="0" w:space="0" w:color="auto"/>
      </w:divBdr>
    </w:div>
    <w:div w:id="1963876842">
      <w:bodyDiv w:val="1"/>
      <w:marLeft w:val="0"/>
      <w:marRight w:val="0"/>
      <w:marTop w:val="0"/>
      <w:marBottom w:val="0"/>
      <w:divBdr>
        <w:top w:val="none" w:sz="0" w:space="0" w:color="auto"/>
        <w:left w:val="none" w:sz="0" w:space="0" w:color="auto"/>
        <w:bottom w:val="none" w:sz="0" w:space="0" w:color="auto"/>
        <w:right w:val="none" w:sz="0" w:space="0" w:color="auto"/>
      </w:divBdr>
      <w:divsChild>
        <w:div w:id="151215128">
          <w:marLeft w:val="0"/>
          <w:marRight w:val="0"/>
          <w:marTop w:val="0"/>
          <w:marBottom w:val="0"/>
          <w:divBdr>
            <w:top w:val="none" w:sz="0" w:space="0" w:color="auto"/>
            <w:left w:val="none" w:sz="0" w:space="0" w:color="auto"/>
            <w:bottom w:val="none" w:sz="0" w:space="0" w:color="auto"/>
            <w:right w:val="none" w:sz="0" w:space="0" w:color="auto"/>
          </w:divBdr>
          <w:divsChild>
            <w:div w:id="33123419">
              <w:marLeft w:val="0"/>
              <w:marRight w:val="0"/>
              <w:marTop w:val="0"/>
              <w:marBottom w:val="0"/>
              <w:divBdr>
                <w:top w:val="none" w:sz="0" w:space="0" w:color="auto"/>
                <w:left w:val="none" w:sz="0" w:space="0" w:color="auto"/>
                <w:bottom w:val="none" w:sz="0" w:space="0" w:color="auto"/>
                <w:right w:val="none" w:sz="0" w:space="0" w:color="auto"/>
              </w:divBdr>
              <w:divsChild>
                <w:div w:id="411513946">
                  <w:marLeft w:val="0"/>
                  <w:marRight w:val="0"/>
                  <w:marTop w:val="0"/>
                  <w:marBottom w:val="0"/>
                  <w:divBdr>
                    <w:top w:val="none" w:sz="0" w:space="0" w:color="auto"/>
                    <w:left w:val="none" w:sz="0" w:space="0" w:color="auto"/>
                    <w:bottom w:val="none" w:sz="0" w:space="0" w:color="auto"/>
                    <w:right w:val="none" w:sz="0" w:space="0" w:color="auto"/>
                  </w:divBdr>
                  <w:divsChild>
                    <w:div w:id="119264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572846">
          <w:marLeft w:val="0"/>
          <w:marRight w:val="0"/>
          <w:marTop w:val="0"/>
          <w:marBottom w:val="0"/>
          <w:divBdr>
            <w:top w:val="none" w:sz="0" w:space="0" w:color="auto"/>
            <w:left w:val="none" w:sz="0" w:space="0" w:color="auto"/>
            <w:bottom w:val="none" w:sz="0" w:space="0" w:color="auto"/>
            <w:right w:val="none" w:sz="0" w:space="0" w:color="auto"/>
          </w:divBdr>
          <w:divsChild>
            <w:div w:id="41559952">
              <w:marLeft w:val="0"/>
              <w:marRight w:val="0"/>
              <w:marTop w:val="0"/>
              <w:marBottom w:val="0"/>
              <w:divBdr>
                <w:top w:val="none" w:sz="0" w:space="0" w:color="auto"/>
                <w:left w:val="none" w:sz="0" w:space="0" w:color="auto"/>
                <w:bottom w:val="none" w:sz="0" w:space="0" w:color="auto"/>
                <w:right w:val="none" w:sz="0" w:space="0" w:color="auto"/>
              </w:divBdr>
              <w:divsChild>
                <w:div w:id="698744989">
                  <w:marLeft w:val="0"/>
                  <w:marRight w:val="0"/>
                  <w:marTop w:val="0"/>
                  <w:marBottom w:val="0"/>
                  <w:divBdr>
                    <w:top w:val="none" w:sz="0" w:space="0" w:color="auto"/>
                    <w:left w:val="none" w:sz="0" w:space="0" w:color="auto"/>
                    <w:bottom w:val="none" w:sz="0" w:space="0" w:color="auto"/>
                    <w:right w:val="none" w:sz="0" w:space="0" w:color="auto"/>
                  </w:divBdr>
                  <w:divsChild>
                    <w:div w:id="53500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31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image" Target="media/image11.tiff"/><Relationship Id="rId39" Type="http://schemas.openxmlformats.org/officeDocument/2006/relationships/image" Target="media/image20.tiff"/><Relationship Id="rId3" Type="http://schemas.openxmlformats.org/officeDocument/2006/relationships/styles" Target="styles.xml"/><Relationship Id="rId21" Type="http://schemas.openxmlformats.org/officeDocument/2006/relationships/image" Target="media/image8.wmf"/><Relationship Id="rId34" Type="http://schemas.openxmlformats.org/officeDocument/2006/relationships/oleObject" Target="embeddings/oleObject10.bin"/><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tiff"/><Relationship Id="rId33" Type="http://schemas.openxmlformats.org/officeDocument/2006/relationships/image" Target="media/image17.wmf"/><Relationship Id="rId38" Type="http://schemas.openxmlformats.org/officeDocument/2006/relationships/oleObject" Target="embeddings/oleObject12.bin"/><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4.tiff"/><Relationship Id="rId41" Type="http://schemas.openxmlformats.org/officeDocument/2006/relationships/oleObject" Target="embeddings/oleObject1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oleObject" Target="embeddings/oleObject8.bin"/><Relationship Id="rId32" Type="http://schemas.openxmlformats.org/officeDocument/2006/relationships/oleObject" Target="embeddings/oleObject9.bin"/><Relationship Id="rId37" Type="http://schemas.openxmlformats.org/officeDocument/2006/relationships/image" Target="media/image19.wmf"/><Relationship Id="rId40" Type="http://schemas.openxmlformats.org/officeDocument/2006/relationships/image" Target="media/image21.wmf"/><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media/image13.png"/><Relationship Id="rId36" Type="http://schemas.openxmlformats.org/officeDocument/2006/relationships/oleObject" Target="embeddings/oleObject11.bin"/><Relationship Id="rId10" Type="http://schemas.openxmlformats.org/officeDocument/2006/relationships/oleObject" Target="embeddings/oleObject1.bin"/><Relationship Id="rId19" Type="http://schemas.openxmlformats.org/officeDocument/2006/relationships/image" Target="media/image7.wmf"/><Relationship Id="rId31" Type="http://schemas.openxmlformats.org/officeDocument/2006/relationships/image" Target="media/image16.wmf"/><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2.tiff"/><Relationship Id="rId30" Type="http://schemas.openxmlformats.org/officeDocument/2006/relationships/image" Target="media/image15.tiff"/><Relationship Id="rId35" Type="http://schemas.openxmlformats.org/officeDocument/2006/relationships/image" Target="media/image18.wmf"/><Relationship Id="rId43"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gergeta\Local%20Settings\Temporary%20Internet%20Files\Content.IE5\GF9F2MBD\DBV2006%20Full%20Paper%20template%20Ver%20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D6012-A4E3-4F77-820D-0D7D5F211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DBV2006 Full Paper template Ver 0</Template>
  <TotalTime>2</TotalTime>
  <Pages>13</Pages>
  <Words>3382</Words>
  <Characters>19280</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Conference Full Paper template</vt:lpstr>
    </vt:vector>
  </TitlesOfParts>
  <Company>FER-ZVNE</Company>
  <LinksUpToDate>false</LinksUpToDate>
  <CharactersWithSpaces>22617</CharactersWithSpaces>
  <SharedDoc>false</SharedDoc>
  <HLinks>
    <vt:vector size="6" baseType="variant">
      <vt:variant>
        <vt:i4>6357108</vt:i4>
      </vt:variant>
      <vt:variant>
        <vt:i4>18</vt:i4>
      </vt:variant>
      <vt:variant>
        <vt:i4>0</vt:i4>
      </vt:variant>
      <vt:variant>
        <vt:i4>5</vt:i4>
      </vt:variant>
      <vt:variant>
        <vt:lpwstr>https://easychair.org/conferences/?conf=pdcube2021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Full Paper template</dc:title>
  <dc:subject>PDCUBE</dc:subject>
  <dc:creator>Renold</dc:creator>
  <cp:keywords>PDCUBE</cp:keywords>
  <dc:description>Dubrovnik, Croatia, 21-26 May 2006</dc:description>
  <cp:lastModifiedBy>Arun Rao A Ghatke</cp:lastModifiedBy>
  <cp:revision>3</cp:revision>
  <cp:lastPrinted>2021-04-26T18:22:00Z</cp:lastPrinted>
  <dcterms:created xsi:type="dcterms:W3CDTF">2024-12-31T17:25:00Z</dcterms:created>
  <dcterms:modified xsi:type="dcterms:W3CDTF">2024-12-31T17:26:00Z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59ac0255250678568179da5378e2aea8ff4b09f5c88436b9394a0ddde3906393</vt:lpwstr>
  </property>
</Properties>
</file>