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94D79B" w14:textId="4165999D" w:rsidR="00AB0D61" w:rsidRPr="00AB0D61" w:rsidRDefault="00AB0D61" w:rsidP="006F502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44358327"/>
      <w:r w:rsidRPr="00AB0D61">
        <w:rPr>
          <w:rFonts w:ascii="Times New Roman" w:hAnsi="Times New Roman" w:cs="Times New Roman" w:hint="eastAsia"/>
          <w:b/>
          <w:bCs/>
          <w:sz w:val="20"/>
          <w:szCs w:val="20"/>
        </w:rPr>
        <w:t>Additional file</w:t>
      </w:r>
      <w:r w:rsidRPr="00AB0D61">
        <w:rPr>
          <w:rFonts w:ascii="Times New Roman" w:hAnsi="Times New Roman" w:cs="Times New Roman"/>
          <w:b/>
          <w:bCs/>
          <w:sz w:val="20"/>
          <w:szCs w:val="20"/>
        </w:rPr>
        <w:t xml:space="preserve"> 19: </w:t>
      </w:r>
      <w:r w:rsidRPr="00AB0D61">
        <w:rPr>
          <w:rFonts w:ascii="Times New Roman" w:hAnsi="Times New Roman" w:cs="Times New Roman" w:hint="eastAsia"/>
          <w:b/>
          <w:bCs/>
          <w:sz w:val="20"/>
          <w:szCs w:val="20"/>
        </w:rPr>
        <w:t>Table</w:t>
      </w:r>
      <w:r w:rsidRPr="00AB0D6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B0D61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AB0D61">
        <w:rPr>
          <w:rFonts w:ascii="Times New Roman" w:hAnsi="Times New Roman" w:cs="Times New Roman"/>
          <w:b/>
          <w:bCs/>
          <w:sz w:val="20"/>
          <w:szCs w:val="20"/>
        </w:rPr>
        <w:t>16. L</w:t>
      </w:r>
      <w:r w:rsidRPr="00AB0D61">
        <w:rPr>
          <w:rFonts w:ascii="Times New Roman" w:hAnsi="Times New Roman" w:cs="Times New Roman" w:hint="eastAsia"/>
          <w:b/>
          <w:bCs/>
          <w:sz w:val="20"/>
          <w:szCs w:val="20"/>
        </w:rPr>
        <w:t>ist</w:t>
      </w:r>
      <w:r w:rsidRPr="00AB0D6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B0D61">
        <w:rPr>
          <w:rFonts w:ascii="Times New Roman" w:hAnsi="Times New Roman" w:cs="Times New Roman" w:hint="eastAsia"/>
          <w:b/>
          <w:bCs/>
          <w:sz w:val="20"/>
          <w:szCs w:val="20"/>
        </w:rPr>
        <w:t>of</w:t>
      </w:r>
      <w:r w:rsidRPr="00AB0D6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B0D61">
        <w:rPr>
          <w:rFonts w:ascii="Times New Roman" w:hAnsi="Times New Roman" w:cs="Times New Roman" w:hint="eastAsia"/>
          <w:b/>
          <w:bCs/>
          <w:sz w:val="20"/>
          <w:szCs w:val="20"/>
        </w:rPr>
        <w:t>primers used</w:t>
      </w:r>
      <w:r w:rsidRPr="00AB0D6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B0D61">
        <w:rPr>
          <w:rFonts w:ascii="Times New Roman" w:hAnsi="Times New Roman" w:cs="Times New Roman" w:hint="eastAsia"/>
          <w:b/>
          <w:bCs/>
          <w:sz w:val="20"/>
          <w:szCs w:val="20"/>
        </w:rPr>
        <w:t>in</w:t>
      </w:r>
      <w:r w:rsidRPr="00AB0D6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AB0D61">
        <w:rPr>
          <w:rFonts w:ascii="Times New Roman" w:hAnsi="Times New Roman" w:cs="Times New Roman" w:hint="eastAsia"/>
          <w:b/>
          <w:bCs/>
          <w:sz w:val="20"/>
          <w:szCs w:val="20"/>
        </w:rPr>
        <w:t>qRT</w:t>
      </w:r>
      <w:proofErr w:type="spellEnd"/>
      <w:r w:rsidRPr="00AB0D61">
        <w:rPr>
          <w:rFonts w:ascii="Times New Roman" w:hAnsi="Times New Roman" w:cs="Times New Roman"/>
          <w:b/>
          <w:bCs/>
          <w:sz w:val="20"/>
          <w:szCs w:val="20"/>
        </w:rPr>
        <w:t>-</w:t>
      </w:r>
      <w:r w:rsidRPr="00AB0D61">
        <w:rPr>
          <w:rFonts w:ascii="Times New Roman" w:hAnsi="Times New Roman" w:cs="Times New Roman" w:hint="eastAsia"/>
          <w:b/>
          <w:bCs/>
          <w:sz w:val="20"/>
          <w:szCs w:val="20"/>
        </w:rPr>
        <w:t>PCR</w:t>
      </w:r>
    </w:p>
    <w:bookmarkEnd w:id="0"/>
    <w:p w14:paraId="1CC8F7CD" w14:textId="77777777" w:rsidR="006F1BA4" w:rsidRPr="004A0ED2" w:rsidRDefault="006F1BA4" w:rsidP="006F1BA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050"/>
        <w:gridCol w:w="6164"/>
        <w:gridCol w:w="3481"/>
        <w:gridCol w:w="3263"/>
      </w:tblGrid>
      <w:tr w:rsidR="006F1BA4" w:rsidRPr="002B4D77" w14:paraId="08883F0B" w14:textId="77777777" w:rsidTr="002B4D77">
        <w:trPr>
          <w:jc w:val="center"/>
        </w:trPr>
        <w:tc>
          <w:tcPr>
            <w:tcW w:w="376" w:type="pct"/>
            <w:tcBorders>
              <w:top w:val="single" w:sz="8" w:space="0" w:color="auto"/>
              <w:bottom w:val="single" w:sz="6" w:space="0" w:color="auto"/>
            </w:tcBorders>
          </w:tcPr>
          <w:p w14:paraId="64D74392" w14:textId="77777777" w:rsidR="006F1BA4" w:rsidRPr="002B4D77" w:rsidRDefault="006F1BA4" w:rsidP="0032464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D7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 IDs</w:t>
            </w:r>
          </w:p>
        </w:tc>
        <w:tc>
          <w:tcPr>
            <w:tcW w:w="2208" w:type="pct"/>
            <w:tcBorders>
              <w:top w:val="single" w:sz="8" w:space="0" w:color="auto"/>
              <w:bottom w:val="single" w:sz="6" w:space="0" w:color="auto"/>
            </w:tcBorders>
          </w:tcPr>
          <w:p w14:paraId="3148188C" w14:textId="77777777" w:rsidR="006F1BA4" w:rsidRPr="002B4D77" w:rsidRDefault="006F1BA4" w:rsidP="0032464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D7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Function Annotation</w:t>
            </w:r>
          </w:p>
        </w:tc>
        <w:tc>
          <w:tcPr>
            <w:tcW w:w="1247" w:type="pct"/>
            <w:tcBorders>
              <w:top w:val="single" w:sz="8" w:space="0" w:color="auto"/>
              <w:bottom w:val="single" w:sz="6" w:space="0" w:color="auto"/>
            </w:tcBorders>
          </w:tcPr>
          <w:p w14:paraId="35E28AE7" w14:textId="77777777" w:rsidR="006F1BA4" w:rsidRPr="002B4D77" w:rsidRDefault="006F1BA4" w:rsidP="0032464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4D7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Forward primer</w:t>
            </w:r>
            <w:r w:rsidRPr="002B4D7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（</w:t>
            </w: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2B4D77">
                <w:rPr>
                  <w:rFonts w:ascii="Times New Roman" w:hAnsi="Times New Roman" w:cs="Times New Roman"/>
                  <w:b/>
                  <w:bCs/>
                  <w:sz w:val="20"/>
                  <w:szCs w:val="20"/>
                </w:rPr>
                <w:t>5</w:t>
              </w:r>
              <w:proofErr w:type="gramStart"/>
              <w:r w:rsidRPr="002B4D77">
                <w:rPr>
                  <w:rFonts w:ascii="Times New Roman" w:hAnsi="Times New Roman" w:cs="Times New Roman"/>
                  <w:b/>
                  <w:bCs/>
                  <w:sz w:val="20"/>
                  <w:szCs w:val="20"/>
                </w:rPr>
                <w:t>’</w:t>
              </w:r>
            </w:smartTag>
            <w:proofErr w:type="gramEnd"/>
            <w:smartTag w:uri="urn:schemas-microsoft-com:office:smarttags" w:element="chmetcnv">
              <w:smartTagPr>
                <w:attr w:name="UnitName" w:val="’"/>
                <w:attr w:name="SourceValue" w:val="3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2B4D77">
                <w:rPr>
                  <w:rFonts w:ascii="Times New Roman" w:hAnsi="Times New Roman" w:cs="Times New Roman"/>
                  <w:b/>
                  <w:bCs/>
                  <w:sz w:val="20"/>
                  <w:szCs w:val="20"/>
                </w:rPr>
                <w:t>-3</w:t>
              </w:r>
              <w:proofErr w:type="gramStart"/>
              <w:r w:rsidRPr="002B4D77">
                <w:rPr>
                  <w:rFonts w:ascii="Times New Roman" w:hAnsi="Times New Roman" w:cs="Times New Roman"/>
                  <w:b/>
                  <w:bCs/>
                  <w:sz w:val="20"/>
                  <w:szCs w:val="20"/>
                </w:rPr>
                <w:t>’</w:t>
              </w:r>
            </w:smartTag>
            <w:proofErr w:type="gramEnd"/>
            <w:r w:rsidRPr="002B4D7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1169" w:type="pct"/>
            <w:tcBorders>
              <w:top w:val="single" w:sz="8" w:space="0" w:color="auto"/>
              <w:bottom w:val="single" w:sz="6" w:space="0" w:color="auto"/>
            </w:tcBorders>
          </w:tcPr>
          <w:p w14:paraId="4EF783CD" w14:textId="77777777" w:rsidR="006F1BA4" w:rsidRPr="002B4D77" w:rsidRDefault="006F1BA4" w:rsidP="0032464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  <w:r w:rsidRPr="002B4D7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Reverse primer</w:t>
            </w:r>
            <w:r w:rsidRPr="002B4D7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（</w:t>
            </w: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2B4D77">
                <w:rPr>
                  <w:rFonts w:ascii="Times New Roman" w:hAnsi="Times New Roman" w:cs="Times New Roman"/>
                  <w:b/>
                  <w:bCs/>
                  <w:sz w:val="20"/>
                  <w:szCs w:val="20"/>
                  <w:lang w:val="fr-FR"/>
                </w:rPr>
                <w:t>5</w:t>
              </w:r>
              <w:proofErr w:type="gramStart"/>
              <w:r w:rsidRPr="002B4D77">
                <w:rPr>
                  <w:rFonts w:ascii="Times New Roman" w:hAnsi="Times New Roman" w:cs="Times New Roman"/>
                  <w:b/>
                  <w:bCs/>
                  <w:sz w:val="20"/>
                  <w:szCs w:val="20"/>
                  <w:lang w:val="fr-FR"/>
                </w:rPr>
                <w:t>’</w:t>
              </w:r>
            </w:smartTag>
            <w:proofErr w:type="gramEnd"/>
            <w:smartTag w:uri="urn:schemas-microsoft-com:office:smarttags" w:element="chmetcnv">
              <w:smartTagPr>
                <w:attr w:name="UnitName" w:val="’"/>
                <w:attr w:name="SourceValue" w:val="3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2B4D77">
                <w:rPr>
                  <w:rFonts w:ascii="Times New Roman" w:hAnsi="Times New Roman" w:cs="Times New Roman"/>
                  <w:b/>
                  <w:bCs/>
                  <w:sz w:val="20"/>
                  <w:szCs w:val="20"/>
                  <w:lang w:val="fr-FR"/>
                </w:rPr>
                <w:t>-3</w:t>
              </w:r>
              <w:proofErr w:type="gramStart"/>
              <w:r w:rsidRPr="002B4D77">
                <w:rPr>
                  <w:rFonts w:ascii="Times New Roman" w:hAnsi="Times New Roman" w:cs="Times New Roman"/>
                  <w:b/>
                  <w:bCs/>
                  <w:sz w:val="20"/>
                  <w:szCs w:val="20"/>
                  <w:lang w:val="fr-FR"/>
                </w:rPr>
                <w:t>’</w:t>
              </w:r>
            </w:smartTag>
            <w:proofErr w:type="gramEnd"/>
            <w:r w:rsidRPr="002B4D7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）</w:t>
            </w:r>
          </w:p>
        </w:tc>
      </w:tr>
      <w:tr w:rsidR="006F1BA4" w:rsidRPr="00431424" w14:paraId="183F28D4" w14:textId="77777777" w:rsidTr="002B4D77">
        <w:trPr>
          <w:jc w:val="center"/>
        </w:trPr>
        <w:tc>
          <w:tcPr>
            <w:tcW w:w="376" w:type="pct"/>
            <w:tcBorders>
              <w:top w:val="single" w:sz="6" w:space="0" w:color="auto"/>
            </w:tcBorders>
          </w:tcPr>
          <w:p w14:paraId="6DE74E3A" w14:textId="77777777" w:rsidR="006F1BA4" w:rsidRPr="00431424" w:rsidRDefault="006F1BA4" w:rsidP="00324640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bookmarkStart w:id="1" w:name="_Hlk44338711"/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CAH</w:t>
            </w:r>
          </w:p>
        </w:tc>
        <w:tc>
          <w:tcPr>
            <w:tcW w:w="2208" w:type="pct"/>
            <w:tcBorders>
              <w:top w:val="single" w:sz="6" w:space="0" w:color="auto"/>
            </w:tcBorders>
          </w:tcPr>
          <w:p w14:paraId="5DB100FA" w14:textId="77777777" w:rsidR="006F1BA4" w:rsidRPr="00431424" w:rsidRDefault="006F1BA4" w:rsidP="003246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 xml:space="preserve">PREDICTED: carbonic anhydrase, </w:t>
            </w:r>
            <w:proofErr w:type="spellStart"/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chloroplastic</w:t>
            </w:r>
            <w:proofErr w:type="spellEnd"/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-like</w:t>
            </w:r>
          </w:p>
        </w:tc>
        <w:tc>
          <w:tcPr>
            <w:tcW w:w="1247" w:type="pct"/>
            <w:tcBorders>
              <w:top w:val="single" w:sz="6" w:space="0" w:color="auto"/>
            </w:tcBorders>
          </w:tcPr>
          <w:p w14:paraId="6A7F650A" w14:textId="77777777" w:rsidR="006F1BA4" w:rsidRPr="00431424" w:rsidRDefault="006F1BA4" w:rsidP="00324640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GCTGTCAATACACTCCAGGTAG</w:t>
            </w:r>
          </w:p>
        </w:tc>
        <w:tc>
          <w:tcPr>
            <w:tcW w:w="1169" w:type="pct"/>
            <w:tcBorders>
              <w:top w:val="single" w:sz="6" w:space="0" w:color="auto"/>
            </w:tcBorders>
          </w:tcPr>
          <w:p w14:paraId="345411E4" w14:textId="77777777" w:rsidR="006F1BA4" w:rsidRPr="00431424" w:rsidRDefault="006F1BA4" w:rsidP="00324640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TCCAGAGGTCGAGTCATCTT</w:t>
            </w:r>
          </w:p>
        </w:tc>
      </w:tr>
      <w:tr w:rsidR="006F1BA4" w:rsidRPr="00431424" w14:paraId="066DAD5B" w14:textId="77777777" w:rsidTr="002B4D77">
        <w:trPr>
          <w:jc w:val="center"/>
        </w:trPr>
        <w:tc>
          <w:tcPr>
            <w:tcW w:w="376" w:type="pct"/>
          </w:tcPr>
          <w:p w14:paraId="4A0E0E0E" w14:textId="77777777" w:rsidR="006F1BA4" w:rsidRPr="00431424" w:rsidRDefault="006F1BA4" w:rsidP="00324640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DRP206</w:t>
            </w:r>
          </w:p>
        </w:tc>
        <w:tc>
          <w:tcPr>
            <w:tcW w:w="2208" w:type="pct"/>
          </w:tcPr>
          <w:p w14:paraId="183DFC0A" w14:textId="77777777" w:rsidR="006F1BA4" w:rsidRPr="00431424" w:rsidRDefault="006F1BA4" w:rsidP="003246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PREDICTED: disease resistance response protein 206-like</w:t>
            </w:r>
          </w:p>
        </w:tc>
        <w:tc>
          <w:tcPr>
            <w:tcW w:w="1247" w:type="pct"/>
          </w:tcPr>
          <w:p w14:paraId="1CFAD404" w14:textId="77777777" w:rsidR="006F1BA4" w:rsidRPr="00431424" w:rsidRDefault="006F1BA4" w:rsidP="00324640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TACGAGAAGACGAGGGACAT</w:t>
            </w:r>
          </w:p>
        </w:tc>
        <w:tc>
          <w:tcPr>
            <w:tcW w:w="1169" w:type="pct"/>
          </w:tcPr>
          <w:p w14:paraId="5DA462C3" w14:textId="77777777" w:rsidR="006F1BA4" w:rsidRPr="00431424" w:rsidRDefault="006F1BA4" w:rsidP="00324640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CATCTTGAGGCGGAAGTAGAC</w:t>
            </w:r>
          </w:p>
        </w:tc>
      </w:tr>
      <w:tr w:rsidR="006F1BA4" w:rsidRPr="00431424" w14:paraId="7393D41E" w14:textId="77777777" w:rsidTr="002B4D77">
        <w:trPr>
          <w:jc w:val="center"/>
        </w:trPr>
        <w:tc>
          <w:tcPr>
            <w:tcW w:w="376" w:type="pct"/>
          </w:tcPr>
          <w:p w14:paraId="38A03FB8" w14:textId="77777777" w:rsidR="006F1BA4" w:rsidRPr="00431424" w:rsidRDefault="006F1BA4" w:rsidP="00324640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HPS</w:t>
            </w:r>
          </w:p>
        </w:tc>
        <w:tc>
          <w:tcPr>
            <w:tcW w:w="2208" w:type="pct"/>
          </w:tcPr>
          <w:p w14:paraId="76B95081" w14:textId="77777777" w:rsidR="006F1BA4" w:rsidRPr="00431424" w:rsidRDefault="006F1BA4" w:rsidP="00324640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247" w:type="pct"/>
          </w:tcPr>
          <w:p w14:paraId="3E525CD3" w14:textId="77777777" w:rsidR="006F1BA4" w:rsidRPr="00431424" w:rsidRDefault="006F1BA4" w:rsidP="00324640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CATCGCAACTTCACACCATAAG</w:t>
            </w:r>
          </w:p>
        </w:tc>
        <w:tc>
          <w:tcPr>
            <w:tcW w:w="1169" w:type="pct"/>
          </w:tcPr>
          <w:p w14:paraId="78BFDD25" w14:textId="77777777" w:rsidR="006F1BA4" w:rsidRPr="00431424" w:rsidRDefault="006F1BA4" w:rsidP="00324640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GTACATGATGCGAGTCCACTAT</w:t>
            </w:r>
          </w:p>
        </w:tc>
      </w:tr>
      <w:tr w:rsidR="006F1BA4" w:rsidRPr="00431424" w14:paraId="630779B0" w14:textId="77777777" w:rsidTr="002B4D77">
        <w:trPr>
          <w:jc w:val="center"/>
        </w:trPr>
        <w:tc>
          <w:tcPr>
            <w:tcW w:w="376" w:type="pct"/>
          </w:tcPr>
          <w:p w14:paraId="093D7086" w14:textId="77777777" w:rsidR="006F1BA4" w:rsidRPr="00431424" w:rsidRDefault="006F1BA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OGH17</w:t>
            </w:r>
          </w:p>
        </w:tc>
        <w:tc>
          <w:tcPr>
            <w:tcW w:w="2208" w:type="pct"/>
          </w:tcPr>
          <w:p w14:paraId="15126E45" w14:textId="77777777" w:rsidR="006F1BA4" w:rsidRPr="00431424" w:rsidRDefault="006F1BA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putative O-glycosyl hydrolase family 17 protein</w:t>
            </w:r>
          </w:p>
        </w:tc>
        <w:tc>
          <w:tcPr>
            <w:tcW w:w="1247" w:type="pct"/>
          </w:tcPr>
          <w:p w14:paraId="7F1CF945" w14:textId="77777777" w:rsidR="006F1BA4" w:rsidRPr="00431424" w:rsidRDefault="006F1BA4" w:rsidP="006F1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CTCCTACCTCTCCGTCAATCT</w:t>
            </w:r>
          </w:p>
        </w:tc>
        <w:tc>
          <w:tcPr>
            <w:tcW w:w="1169" w:type="pct"/>
          </w:tcPr>
          <w:p w14:paraId="1593D2B7" w14:textId="77777777" w:rsidR="006F1BA4" w:rsidRPr="00431424" w:rsidRDefault="006F1BA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GTCTAGGAGGCTGTGGTACT</w:t>
            </w:r>
          </w:p>
        </w:tc>
      </w:tr>
      <w:tr w:rsidR="006F1BA4" w:rsidRPr="00431424" w14:paraId="1A71DB2D" w14:textId="77777777" w:rsidTr="002B4D77">
        <w:trPr>
          <w:jc w:val="center"/>
        </w:trPr>
        <w:tc>
          <w:tcPr>
            <w:tcW w:w="376" w:type="pct"/>
          </w:tcPr>
          <w:p w14:paraId="30D45285" w14:textId="77777777" w:rsidR="006F1BA4" w:rsidRPr="00431424" w:rsidRDefault="006F1BA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BG18</w:t>
            </w:r>
          </w:p>
        </w:tc>
        <w:tc>
          <w:tcPr>
            <w:tcW w:w="2208" w:type="pct"/>
          </w:tcPr>
          <w:p w14:paraId="5C6E7C46" w14:textId="77777777" w:rsidR="006F1BA4" w:rsidRPr="00431424" w:rsidRDefault="006F1BA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PREDICTED: beta-glucosidase 18-like</w:t>
            </w:r>
          </w:p>
        </w:tc>
        <w:tc>
          <w:tcPr>
            <w:tcW w:w="1247" w:type="pct"/>
          </w:tcPr>
          <w:p w14:paraId="15A27FF8" w14:textId="77777777" w:rsidR="006F1BA4" w:rsidRPr="00431424" w:rsidRDefault="006F1BA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ATGCCTTCTGGGTTCACTTC</w:t>
            </w:r>
          </w:p>
        </w:tc>
        <w:tc>
          <w:tcPr>
            <w:tcW w:w="1169" w:type="pct"/>
          </w:tcPr>
          <w:p w14:paraId="16140E36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GACGTTGAGCTGATGTACTCTC</w:t>
            </w:r>
          </w:p>
        </w:tc>
      </w:tr>
      <w:tr w:rsidR="006F1BA4" w:rsidRPr="00431424" w14:paraId="38D8529E" w14:textId="77777777" w:rsidTr="002B4D77">
        <w:trPr>
          <w:jc w:val="center"/>
        </w:trPr>
        <w:tc>
          <w:tcPr>
            <w:tcW w:w="376" w:type="pct"/>
          </w:tcPr>
          <w:p w14:paraId="1CF2119C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CPRF2</w:t>
            </w:r>
          </w:p>
        </w:tc>
        <w:tc>
          <w:tcPr>
            <w:tcW w:w="2208" w:type="pct"/>
          </w:tcPr>
          <w:p w14:paraId="0D9A535C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PREDICTED: light-inducible protein CPRF2-like isoform X1</w:t>
            </w:r>
          </w:p>
        </w:tc>
        <w:tc>
          <w:tcPr>
            <w:tcW w:w="1247" w:type="pct"/>
          </w:tcPr>
          <w:p w14:paraId="747CA10C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TCTTCTCCGGTCTTATACCTCTAC</w:t>
            </w:r>
          </w:p>
        </w:tc>
        <w:tc>
          <w:tcPr>
            <w:tcW w:w="1169" w:type="pct"/>
          </w:tcPr>
          <w:p w14:paraId="6C3B4523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TTCTCCAACAACCACGTACTC</w:t>
            </w:r>
          </w:p>
        </w:tc>
      </w:tr>
      <w:tr w:rsidR="006F1BA4" w:rsidRPr="00431424" w14:paraId="0A0AC591" w14:textId="77777777" w:rsidTr="002B4D77">
        <w:trPr>
          <w:jc w:val="center"/>
        </w:trPr>
        <w:tc>
          <w:tcPr>
            <w:tcW w:w="376" w:type="pct"/>
          </w:tcPr>
          <w:p w14:paraId="5DE63776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GST23</w:t>
            </w:r>
          </w:p>
        </w:tc>
        <w:tc>
          <w:tcPr>
            <w:tcW w:w="2208" w:type="pct"/>
          </w:tcPr>
          <w:p w14:paraId="63EA8F51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PREDICTED: glutathione transferase GST 23-like</w:t>
            </w:r>
          </w:p>
        </w:tc>
        <w:tc>
          <w:tcPr>
            <w:tcW w:w="1247" w:type="pct"/>
          </w:tcPr>
          <w:p w14:paraId="38891462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ACTTGTCGGCGATGAACTGG</w:t>
            </w:r>
          </w:p>
        </w:tc>
        <w:tc>
          <w:tcPr>
            <w:tcW w:w="1169" w:type="pct"/>
          </w:tcPr>
          <w:p w14:paraId="7DDFB409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TCTGCGAGTCCCTCGTCAT</w:t>
            </w:r>
          </w:p>
        </w:tc>
      </w:tr>
      <w:tr w:rsidR="006F1BA4" w:rsidRPr="00431424" w14:paraId="1F754B4B" w14:textId="77777777" w:rsidTr="002B4D77">
        <w:trPr>
          <w:jc w:val="center"/>
        </w:trPr>
        <w:tc>
          <w:tcPr>
            <w:tcW w:w="376" w:type="pct"/>
          </w:tcPr>
          <w:p w14:paraId="5A4A0EBC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CUF15</w:t>
            </w:r>
          </w:p>
        </w:tc>
        <w:tc>
          <w:tcPr>
            <w:tcW w:w="2208" w:type="pct"/>
          </w:tcPr>
          <w:p w14:paraId="662431F0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PREDICTED: cytosolic sulfotransferase 15-like</w:t>
            </w:r>
          </w:p>
        </w:tc>
        <w:tc>
          <w:tcPr>
            <w:tcW w:w="1247" w:type="pct"/>
          </w:tcPr>
          <w:p w14:paraId="159CB6C1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TGCGCTACCTCCATCATTTAC</w:t>
            </w:r>
          </w:p>
        </w:tc>
        <w:tc>
          <w:tcPr>
            <w:tcW w:w="1169" w:type="pct"/>
          </w:tcPr>
          <w:p w14:paraId="381BD98A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GACTGGAAGGCTCACATCAC</w:t>
            </w:r>
          </w:p>
        </w:tc>
      </w:tr>
      <w:tr w:rsidR="006F1BA4" w:rsidRPr="00431424" w14:paraId="47889F7F" w14:textId="77777777" w:rsidTr="002B4D77">
        <w:trPr>
          <w:jc w:val="center"/>
        </w:trPr>
        <w:tc>
          <w:tcPr>
            <w:tcW w:w="376" w:type="pct"/>
          </w:tcPr>
          <w:p w14:paraId="71D62CA6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PDH2</w:t>
            </w:r>
          </w:p>
        </w:tc>
        <w:tc>
          <w:tcPr>
            <w:tcW w:w="2208" w:type="pct"/>
          </w:tcPr>
          <w:p w14:paraId="407BC32E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PREDICTED: proline dehydrogenase 2, mitochondrial-like isoform X2</w:t>
            </w:r>
          </w:p>
        </w:tc>
        <w:tc>
          <w:tcPr>
            <w:tcW w:w="1247" w:type="pct"/>
          </w:tcPr>
          <w:p w14:paraId="66FBA4AF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GTCGATCCATCCTCCATCTTG</w:t>
            </w:r>
          </w:p>
        </w:tc>
        <w:tc>
          <w:tcPr>
            <w:tcW w:w="1169" w:type="pct"/>
          </w:tcPr>
          <w:p w14:paraId="5EE9B9C5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GAGGTGGTGGTGATGTTAGTT</w:t>
            </w:r>
          </w:p>
        </w:tc>
      </w:tr>
      <w:tr w:rsidR="006F1BA4" w:rsidRPr="00431424" w14:paraId="05986771" w14:textId="77777777" w:rsidTr="002B4D77">
        <w:trPr>
          <w:jc w:val="center"/>
        </w:trPr>
        <w:tc>
          <w:tcPr>
            <w:tcW w:w="376" w:type="pct"/>
          </w:tcPr>
          <w:p w14:paraId="5F5B9850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MTN5</w:t>
            </w:r>
          </w:p>
        </w:tc>
        <w:tc>
          <w:tcPr>
            <w:tcW w:w="2208" w:type="pct"/>
          </w:tcPr>
          <w:p w14:paraId="57EF1259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PREDICTED: metal transporter Nramp5-like</w:t>
            </w:r>
          </w:p>
        </w:tc>
        <w:tc>
          <w:tcPr>
            <w:tcW w:w="1247" w:type="pct"/>
          </w:tcPr>
          <w:p w14:paraId="099FBFA5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CCGGAGTAAGTGCCTGTTATG</w:t>
            </w:r>
          </w:p>
        </w:tc>
        <w:tc>
          <w:tcPr>
            <w:tcW w:w="1169" w:type="pct"/>
          </w:tcPr>
          <w:p w14:paraId="5087D237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CTCGACTCCTCCTCCTTTCT</w:t>
            </w:r>
          </w:p>
        </w:tc>
      </w:tr>
      <w:tr w:rsidR="006F1BA4" w:rsidRPr="00431424" w14:paraId="77F6568C" w14:textId="77777777" w:rsidTr="002B4D77">
        <w:trPr>
          <w:jc w:val="center"/>
        </w:trPr>
        <w:tc>
          <w:tcPr>
            <w:tcW w:w="376" w:type="pct"/>
          </w:tcPr>
          <w:p w14:paraId="42C51D43" w14:textId="77777777" w:rsidR="006F1BA4" w:rsidRPr="00431424" w:rsidRDefault="00431424" w:rsidP="0043142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CYP-5</w:t>
            </w:r>
          </w:p>
        </w:tc>
        <w:tc>
          <w:tcPr>
            <w:tcW w:w="2208" w:type="pct"/>
          </w:tcPr>
          <w:p w14:paraId="1F006A8F" w14:textId="77777777" w:rsidR="006F1BA4" w:rsidRPr="00431424" w:rsidRDefault="006F1BA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247" w:type="pct"/>
          </w:tcPr>
          <w:p w14:paraId="6E04B3E8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CACTACAAGGGAAGCACATTCCA</w:t>
            </w:r>
          </w:p>
        </w:tc>
        <w:tc>
          <w:tcPr>
            <w:tcW w:w="1169" w:type="pct"/>
          </w:tcPr>
          <w:p w14:paraId="4576C1D1" w14:textId="77777777" w:rsidR="006F1BA4" w:rsidRPr="00431424" w:rsidRDefault="00431424" w:rsidP="006F1BA4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31424">
              <w:rPr>
                <w:rFonts w:ascii="Times New Roman" w:hAnsi="Times New Roman" w:cs="Times New Roman"/>
                <w:sz w:val="20"/>
                <w:szCs w:val="20"/>
              </w:rPr>
              <w:t>TTCACCACCCCTTCCATCAC</w:t>
            </w:r>
          </w:p>
        </w:tc>
      </w:tr>
      <w:bookmarkEnd w:id="1"/>
    </w:tbl>
    <w:p w14:paraId="40634114" w14:textId="77777777" w:rsidR="006F5021" w:rsidRPr="00431424" w:rsidRDefault="006F5021" w:rsidP="00431424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6F5021" w:rsidRPr="00431424" w:rsidSect="006F5021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086AE4" w14:textId="77777777" w:rsidR="00497B88" w:rsidRDefault="00497B88" w:rsidP="002B4D77">
      <w:r>
        <w:separator/>
      </w:r>
    </w:p>
  </w:endnote>
  <w:endnote w:type="continuationSeparator" w:id="0">
    <w:p w14:paraId="5DFA857C" w14:textId="77777777" w:rsidR="00497B88" w:rsidRDefault="00497B88" w:rsidP="002B4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3BE83F" w14:textId="77777777" w:rsidR="00497B88" w:rsidRDefault="00497B88" w:rsidP="002B4D77">
      <w:r>
        <w:separator/>
      </w:r>
    </w:p>
  </w:footnote>
  <w:footnote w:type="continuationSeparator" w:id="0">
    <w:p w14:paraId="116BE5C7" w14:textId="77777777" w:rsidR="00497B88" w:rsidRDefault="00497B88" w:rsidP="002B4D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021"/>
    <w:rsid w:val="002B4D77"/>
    <w:rsid w:val="00431424"/>
    <w:rsid w:val="00497B88"/>
    <w:rsid w:val="004A0ED2"/>
    <w:rsid w:val="006F1BA4"/>
    <w:rsid w:val="006F5021"/>
    <w:rsid w:val="0082149F"/>
    <w:rsid w:val="00AB0D61"/>
    <w:rsid w:val="00B92930"/>
    <w:rsid w:val="00D1028F"/>
    <w:rsid w:val="00E0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342DB091"/>
  <w15:chartTrackingRefBased/>
  <w15:docId w15:val="{B967B454-3656-4445-AA90-FF9C10E01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50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B4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B4D7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B4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B4D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9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3935C5-46F9-4B8D-872F-6213F56A1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173</Words>
  <Characters>989</Characters>
  <Application>Microsoft Office Word</Application>
  <DocSecurity>0</DocSecurity>
  <Lines>8</Lines>
  <Paragraphs>2</Paragraphs>
  <ScaleCrop>false</ScaleCrop>
  <Company>Microsoft</Company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ZY</cp:lastModifiedBy>
  <cp:revision>3</cp:revision>
  <dcterms:created xsi:type="dcterms:W3CDTF">2020-06-29T13:23:00Z</dcterms:created>
  <dcterms:modified xsi:type="dcterms:W3CDTF">2020-06-29T13:58:00Z</dcterms:modified>
</cp:coreProperties>
</file>