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D24901" w14:textId="7B012F94" w:rsidR="00301ED6" w:rsidRPr="00246472" w:rsidRDefault="00301ED6" w:rsidP="00301ED6">
      <w:pPr>
        <w:jc w:val="center"/>
        <w:rPr>
          <w:rFonts w:ascii="Times New Roman" w:hAnsi="Times New Roman" w:cs="Times New Roman"/>
          <w:b/>
          <w:bCs/>
        </w:rPr>
      </w:pPr>
      <w:bookmarkStart w:id="0" w:name="_Hlk186546863"/>
      <w:bookmarkStart w:id="1" w:name="_Hlk181100132"/>
      <w:r w:rsidRPr="00246472">
        <w:rPr>
          <w:rFonts w:ascii="Times New Roman" w:hAnsi="Times New Roman" w:cs="Times New Roman"/>
          <w:b/>
          <w:bCs/>
        </w:rPr>
        <w:t xml:space="preserve">Extracellular Vesicles </w:t>
      </w:r>
      <w:r w:rsidR="00E62A8D">
        <w:rPr>
          <w:rFonts w:ascii="Times New Roman" w:hAnsi="Times New Roman" w:cs="Times New Roman"/>
          <w:b/>
          <w:bCs/>
        </w:rPr>
        <w:t>Enhance</w:t>
      </w:r>
      <w:r w:rsidRPr="00246472">
        <w:rPr>
          <w:rFonts w:ascii="Times New Roman" w:hAnsi="Times New Roman" w:cs="Times New Roman"/>
          <w:b/>
          <w:bCs/>
        </w:rPr>
        <w:t xml:space="preserve"> </w:t>
      </w:r>
      <w:r>
        <w:rPr>
          <w:rFonts w:ascii="Times New Roman" w:hAnsi="Times New Roman" w:cs="Times New Roman"/>
          <w:b/>
          <w:bCs/>
        </w:rPr>
        <w:t>Osteogenic</w:t>
      </w:r>
      <w:r w:rsidRPr="00246472">
        <w:rPr>
          <w:rFonts w:ascii="Times New Roman" w:hAnsi="Times New Roman" w:cs="Times New Roman"/>
          <w:b/>
          <w:bCs/>
        </w:rPr>
        <w:t xml:space="preserve"> Differentiation </w:t>
      </w:r>
      <w:r w:rsidR="00E62A8D">
        <w:rPr>
          <w:rFonts w:ascii="Times New Roman" w:hAnsi="Times New Roman" w:cs="Times New Roman"/>
          <w:b/>
          <w:bCs/>
        </w:rPr>
        <w:t>of</w:t>
      </w:r>
      <w:r w:rsidRPr="00246472">
        <w:rPr>
          <w:rFonts w:ascii="Times New Roman" w:hAnsi="Times New Roman" w:cs="Times New Roman"/>
          <w:b/>
          <w:bCs/>
        </w:rPr>
        <w:t xml:space="preserve"> Mesenchymal Stem Cells Without any Chemical Agents</w:t>
      </w:r>
    </w:p>
    <w:bookmarkEnd w:id="0"/>
    <w:p w14:paraId="728738C9" w14:textId="77777777" w:rsidR="00EE2547" w:rsidRPr="00577852" w:rsidRDefault="00EE2547" w:rsidP="00A90697">
      <w:pPr>
        <w:spacing w:after="120" w:line="360" w:lineRule="auto"/>
        <w:jc w:val="center"/>
        <w:rPr>
          <w:rFonts w:ascii="Times New Roman" w:hAnsi="Times New Roman" w:cs="Times New Roman"/>
          <w:sz w:val="20"/>
          <w:szCs w:val="20"/>
          <w:lang w:val="it-IT"/>
        </w:rPr>
      </w:pPr>
      <w:r w:rsidRPr="00577852">
        <w:rPr>
          <w:rFonts w:ascii="Times New Roman" w:hAnsi="Times New Roman" w:cs="Times New Roman"/>
          <w:sz w:val="20"/>
          <w:szCs w:val="20"/>
          <w:lang w:val="it-IT"/>
        </w:rPr>
        <w:t>Ganga Anand</w:t>
      </w:r>
      <w:r w:rsidRPr="00577852">
        <w:rPr>
          <w:rFonts w:ascii="Times New Roman" w:hAnsi="Times New Roman" w:cs="Times New Roman"/>
          <w:sz w:val="20"/>
          <w:szCs w:val="20"/>
          <w:vertAlign w:val="superscript"/>
          <w:lang w:val="it-IT"/>
        </w:rPr>
        <w:t>1</w:t>
      </w:r>
      <w:r w:rsidRPr="00577852">
        <w:rPr>
          <w:rFonts w:ascii="Times New Roman" w:hAnsi="Times New Roman" w:cs="Times New Roman"/>
          <w:sz w:val="20"/>
          <w:szCs w:val="20"/>
          <w:lang w:val="it-IT"/>
        </w:rPr>
        <w:t>, Srinivas Gopala</w:t>
      </w:r>
      <w:r w:rsidRPr="00577852">
        <w:rPr>
          <w:rFonts w:ascii="Times New Roman" w:hAnsi="Times New Roman" w:cs="Times New Roman"/>
          <w:sz w:val="20"/>
          <w:szCs w:val="20"/>
          <w:vertAlign w:val="superscript"/>
          <w:lang w:val="it-IT"/>
        </w:rPr>
        <w:t>2</w:t>
      </w:r>
      <w:r w:rsidRPr="00577852">
        <w:rPr>
          <w:rFonts w:ascii="Times New Roman" w:hAnsi="Times New Roman" w:cs="Times New Roman"/>
          <w:sz w:val="20"/>
          <w:szCs w:val="20"/>
          <w:lang w:val="it-IT"/>
        </w:rPr>
        <w:t>, Madhusoodanan Urulangodi</w:t>
      </w:r>
      <w:r w:rsidRPr="00577852">
        <w:rPr>
          <w:rFonts w:ascii="Times New Roman" w:hAnsi="Times New Roman" w:cs="Times New Roman"/>
          <w:sz w:val="20"/>
          <w:szCs w:val="20"/>
          <w:vertAlign w:val="superscript"/>
          <w:lang w:val="it-IT"/>
        </w:rPr>
        <w:t>2</w:t>
      </w:r>
      <w:r w:rsidRPr="00577852">
        <w:rPr>
          <w:rFonts w:ascii="Times New Roman" w:hAnsi="Times New Roman" w:cs="Times New Roman"/>
          <w:sz w:val="20"/>
          <w:szCs w:val="20"/>
          <w:lang w:val="it-IT"/>
        </w:rPr>
        <w:t>*, Manoj Komath</w:t>
      </w:r>
      <w:r w:rsidRPr="00577852">
        <w:rPr>
          <w:rFonts w:ascii="Times New Roman" w:hAnsi="Times New Roman" w:cs="Times New Roman"/>
          <w:sz w:val="20"/>
          <w:szCs w:val="20"/>
          <w:vertAlign w:val="superscript"/>
          <w:lang w:val="it-IT"/>
        </w:rPr>
        <w:t>1</w:t>
      </w:r>
      <w:r w:rsidRPr="00577852">
        <w:rPr>
          <w:rFonts w:ascii="Times New Roman" w:hAnsi="Times New Roman" w:cs="Times New Roman"/>
          <w:sz w:val="20"/>
          <w:szCs w:val="20"/>
          <w:lang w:val="it-IT"/>
        </w:rPr>
        <w:t>*</w:t>
      </w:r>
    </w:p>
    <w:bookmarkEnd w:id="1"/>
    <w:p w14:paraId="2C346FD0" w14:textId="77777777" w:rsidR="00BE1F91" w:rsidRDefault="00BE1F91">
      <w:pPr>
        <w:rPr>
          <w:rFonts w:ascii="Times New Roman" w:hAnsi="Times New Roman" w:cs="Times New Roman"/>
          <w:b/>
          <w:sz w:val="24"/>
          <w:szCs w:val="24"/>
          <w:lang w:val="it-IT"/>
        </w:rPr>
      </w:pPr>
    </w:p>
    <w:p w14:paraId="6B2AEB53" w14:textId="301EE498" w:rsidR="000D395A" w:rsidRPr="006F22D4" w:rsidRDefault="006F22D4">
      <w:pPr>
        <w:rPr>
          <w:rFonts w:ascii="Times New Roman" w:hAnsi="Times New Roman" w:cs="Times New Roman"/>
          <w:b/>
          <w:sz w:val="20"/>
          <w:szCs w:val="20"/>
        </w:rPr>
      </w:pPr>
      <w:r w:rsidRPr="006F22D4">
        <w:rPr>
          <w:rFonts w:ascii="Times New Roman" w:hAnsi="Times New Roman" w:cs="Times New Roman"/>
          <w:b/>
          <w:sz w:val="20"/>
          <w:szCs w:val="20"/>
        </w:rPr>
        <w:t>Materials and Methods</w:t>
      </w:r>
    </w:p>
    <w:p w14:paraId="63632538" w14:textId="585AA887" w:rsidR="004E6BB8" w:rsidRPr="006F22D4" w:rsidRDefault="004E6BB8" w:rsidP="004E6BB8">
      <w:pPr>
        <w:spacing w:after="120" w:line="360" w:lineRule="auto"/>
        <w:jc w:val="both"/>
        <w:rPr>
          <w:rFonts w:ascii="Times New Roman" w:hAnsi="Times New Roman" w:cs="Times New Roman"/>
          <w:b/>
          <w:sz w:val="20"/>
          <w:szCs w:val="20"/>
        </w:rPr>
      </w:pPr>
      <w:r w:rsidRPr="006F22D4">
        <w:rPr>
          <w:rFonts w:ascii="Times New Roman" w:hAnsi="Times New Roman" w:cs="Times New Roman"/>
          <w:b/>
          <w:bCs/>
          <w:sz w:val="20"/>
          <w:szCs w:val="20"/>
        </w:rPr>
        <w:t>Osteogenic differentiation of rBMSCs</w:t>
      </w:r>
    </w:p>
    <w:p w14:paraId="6D97B001" w14:textId="77777777" w:rsidR="004E6BB8" w:rsidRPr="006F22D4" w:rsidRDefault="004E6BB8" w:rsidP="004E6BB8">
      <w:pPr>
        <w:spacing w:after="120" w:line="360" w:lineRule="auto"/>
        <w:jc w:val="both"/>
        <w:rPr>
          <w:rFonts w:ascii="Times New Roman" w:hAnsi="Times New Roman" w:cs="Times New Roman"/>
          <w:sz w:val="20"/>
          <w:szCs w:val="20"/>
        </w:rPr>
      </w:pPr>
      <w:r w:rsidRPr="006F22D4">
        <w:rPr>
          <w:rFonts w:ascii="Times New Roman" w:hAnsi="Times New Roman" w:cs="Times New Roman"/>
          <w:sz w:val="20"/>
          <w:szCs w:val="20"/>
        </w:rPr>
        <w:t xml:space="preserve">rBMSCs were seeded in six-well plates at a concentration of 5000 cells/cm² and grown in complete media until reaching 60-70% confluence. The experimental group underwent osteogenic differentiation by DMEM-LG enriched with 10% FBS, 1% antibiotics-antimycotics, 50 </w:t>
      </w:r>
      <w:proofErr w:type="spellStart"/>
      <w:r w:rsidRPr="006F22D4">
        <w:rPr>
          <w:rFonts w:ascii="Times New Roman" w:hAnsi="Times New Roman" w:cs="Times New Roman"/>
          <w:sz w:val="20"/>
          <w:szCs w:val="20"/>
        </w:rPr>
        <w:t>μM</w:t>
      </w:r>
      <w:proofErr w:type="spellEnd"/>
      <w:r w:rsidRPr="006F22D4">
        <w:rPr>
          <w:rFonts w:ascii="Times New Roman" w:hAnsi="Times New Roman" w:cs="Times New Roman"/>
          <w:sz w:val="20"/>
          <w:szCs w:val="20"/>
        </w:rPr>
        <w:t xml:space="preserve"> L-ascorbic acid (Sigma #4403), 100 </w:t>
      </w:r>
      <w:proofErr w:type="spellStart"/>
      <w:r w:rsidRPr="006F22D4">
        <w:rPr>
          <w:rFonts w:ascii="Times New Roman" w:hAnsi="Times New Roman" w:cs="Times New Roman"/>
          <w:sz w:val="20"/>
          <w:szCs w:val="20"/>
        </w:rPr>
        <w:t>nM</w:t>
      </w:r>
      <w:proofErr w:type="spellEnd"/>
      <w:r w:rsidRPr="006F22D4">
        <w:rPr>
          <w:rFonts w:ascii="Times New Roman" w:hAnsi="Times New Roman" w:cs="Times New Roman"/>
          <w:sz w:val="20"/>
          <w:szCs w:val="20"/>
        </w:rPr>
        <w:t xml:space="preserve"> dexamethasone (Sigma #D4902), and 10 mM β-glycerophosphate (Sigma #G9422). The control group continued to be cultured in complete media. Both groups were maintained under standard conditions for periods of 7, 14, 21, and 28 days, with fresh media provided every 2 to 3 days </w:t>
      </w:r>
      <w:r w:rsidRPr="006F22D4">
        <w:rPr>
          <w:rFonts w:ascii="Times New Roman" w:hAnsi="Times New Roman" w:cs="Times New Roman"/>
          <w:sz w:val="20"/>
          <w:szCs w:val="20"/>
        </w:rPr>
        <w:fldChar w:fldCharType="begin"/>
      </w:r>
      <w:r w:rsidRPr="006F22D4">
        <w:rPr>
          <w:rFonts w:ascii="Times New Roman" w:hAnsi="Times New Roman" w:cs="Times New Roman"/>
          <w:sz w:val="20"/>
          <w:szCs w:val="20"/>
        </w:rPr>
        <w:instrText xml:space="preserve"> ADDIN ZOTERO_ITEM CSL_CITATION {"citationID":"s83g938o","properties":{"formattedCitation":"[1]","plainCitation":"[1]","noteIndex":0},"citationItems":[{"id":326,"uris":["http://zotero.org/users/local/5kbo7PDZ/items/6N42272J"],"itemData":{"id":326,"type":"article-journal","abstract":"Osteoporosis causes reduction of osteogenic differentiation of mesenchymal stem cells (MSCs) from bone marrow and adipose tissue. This study was designed to compare the osteogenic potential of bone marrow mesenchymal stem cells (BMMSCs) and adipose-derived stem cells (ADSCs) of ovariectomized (OVX) rats. MSC were harvested from bone marrow and inguinal fat pads of six OVX rats. The limitations of this report are that cells from different animals were pooled for the purpose of the experiments that were carried out in this study. At 7, 14 and 21 d of osteogenic differentiation, 3-(4,5-dimethylthiazol-2-yl)-2,5-diphenyltetrazolium bromide (MTT) conversion, alkaline phosphatase activity and gene expression for collagen I, osteocalcin, bone sialoprotein, osteopontin and bone morphogenetic protein-2 bone morphogenetic protein-2 (BMP-2) were analyzed. At 21 d, percentage of cells per field and percentage of mineralized nodule were analyzed. The data were subjected to analysis of variance, and the means were compared by Student–Newman–Keuls test. The cells, regardless of group, showed phenotypic characteristics consistent with stem cells. MTT conversion, alkaline phosphatase activity, percentage of mineralized nodule and expression of collagen I, osteocalcin and BMP-2 of ADSCs from OVX rats were higher when compared to BMMSCs from OVX rats in at least one of the evaluated periods (p50.05). However, bone sialoprotein and osteopontin expression were smaller than those observed in BMMSCs for all evaluated periods (p50.05). It was concluded that the ADSCs from OVX rats have higher osteogenic potential when compared to BMMSCs from OVX rats. This result suggests that the treatment of osteoporosis with autologous ADSCs may be more efficient.","container-title":"Connective Tissue Research","DOI":"10.3109/03008207.2013.860970","ISSN":"0300-8207, 1607-8438","issue":"2","journalAbbreviation":"Connective Tissue Research","language":"en","page":"103-114","source":"DOI.org (Crossref)","title":"Comparative study of osteogenic differentiation potential of mesenchymal stem cells derived from bone marrow and adipose tissue of osteoporotic female rats","volume":"55","author":[{"family":"Neves Boeloni","given":"Jankerle"},{"family":"Melo Ocarino","given":"Natália"},{"family":"Miranda Goes","given":"Alfredo"},{"family":"Serakides","given":"Rogéria"}],"issued":{"date-parts":[["2014",4]]}}}],"schema":"https://github.com/citation-style-language/schema/raw/master/csl-citation.json"} </w:instrText>
      </w:r>
      <w:r w:rsidRPr="006F22D4">
        <w:rPr>
          <w:rFonts w:ascii="Times New Roman" w:hAnsi="Times New Roman" w:cs="Times New Roman"/>
          <w:sz w:val="20"/>
          <w:szCs w:val="20"/>
        </w:rPr>
        <w:fldChar w:fldCharType="separate"/>
      </w:r>
      <w:r w:rsidRPr="006F22D4">
        <w:rPr>
          <w:rFonts w:ascii="Times New Roman" w:hAnsi="Times New Roman" w:cs="Times New Roman"/>
          <w:sz w:val="20"/>
          <w:szCs w:val="20"/>
        </w:rPr>
        <w:t>[1]</w:t>
      </w:r>
      <w:r w:rsidRPr="006F22D4">
        <w:rPr>
          <w:rFonts w:ascii="Times New Roman" w:hAnsi="Times New Roman" w:cs="Times New Roman"/>
          <w:sz w:val="20"/>
          <w:szCs w:val="20"/>
        </w:rPr>
        <w:fldChar w:fldCharType="end"/>
      </w:r>
      <w:r w:rsidRPr="006F22D4">
        <w:rPr>
          <w:rFonts w:ascii="Times New Roman" w:hAnsi="Times New Roman" w:cs="Times New Roman"/>
          <w:sz w:val="20"/>
          <w:szCs w:val="20"/>
        </w:rPr>
        <w:t xml:space="preserve">. </w:t>
      </w:r>
    </w:p>
    <w:p w14:paraId="6F480E52" w14:textId="029669D6" w:rsidR="004E6BB8" w:rsidRPr="00577852" w:rsidRDefault="004E6BB8" w:rsidP="004E6BB8">
      <w:pPr>
        <w:spacing w:after="120" w:line="360" w:lineRule="auto"/>
        <w:jc w:val="both"/>
        <w:rPr>
          <w:rFonts w:ascii="Times New Roman" w:hAnsi="Times New Roman" w:cs="Times New Roman"/>
          <w:sz w:val="20"/>
          <w:szCs w:val="20"/>
        </w:rPr>
      </w:pPr>
      <w:r w:rsidRPr="006F22D4">
        <w:rPr>
          <w:rFonts w:ascii="Times New Roman" w:hAnsi="Times New Roman" w:cs="Times New Roman"/>
          <w:b/>
          <w:bCs/>
          <w:sz w:val="20"/>
          <w:szCs w:val="20"/>
        </w:rPr>
        <w:t>Alizarin red S (ARS) staining</w:t>
      </w:r>
      <w:r w:rsidRPr="006F22D4">
        <w:rPr>
          <w:rFonts w:ascii="Times New Roman" w:hAnsi="Times New Roman" w:cs="Times New Roman"/>
          <w:sz w:val="20"/>
          <w:szCs w:val="20"/>
        </w:rPr>
        <w:t xml:space="preserve">: The culture medium was </w:t>
      </w:r>
      <w:r w:rsidR="002C2C50" w:rsidRPr="006F22D4">
        <w:rPr>
          <w:rFonts w:ascii="Times New Roman" w:hAnsi="Times New Roman" w:cs="Times New Roman"/>
          <w:sz w:val="20"/>
          <w:szCs w:val="20"/>
        </w:rPr>
        <w:t>discarded;</w:t>
      </w:r>
      <w:r w:rsidRPr="006F22D4">
        <w:rPr>
          <w:rFonts w:ascii="Times New Roman" w:hAnsi="Times New Roman" w:cs="Times New Roman"/>
          <w:sz w:val="20"/>
          <w:szCs w:val="20"/>
        </w:rPr>
        <w:t xml:space="preserve"> cells underwent fixation with 4% formaldehyde. To visualize mineral calcium deposits, the cells</w:t>
      </w:r>
      <w:r w:rsidRPr="00577852">
        <w:rPr>
          <w:rFonts w:ascii="Times New Roman" w:hAnsi="Times New Roman" w:cs="Times New Roman"/>
          <w:sz w:val="20"/>
          <w:szCs w:val="20"/>
        </w:rPr>
        <w:t xml:space="preserve"> were exposed to 40 mM ARS (Sigma, US, #A5533) at pH 4.2 for 30 min. An inverted fluorescence and phase contrast microscope (Olympus IX51) was used to capture images. After imaging, 1 ml of 10% acetic acid was applied to extract the calcium deposits for quantitative analysis and measured absorbance at 405 nm, following a previously described method </w:t>
      </w:r>
      <w:r w:rsidRPr="00577852">
        <w:rPr>
          <w:rFonts w:ascii="Times New Roman" w:hAnsi="Times New Roman" w:cs="Times New Roman"/>
          <w:sz w:val="20"/>
          <w:szCs w:val="20"/>
        </w:rPr>
        <w:fldChar w:fldCharType="begin"/>
      </w:r>
      <w:r w:rsidR="00742AD4">
        <w:rPr>
          <w:rFonts w:ascii="Times New Roman" w:hAnsi="Times New Roman" w:cs="Times New Roman"/>
          <w:sz w:val="20"/>
          <w:szCs w:val="20"/>
        </w:rPr>
        <w:instrText xml:space="preserve"> ADDIN ZOTERO_ITEM CSL_CITATION {"citationID":"BWORN4l6","properties":{"formattedCitation":"[2]","plainCitation":"[2]","noteIndex":0},"citationItems":[{"id":304,"uris":["http://zotero.org/users/local/5kbo7PDZ/items/FTYKY49H"],"itemData":{"id":304,"type":"chapter","abstract":"Annually, more than 200,000 elective liposuction procedures are performed in the United States and over a million worldwide. The ease of harvest and abundance make human adipose-derived stromal/stem cells (hASCs) isolated from lipoaspirates an attractive, readily available source of adult stem cells that have become increasingly popular for use in many studies. Here, we describe common methods for hASC culture, preservation, and osteogenic differentiation. We introduce methods of ceramic, polymer, and composite scaffold synthesis with a description of morphological, chemical, and mechanical characterization techniques. Techniques for scaffold loading are compared, and methods for determining cell loading efficiency and proliferation are described. Finally, we provide both qualitative and quantitative techniques for in vitro assessment of hASC osteogenic differentiation.","container-title":"Methods in Enzymology","ISBN":"978-0-12-800280-3","language":"en","note":"DOI: 10.1016/B978-0-12-800280-3.00005-0","page":"67-88","publisher":"Elsevier","source":"DOI.org (Crossref)","title":"Human Adipose-Derived Stromal/Stem Cell Isolation, Culture, and Osteogenic Differentiation","URL":"https://linkinghub.elsevier.com/retrieve/pii/B9780128002803000050","volume":"538","author":[{"family":"Qureshi","given":"Ammar T."},{"family":"Chen","given":"Cong"},{"family":"Shah","given":"Forum"},{"family":"Thomas-Porch","given":"Caasy"},{"family":"Gimble","given":"Jeffrey M."},{"family":"Hayes","given":"Daniel J."}],"accessed":{"date-parts":[["2024",6,30]]},"issued":{"date-parts":[["2014"]]}}}],"schema":"https://github.com/citation-style-language/schema/raw/master/csl-citation.json"} </w:instrText>
      </w:r>
      <w:r w:rsidRPr="00577852">
        <w:rPr>
          <w:rFonts w:ascii="Times New Roman" w:hAnsi="Times New Roman" w:cs="Times New Roman"/>
          <w:sz w:val="20"/>
          <w:szCs w:val="20"/>
        </w:rPr>
        <w:fldChar w:fldCharType="separate"/>
      </w:r>
      <w:r w:rsidR="00742AD4" w:rsidRPr="00742AD4">
        <w:rPr>
          <w:rFonts w:ascii="Times New Roman" w:hAnsi="Times New Roman" w:cs="Times New Roman"/>
          <w:sz w:val="20"/>
        </w:rPr>
        <w:t>[2]</w:t>
      </w:r>
      <w:r w:rsidRPr="00577852">
        <w:rPr>
          <w:rFonts w:ascii="Times New Roman" w:hAnsi="Times New Roman" w:cs="Times New Roman"/>
          <w:sz w:val="20"/>
          <w:szCs w:val="20"/>
        </w:rPr>
        <w:fldChar w:fldCharType="end"/>
      </w:r>
      <w:r w:rsidRPr="00577852">
        <w:rPr>
          <w:rFonts w:ascii="Times New Roman" w:hAnsi="Times New Roman" w:cs="Times New Roman"/>
          <w:sz w:val="20"/>
          <w:szCs w:val="20"/>
        </w:rPr>
        <w:t>.</w:t>
      </w:r>
    </w:p>
    <w:p w14:paraId="3A5A58A6" w14:textId="5A94BE74" w:rsidR="004E6BB8" w:rsidRPr="00577852" w:rsidRDefault="004E6BB8" w:rsidP="004E6BB8">
      <w:pPr>
        <w:spacing w:after="120" w:line="360" w:lineRule="auto"/>
        <w:jc w:val="both"/>
        <w:rPr>
          <w:rFonts w:ascii="Times New Roman" w:hAnsi="Times New Roman" w:cs="Times New Roman"/>
          <w:sz w:val="20"/>
          <w:szCs w:val="20"/>
        </w:rPr>
      </w:pPr>
      <w:r w:rsidRPr="00577852">
        <w:rPr>
          <w:rFonts w:ascii="Times New Roman" w:hAnsi="Times New Roman" w:cs="Times New Roman"/>
          <w:b/>
          <w:bCs/>
          <w:sz w:val="20"/>
          <w:szCs w:val="20"/>
        </w:rPr>
        <w:t xml:space="preserve">Analysis of gene expression related to osteogenesis: </w:t>
      </w:r>
      <w:r w:rsidRPr="00577852">
        <w:rPr>
          <w:rFonts w:ascii="Times New Roman" w:hAnsi="Times New Roman" w:cs="Times New Roman"/>
          <w:sz w:val="20"/>
          <w:szCs w:val="20"/>
        </w:rPr>
        <w:t xml:space="preserve">Cells were washed twice in PBS, and total RNA was isolated from cells harvested on days 7, 14, 21, and 28 by using </w:t>
      </w:r>
      <w:proofErr w:type="spellStart"/>
      <w:r w:rsidRPr="00577852">
        <w:rPr>
          <w:rFonts w:ascii="Times New Roman" w:hAnsi="Times New Roman" w:cs="Times New Roman"/>
          <w:sz w:val="20"/>
          <w:szCs w:val="20"/>
        </w:rPr>
        <w:t>RNAiso</w:t>
      </w:r>
      <w:proofErr w:type="spellEnd"/>
      <w:r w:rsidRPr="00577852">
        <w:rPr>
          <w:rFonts w:ascii="Times New Roman" w:hAnsi="Times New Roman" w:cs="Times New Roman"/>
          <w:sz w:val="20"/>
          <w:szCs w:val="20"/>
        </w:rPr>
        <w:t xml:space="preserve"> plus Reagent (Takara Bio #9109, Japan). qRT-PCR analysis was performed (</w:t>
      </w:r>
      <w:proofErr w:type="spellStart"/>
      <w:r w:rsidRPr="00577852">
        <w:rPr>
          <w:rFonts w:ascii="Times New Roman" w:hAnsi="Times New Roman" w:cs="Times New Roman"/>
          <w:sz w:val="20"/>
          <w:szCs w:val="20"/>
        </w:rPr>
        <w:t>Biorad</w:t>
      </w:r>
      <w:proofErr w:type="spellEnd"/>
      <w:r w:rsidRPr="00577852">
        <w:rPr>
          <w:rFonts w:ascii="Times New Roman" w:hAnsi="Times New Roman" w:cs="Times New Roman"/>
          <w:sz w:val="20"/>
          <w:szCs w:val="20"/>
        </w:rPr>
        <w:t xml:space="preserve"> CFX96, Real-time system, C1000 Touch, Singapore) using TB Green Premix Ex </w:t>
      </w:r>
      <w:proofErr w:type="spellStart"/>
      <w:r w:rsidRPr="00577852">
        <w:rPr>
          <w:rFonts w:ascii="Times New Roman" w:hAnsi="Times New Roman" w:cs="Times New Roman"/>
          <w:sz w:val="20"/>
          <w:szCs w:val="20"/>
        </w:rPr>
        <w:t>TaqII</w:t>
      </w:r>
      <w:proofErr w:type="spellEnd"/>
      <w:r w:rsidRPr="00577852">
        <w:rPr>
          <w:rFonts w:ascii="Times New Roman" w:hAnsi="Times New Roman" w:cs="Times New Roman"/>
          <w:sz w:val="20"/>
          <w:szCs w:val="20"/>
        </w:rPr>
        <w:t xml:space="preserve"> (</w:t>
      </w:r>
      <w:proofErr w:type="spellStart"/>
      <w:r w:rsidRPr="00577852">
        <w:rPr>
          <w:rFonts w:ascii="Times New Roman" w:hAnsi="Times New Roman" w:cs="Times New Roman"/>
          <w:sz w:val="20"/>
          <w:szCs w:val="20"/>
        </w:rPr>
        <w:t>TaKaRa</w:t>
      </w:r>
      <w:proofErr w:type="spellEnd"/>
      <w:r w:rsidRPr="00577852">
        <w:rPr>
          <w:rFonts w:ascii="Times New Roman" w:hAnsi="Times New Roman" w:cs="Times New Roman"/>
          <w:sz w:val="20"/>
          <w:szCs w:val="20"/>
        </w:rPr>
        <w:t xml:space="preserve"> #RR82LR, Japan) or Power up SYBR green kit as specified earlier. Expression of bone-related genes </w:t>
      </w:r>
      <w:proofErr w:type="spellStart"/>
      <w:r w:rsidRPr="00577852">
        <w:rPr>
          <w:rFonts w:ascii="Times New Roman" w:hAnsi="Times New Roman" w:cs="Times New Roman"/>
          <w:i/>
          <w:sz w:val="20"/>
          <w:szCs w:val="20"/>
        </w:rPr>
        <w:t>Osteonectin</w:t>
      </w:r>
      <w:proofErr w:type="spellEnd"/>
      <w:r w:rsidRPr="00577852">
        <w:rPr>
          <w:rFonts w:ascii="Times New Roman" w:hAnsi="Times New Roman" w:cs="Times New Roman"/>
          <w:i/>
          <w:sz w:val="20"/>
          <w:szCs w:val="20"/>
        </w:rPr>
        <w:t xml:space="preserve"> (ONC), </w:t>
      </w:r>
      <w:proofErr w:type="spellStart"/>
      <w:r w:rsidRPr="00577852">
        <w:rPr>
          <w:rFonts w:ascii="Times New Roman" w:hAnsi="Times New Roman" w:cs="Times New Roman"/>
          <w:i/>
          <w:sz w:val="20"/>
          <w:szCs w:val="20"/>
        </w:rPr>
        <w:t>Osteopontin</w:t>
      </w:r>
      <w:proofErr w:type="spellEnd"/>
      <w:r w:rsidRPr="00577852">
        <w:rPr>
          <w:rFonts w:ascii="Times New Roman" w:hAnsi="Times New Roman" w:cs="Times New Roman"/>
          <w:i/>
          <w:sz w:val="20"/>
          <w:szCs w:val="20"/>
        </w:rPr>
        <w:t xml:space="preserve"> (OPN), RUNX2, </w:t>
      </w:r>
      <w:proofErr w:type="spellStart"/>
      <w:r w:rsidRPr="00577852">
        <w:rPr>
          <w:rFonts w:ascii="Times New Roman" w:hAnsi="Times New Roman" w:cs="Times New Roman"/>
          <w:i/>
          <w:sz w:val="20"/>
          <w:szCs w:val="20"/>
        </w:rPr>
        <w:t>Osterix</w:t>
      </w:r>
      <w:proofErr w:type="spellEnd"/>
      <w:r w:rsidRPr="00577852">
        <w:rPr>
          <w:rFonts w:ascii="Times New Roman" w:hAnsi="Times New Roman" w:cs="Times New Roman"/>
          <w:i/>
          <w:sz w:val="20"/>
          <w:szCs w:val="20"/>
        </w:rPr>
        <w:t xml:space="preserve"> (OSX), Osteocalcin (OCN), Bone morphogenetic proteins (BMP2, BMP4), Alkaline phosphatase (ALP) and Collagen type 1α1 (COL1α1)</w:t>
      </w:r>
      <w:r w:rsidRPr="00577852">
        <w:rPr>
          <w:rFonts w:ascii="Times New Roman" w:hAnsi="Times New Roman" w:cs="Times New Roman"/>
          <w:sz w:val="20"/>
          <w:szCs w:val="20"/>
        </w:rPr>
        <w:t xml:space="preserve"> (</w:t>
      </w:r>
      <w:r w:rsidRPr="00577852">
        <w:rPr>
          <w:rFonts w:ascii="Times New Roman" w:hAnsi="Times New Roman" w:cs="Times New Roman"/>
          <w:b/>
          <w:bCs/>
          <w:sz w:val="20"/>
          <w:szCs w:val="20"/>
        </w:rPr>
        <w:t xml:space="preserve">Table </w:t>
      </w:r>
      <w:r w:rsidR="00EE2547">
        <w:rPr>
          <w:rFonts w:ascii="Times New Roman" w:hAnsi="Times New Roman" w:cs="Times New Roman"/>
          <w:b/>
          <w:bCs/>
          <w:sz w:val="20"/>
          <w:szCs w:val="20"/>
        </w:rPr>
        <w:t>S</w:t>
      </w:r>
      <w:r w:rsidRPr="00577852">
        <w:rPr>
          <w:rFonts w:ascii="Times New Roman" w:hAnsi="Times New Roman" w:cs="Times New Roman"/>
          <w:b/>
          <w:bCs/>
          <w:sz w:val="20"/>
          <w:szCs w:val="20"/>
        </w:rPr>
        <w:t>1</w:t>
      </w:r>
      <w:r w:rsidRPr="00577852">
        <w:rPr>
          <w:rFonts w:ascii="Times New Roman" w:hAnsi="Times New Roman" w:cs="Times New Roman"/>
          <w:sz w:val="20"/>
          <w:szCs w:val="20"/>
        </w:rPr>
        <w:t>) were analyzed. The data were analyzed using the comparative threshold cycle value (ΔΔCT) method and presented as the relative mRNA expression level.</w:t>
      </w:r>
    </w:p>
    <w:p w14:paraId="3707B1B2" w14:textId="77777777" w:rsidR="004E6BB8" w:rsidRPr="00577852" w:rsidRDefault="004E6BB8" w:rsidP="004E6BB8">
      <w:pPr>
        <w:spacing w:after="120" w:line="360" w:lineRule="auto"/>
        <w:jc w:val="both"/>
        <w:rPr>
          <w:rFonts w:ascii="Times New Roman" w:hAnsi="Times New Roman" w:cs="Times New Roman"/>
          <w:sz w:val="20"/>
          <w:szCs w:val="20"/>
        </w:rPr>
      </w:pPr>
      <w:r w:rsidRPr="00577852">
        <w:rPr>
          <w:rFonts w:ascii="Times New Roman" w:hAnsi="Times New Roman" w:cs="Times New Roman"/>
          <w:b/>
          <w:bCs/>
          <w:sz w:val="20"/>
          <w:szCs w:val="20"/>
        </w:rPr>
        <w:t xml:space="preserve">Immunofluorescence staining: </w:t>
      </w:r>
      <w:r w:rsidRPr="00577852">
        <w:rPr>
          <w:rFonts w:ascii="Times New Roman" w:hAnsi="Times New Roman" w:cs="Times New Roman"/>
          <w:sz w:val="20"/>
          <w:szCs w:val="20"/>
        </w:rPr>
        <w:t xml:space="preserve">Following osteogenic differentiation at various time intervals along with their respective control groups to examine the protein expression of RUNX2 (1:200, rabbit </w:t>
      </w:r>
      <w:proofErr w:type="spellStart"/>
      <w:r w:rsidRPr="00577852">
        <w:rPr>
          <w:rFonts w:ascii="Times New Roman" w:hAnsi="Times New Roman" w:cs="Times New Roman"/>
          <w:sz w:val="20"/>
          <w:szCs w:val="20"/>
        </w:rPr>
        <w:t>mAb</w:t>
      </w:r>
      <w:proofErr w:type="spellEnd"/>
      <w:r w:rsidRPr="00577852">
        <w:rPr>
          <w:rFonts w:ascii="Times New Roman" w:hAnsi="Times New Roman" w:cs="Times New Roman"/>
          <w:sz w:val="20"/>
          <w:szCs w:val="20"/>
        </w:rPr>
        <w:t xml:space="preserve"> #12556, Cell Signaling Technology) and COL1α1 (1:200, Goat Anti-Mouse IgG, Abcam #ab90395) by immunofluorescence staining carried out as mentioned earlier. Corresponding </w:t>
      </w:r>
      <w:proofErr w:type="spellStart"/>
      <w:r w:rsidRPr="00577852">
        <w:rPr>
          <w:rFonts w:ascii="Times New Roman" w:hAnsi="Times New Roman" w:cs="Times New Roman"/>
          <w:sz w:val="20"/>
          <w:szCs w:val="20"/>
        </w:rPr>
        <w:t>Alexafluor</w:t>
      </w:r>
      <w:proofErr w:type="spellEnd"/>
      <w:r w:rsidRPr="00577852">
        <w:rPr>
          <w:rFonts w:ascii="Times New Roman" w:hAnsi="Times New Roman" w:cs="Times New Roman"/>
          <w:sz w:val="20"/>
          <w:szCs w:val="20"/>
        </w:rPr>
        <w:t xml:space="preserve"> 488 </w:t>
      </w:r>
      <w:proofErr w:type="spellStart"/>
      <w:r w:rsidRPr="00577852">
        <w:rPr>
          <w:rFonts w:ascii="Times New Roman" w:hAnsi="Times New Roman" w:cs="Times New Roman"/>
          <w:sz w:val="20"/>
          <w:szCs w:val="20"/>
        </w:rPr>
        <w:t>labeled</w:t>
      </w:r>
      <w:proofErr w:type="spellEnd"/>
      <w:r w:rsidRPr="00577852">
        <w:rPr>
          <w:rFonts w:ascii="Times New Roman" w:hAnsi="Times New Roman" w:cs="Times New Roman"/>
          <w:sz w:val="20"/>
          <w:szCs w:val="20"/>
        </w:rPr>
        <w:t xml:space="preserve"> secondary antibodies: Goat Anti Rabbit IgG H&amp;L (Abcam, Alexa Fluor® 488, # ab150077) and Goat Anti-Mouse IgG H&amp;L (Abcam, Alexa Fluor® 488, #ab150117) was used followed by mounting medium, Anti-fading with DAPI. An inverted fluorescence microscope was employed to observe and capture images of all stained cell samples.</w:t>
      </w:r>
    </w:p>
    <w:p w14:paraId="3D38C7E4" w14:textId="77777777" w:rsidR="00C6365D" w:rsidRDefault="00C6365D">
      <w:pPr>
        <w:rPr>
          <w:rFonts w:ascii="Times New Roman" w:hAnsi="Times New Roman" w:cs="Times New Roman"/>
          <w:b/>
          <w:sz w:val="24"/>
          <w:szCs w:val="24"/>
        </w:rPr>
      </w:pPr>
    </w:p>
    <w:p w14:paraId="46594195" w14:textId="77777777" w:rsidR="00C6365D" w:rsidRDefault="00C6365D">
      <w:pPr>
        <w:rPr>
          <w:rFonts w:ascii="Times New Roman" w:hAnsi="Times New Roman" w:cs="Times New Roman"/>
          <w:b/>
          <w:sz w:val="24"/>
          <w:szCs w:val="24"/>
        </w:rPr>
      </w:pPr>
    </w:p>
    <w:p w14:paraId="6935BD1B" w14:textId="77777777" w:rsidR="00C6365D" w:rsidRDefault="00C6365D">
      <w:pPr>
        <w:rPr>
          <w:rFonts w:ascii="Times New Roman" w:hAnsi="Times New Roman" w:cs="Times New Roman"/>
          <w:b/>
          <w:sz w:val="24"/>
          <w:szCs w:val="24"/>
        </w:rPr>
      </w:pPr>
    </w:p>
    <w:p w14:paraId="10B9DADD" w14:textId="77777777" w:rsidR="001D41BD" w:rsidRDefault="001D41BD" w:rsidP="00EE2547">
      <w:pPr>
        <w:spacing w:after="120" w:line="240" w:lineRule="auto"/>
        <w:ind w:left="142" w:right="95" w:hanging="284"/>
        <w:jc w:val="both"/>
        <w:rPr>
          <w:rFonts w:ascii="Times New Roman" w:hAnsi="Times New Roman" w:cs="Times New Roman"/>
          <w:b/>
          <w:sz w:val="24"/>
          <w:szCs w:val="24"/>
        </w:rPr>
      </w:pPr>
    </w:p>
    <w:p w14:paraId="5FE0A30E" w14:textId="2CFA130E" w:rsidR="00FB7FDC" w:rsidRPr="00EE2547" w:rsidRDefault="001D41BD" w:rsidP="00EE2547">
      <w:pPr>
        <w:spacing w:after="120" w:line="240" w:lineRule="auto"/>
        <w:ind w:left="142" w:right="95" w:hanging="284"/>
        <w:jc w:val="both"/>
        <w:rPr>
          <w:rFonts w:ascii="Times New Roman" w:hAnsi="Times New Roman" w:cs="Times New Roman"/>
          <w:b/>
          <w:sz w:val="20"/>
          <w:szCs w:val="20"/>
        </w:rPr>
      </w:pPr>
      <w:r>
        <w:rPr>
          <w:rFonts w:ascii="Times New Roman" w:hAnsi="Times New Roman" w:cs="Times New Roman"/>
          <w:b/>
          <w:sz w:val="24"/>
          <w:szCs w:val="24"/>
        </w:rPr>
        <w:lastRenderedPageBreak/>
        <w:t>Supplementary Table</w:t>
      </w:r>
      <w:r w:rsidR="00FB7FDC">
        <w:rPr>
          <w:rFonts w:ascii="Times New Roman" w:hAnsi="Times New Roman" w:cs="Times New Roman"/>
          <w:b/>
          <w:sz w:val="24"/>
          <w:szCs w:val="24"/>
        </w:rPr>
        <w:t xml:space="preserve"> </w:t>
      </w:r>
      <w:r w:rsidR="00EE2547">
        <w:rPr>
          <w:rFonts w:ascii="Times New Roman" w:hAnsi="Times New Roman" w:cs="Times New Roman"/>
          <w:b/>
          <w:sz w:val="24"/>
          <w:szCs w:val="24"/>
        </w:rPr>
        <w:t>S</w:t>
      </w:r>
      <w:r w:rsidR="00FB7FDC">
        <w:rPr>
          <w:rFonts w:ascii="Times New Roman" w:hAnsi="Times New Roman" w:cs="Times New Roman"/>
          <w:b/>
          <w:sz w:val="24"/>
          <w:szCs w:val="24"/>
        </w:rPr>
        <w:t>1</w:t>
      </w:r>
      <w:r w:rsidR="00EE2547">
        <w:rPr>
          <w:rFonts w:ascii="Times New Roman" w:hAnsi="Times New Roman" w:cs="Times New Roman"/>
          <w:b/>
          <w:sz w:val="24"/>
          <w:szCs w:val="24"/>
        </w:rPr>
        <w:t xml:space="preserve">: </w:t>
      </w:r>
      <w:r w:rsidR="00EE2547" w:rsidRPr="00577852">
        <w:rPr>
          <w:rFonts w:ascii="Times New Roman" w:hAnsi="Times New Roman" w:cs="Times New Roman"/>
          <w:bCs/>
          <w:sz w:val="20"/>
          <w:szCs w:val="20"/>
        </w:rPr>
        <w:t>Specific primers for real-time PCR with optimal annealing temperature</w:t>
      </w:r>
      <w:r w:rsidR="00EE2547" w:rsidRPr="00577852">
        <w:rPr>
          <w:rFonts w:ascii="Times New Roman" w:hAnsi="Times New Roman" w:cs="Times New Roman"/>
          <w:b/>
          <w:sz w:val="20"/>
          <w:szCs w:val="20"/>
        </w:rPr>
        <w:t xml:space="preserve">    </w:t>
      </w:r>
    </w:p>
    <w:tbl>
      <w:tblPr>
        <w:tblStyle w:val="TableGrid"/>
        <w:tblW w:w="0" w:type="auto"/>
        <w:tblLook w:val="04A0" w:firstRow="1" w:lastRow="0" w:firstColumn="1" w:lastColumn="0" w:noHBand="0" w:noVBand="1"/>
      </w:tblPr>
      <w:tblGrid>
        <w:gridCol w:w="851"/>
        <w:gridCol w:w="3891"/>
        <w:gridCol w:w="1346"/>
        <w:gridCol w:w="1637"/>
        <w:gridCol w:w="1291"/>
      </w:tblGrid>
      <w:tr w:rsidR="00FB7FDC" w:rsidRPr="00274FA7" w14:paraId="6883D0B7" w14:textId="77777777" w:rsidTr="00FB7FDC">
        <w:tc>
          <w:tcPr>
            <w:tcW w:w="851" w:type="dxa"/>
          </w:tcPr>
          <w:p w14:paraId="47DC3DB5" w14:textId="77777777" w:rsidR="00FB7FDC" w:rsidRPr="00274FA7" w:rsidRDefault="00FB7FDC" w:rsidP="00C96DE5">
            <w:pPr>
              <w:spacing w:after="120" w:line="360" w:lineRule="auto"/>
              <w:jc w:val="center"/>
              <w:rPr>
                <w:rFonts w:ascii="Times New Roman" w:hAnsi="Times New Roman" w:cs="Times New Roman"/>
                <w:b/>
                <w:bCs/>
              </w:rPr>
            </w:pPr>
            <w:r w:rsidRPr="00274FA7">
              <w:rPr>
                <w:rFonts w:ascii="Times New Roman" w:hAnsi="Times New Roman" w:cs="Times New Roman"/>
                <w:b/>
                <w:bCs/>
                <w:sz w:val="18"/>
                <w:szCs w:val="18"/>
                <w:lang w:val="en-US"/>
              </w:rPr>
              <w:t>Gene</w:t>
            </w:r>
          </w:p>
        </w:tc>
        <w:tc>
          <w:tcPr>
            <w:tcW w:w="3891" w:type="dxa"/>
          </w:tcPr>
          <w:p w14:paraId="673818A0" w14:textId="77777777" w:rsidR="00FB7FDC" w:rsidRPr="00274FA7" w:rsidRDefault="00FB7FDC" w:rsidP="00C96DE5">
            <w:pPr>
              <w:spacing w:after="120" w:line="360" w:lineRule="auto"/>
              <w:jc w:val="center"/>
              <w:rPr>
                <w:rFonts w:ascii="Times New Roman" w:hAnsi="Times New Roman" w:cs="Times New Roman"/>
                <w:b/>
                <w:bCs/>
              </w:rPr>
            </w:pPr>
            <w:r w:rsidRPr="00274FA7">
              <w:rPr>
                <w:rFonts w:ascii="Times New Roman" w:hAnsi="Times New Roman" w:cs="Times New Roman"/>
                <w:b/>
                <w:bCs/>
                <w:sz w:val="18"/>
                <w:szCs w:val="18"/>
                <w:lang w:val="en-US"/>
              </w:rPr>
              <w:t>Primer</w:t>
            </w:r>
          </w:p>
        </w:tc>
        <w:tc>
          <w:tcPr>
            <w:tcW w:w="1346" w:type="dxa"/>
          </w:tcPr>
          <w:p w14:paraId="6E15A417" w14:textId="77777777" w:rsidR="00FB7FDC" w:rsidRPr="00274FA7" w:rsidRDefault="00FB7FDC" w:rsidP="00C96DE5">
            <w:pPr>
              <w:spacing w:after="120" w:line="360" w:lineRule="auto"/>
              <w:jc w:val="center"/>
              <w:rPr>
                <w:rFonts w:ascii="Times New Roman" w:hAnsi="Times New Roman" w:cs="Times New Roman"/>
                <w:b/>
                <w:bCs/>
              </w:rPr>
            </w:pPr>
            <w:r w:rsidRPr="00274FA7">
              <w:rPr>
                <w:rFonts w:ascii="Times New Roman" w:hAnsi="Times New Roman" w:cs="Times New Roman"/>
                <w:b/>
                <w:bCs/>
                <w:sz w:val="18"/>
                <w:szCs w:val="18"/>
                <w:lang w:val="en-US"/>
              </w:rPr>
              <w:t>Product (bp)</w:t>
            </w:r>
          </w:p>
        </w:tc>
        <w:tc>
          <w:tcPr>
            <w:tcW w:w="1637" w:type="dxa"/>
          </w:tcPr>
          <w:p w14:paraId="4F44EAC2" w14:textId="77777777" w:rsidR="00FB7FDC" w:rsidRPr="00274FA7" w:rsidRDefault="00FB7FDC" w:rsidP="00C96DE5">
            <w:pPr>
              <w:spacing w:after="120" w:line="360" w:lineRule="auto"/>
              <w:jc w:val="center"/>
              <w:rPr>
                <w:rFonts w:ascii="Times New Roman" w:hAnsi="Times New Roman" w:cs="Times New Roman"/>
                <w:b/>
                <w:bCs/>
                <w:sz w:val="18"/>
                <w:szCs w:val="18"/>
                <w:lang w:val="en-US"/>
              </w:rPr>
            </w:pPr>
            <w:r w:rsidRPr="00274FA7">
              <w:rPr>
                <w:rFonts w:ascii="Times New Roman" w:hAnsi="Times New Roman" w:cs="Times New Roman"/>
                <w:b/>
                <w:bCs/>
                <w:sz w:val="18"/>
                <w:szCs w:val="18"/>
                <w:lang w:val="en-US"/>
              </w:rPr>
              <w:t>Annealing temperature (°C)</w:t>
            </w:r>
          </w:p>
        </w:tc>
        <w:tc>
          <w:tcPr>
            <w:tcW w:w="1291" w:type="dxa"/>
          </w:tcPr>
          <w:p w14:paraId="21EEFD9A" w14:textId="77777777" w:rsidR="00FB7FDC" w:rsidRPr="00274FA7" w:rsidRDefault="00FB7FDC" w:rsidP="00C96DE5">
            <w:pPr>
              <w:spacing w:after="120" w:line="360" w:lineRule="auto"/>
              <w:jc w:val="center"/>
              <w:rPr>
                <w:rFonts w:ascii="Times New Roman" w:hAnsi="Times New Roman" w:cs="Times New Roman"/>
                <w:b/>
                <w:bCs/>
              </w:rPr>
            </w:pPr>
            <w:r w:rsidRPr="00274FA7">
              <w:rPr>
                <w:rFonts w:ascii="Times New Roman" w:hAnsi="Times New Roman" w:cs="Times New Roman"/>
                <w:b/>
                <w:bCs/>
                <w:sz w:val="18"/>
                <w:szCs w:val="18"/>
                <w:lang w:val="en-US"/>
              </w:rPr>
              <w:t>Reference</w:t>
            </w:r>
          </w:p>
        </w:tc>
      </w:tr>
      <w:tr w:rsidR="00FB7FDC" w:rsidRPr="00274FA7" w14:paraId="7195FBFE" w14:textId="77777777" w:rsidTr="00FB7FDC">
        <w:tc>
          <w:tcPr>
            <w:tcW w:w="851" w:type="dxa"/>
          </w:tcPr>
          <w:p w14:paraId="23EAD92B" w14:textId="77777777" w:rsidR="00FB7FDC" w:rsidRPr="0022584A" w:rsidRDefault="00FB7FDC" w:rsidP="00C96DE5">
            <w:pPr>
              <w:spacing w:after="120" w:line="360" w:lineRule="auto"/>
              <w:jc w:val="center"/>
              <w:rPr>
                <w:rFonts w:ascii="Times New Roman" w:hAnsi="Times New Roman" w:cs="Times New Roman"/>
                <w:i/>
              </w:rPr>
            </w:pPr>
            <w:r w:rsidRPr="0022584A">
              <w:rPr>
                <w:rFonts w:ascii="Times New Roman" w:hAnsi="Times New Roman" w:cs="Times New Roman"/>
                <w:i/>
                <w:sz w:val="18"/>
                <w:szCs w:val="18"/>
              </w:rPr>
              <w:t>CD90</w:t>
            </w:r>
          </w:p>
        </w:tc>
        <w:tc>
          <w:tcPr>
            <w:tcW w:w="3891" w:type="dxa"/>
          </w:tcPr>
          <w:p w14:paraId="039A148D" w14:textId="77777777" w:rsidR="00FB7FDC" w:rsidRPr="00274FA7" w:rsidRDefault="00FB7FDC" w:rsidP="00C96DE5">
            <w:pPr>
              <w:spacing w:after="120" w:line="360" w:lineRule="auto"/>
              <w:rPr>
                <w:rFonts w:ascii="Times New Roman" w:hAnsi="Times New Roman" w:cs="Times New Roman"/>
                <w:sz w:val="18"/>
                <w:szCs w:val="18"/>
              </w:rPr>
            </w:pPr>
            <w:r w:rsidRPr="00274FA7">
              <w:rPr>
                <w:rFonts w:ascii="Times New Roman" w:hAnsi="Times New Roman" w:cs="Times New Roman"/>
                <w:sz w:val="18"/>
                <w:szCs w:val="18"/>
              </w:rPr>
              <w:t>F: 5′-CCTGACCCGAGAGAAGAA-3′</w:t>
            </w:r>
          </w:p>
          <w:p w14:paraId="4913151A" w14:textId="77777777" w:rsidR="00FB7FDC" w:rsidRPr="00274FA7" w:rsidRDefault="00FB7FDC" w:rsidP="00C96DE5">
            <w:pPr>
              <w:spacing w:after="120" w:line="360" w:lineRule="auto"/>
              <w:rPr>
                <w:rFonts w:ascii="Times New Roman" w:hAnsi="Times New Roman" w:cs="Times New Roman"/>
              </w:rPr>
            </w:pPr>
            <w:r w:rsidRPr="00274FA7">
              <w:rPr>
                <w:rFonts w:ascii="Times New Roman" w:hAnsi="Times New Roman" w:cs="Times New Roman"/>
                <w:sz w:val="18"/>
                <w:szCs w:val="18"/>
              </w:rPr>
              <w:t>R: 5′-TGAAGTTGGCTAGAGTAAGGA-3′</w:t>
            </w:r>
          </w:p>
        </w:tc>
        <w:tc>
          <w:tcPr>
            <w:tcW w:w="1346" w:type="dxa"/>
          </w:tcPr>
          <w:p w14:paraId="7C1D62E7"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125</w:t>
            </w:r>
          </w:p>
        </w:tc>
        <w:tc>
          <w:tcPr>
            <w:tcW w:w="1637" w:type="dxa"/>
          </w:tcPr>
          <w:p w14:paraId="0E683DAB"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60</w:t>
            </w:r>
          </w:p>
        </w:tc>
        <w:tc>
          <w:tcPr>
            <w:tcW w:w="1291" w:type="dxa"/>
          </w:tcPr>
          <w:p w14:paraId="50128570"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rPr>
              <w:fldChar w:fldCharType="begin"/>
            </w:r>
            <w:r w:rsidR="00742AD4">
              <w:rPr>
                <w:rFonts w:ascii="Times New Roman" w:hAnsi="Times New Roman" w:cs="Times New Roman"/>
                <w:sz w:val="18"/>
                <w:szCs w:val="18"/>
              </w:rPr>
              <w:instrText xml:space="preserve"> ADDIN ZOTERO_ITEM CSL_CITATION {"citationID":"DiaTwtqd","properties":{"formattedCitation":"[3]","plainCitation":"[3]","noteIndex":0},"citationItems":[{"id":75,"uris":["http://zotero.org/users/local/5kbo7PDZ/items/AM2Y39H5"],"itemData":{"id":75,"type":"article-journal","abstract":"Within bone, mesenchymal stromal cells (MSCs) exist within the bone marrow stroma (BM-MSC) and the endosteal niche, as cells lining compact bone (CB-MSCs). This study isolated and characterised heterogeneous MSC populations from each niche and subsequently investigated the effects of extensive cell expansion, analysing population doublings (PDs)/cellular senescence, colony-forming efficiencies (CFEs), MSC cell marker expression, and osteogenic/adipogenic differentiation. CB-MSCs and BM-MSCs demonstrated similar morphologies and PDs, reaching 100 PDs. Both populations exhibited consistent telomere lengths (12–17 kb), minimal senescence, and positive telomerase expression. CB-MSCs (PD15) had significantly lower CFEs than PD50. CB-MSCs and BM-MSCs both expressed MSC (CD73/CD90/CD105); embryonic (Nanog) and osteogenic markers (Runx2, osteocalcin) but no hematopoietic markers (CD45). CB-MSCs (PD15) strongly expressed Oct4 and p16\n              INK4A\n              . At early PDs, CB-MSCs possessed a strong osteogenic potency and low potency for adipogenesis, whilst BM-MSCs possessed greater overall bipotentiality for osteogenesis and adipogenesis. At PD50, CB-MSCs demonstrated reduced potency for both osteogenesis and adipogenesis, compared to BM-MSCs at equivalent PDs. This study demonstrates similarities in proliferative and mesenchymal cell characteristics between CB-MSCs and BM-MSCs, but contrasting multipotentiality. Such findings support further comparisons of human CB-MSCs and BM-MSCs, facilitating selection of optimal MSC populations for regenerative medicine purposes.","container-title":"Stem Cells International","DOI":"10.1155/2018/6869128","ISSN":"1687-966X, 1687-9678","journalAbbreviation":"Stem Cells International","language":"en","page":"1-14","source":"DOI.org (Crossref)","title":"Isolation and Characterisation of Mesenchymal Stem Cells from Rat Bone Marrow and the Endosteal Niche: A Comparative Study","title-short":"Isolation and Characterisation of Mesenchymal Stem Cells from Rat Bone Marrow and the Endosteal Niche","volume":"2018","author":[{"family":"Yusop","given":"Norhayati"},{"family":"Battersby","given":"Paul"},{"family":"Alraies","given":"Amr"},{"family":"Sloan","given":"Alastair J."},{"family":"Moseley","given":"Ryan"},{"family":"Waddington","given":"Rachel J."}],"issued":{"date-parts":[["2018"]]}}}],"schema":"https://github.com/citation-style-language/schema/raw/master/csl-citation.json"} </w:instrText>
            </w:r>
            <w:r w:rsidRPr="00274FA7">
              <w:rPr>
                <w:rFonts w:ascii="Times New Roman" w:hAnsi="Times New Roman" w:cs="Times New Roman"/>
                <w:sz w:val="18"/>
                <w:szCs w:val="18"/>
              </w:rPr>
              <w:fldChar w:fldCharType="separate"/>
            </w:r>
            <w:r w:rsidR="00742AD4" w:rsidRPr="00742AD4">
              <w:rPr>
                <w:rFonts w:ascii="Times New Roman" w:hAnsi="Times New Roman" w:cs="Times New Roman"/>
                <w:sz w:val="18"/>
              </w:rPr>
              <w:t>[3]</w:t>
            </w:r>
            <w:r w:rsidRPr="00274FA7">
              <w:rPr>
                <w:rFonts w:ascii="Times New Roman" w:hAnsi="Times New Roman" w:cs="Times New Roman"/>
                <w:sz w:val="18"/>
                <w:szCs w:val="18"/>
              </w:rPr>
              <w:fldChar w:fldCharType="end"/>
            </w:r>
          </w:p>
        </w:tc>
      </w:tr>
      <w:tr w:rsidR="00FB7FDC" w:rsidRPr="00274FA7" w14:paraId="3E3567B3" w14:textId="77777777" w:rsidTr="00FB7FDC">
        <w:tc>
          <w:tcPr>
            <w:tcW w:w="851" w:type="dxa"/>
          </w:tcPr>
          <w:p w14:paraId="21F1251A" w14:textId="77777777" w:rsidR="00FB7FDC" w:rsidRPr="0022584A" w:rsidRDefault="00FB7FDC" w:rsidP="00C96DE5">
            <w:pPr>
              <w:spacing w:after="120" w:line="360" w:lineRule="auto"/>
              <w:jc w:val="center"/>
              <w:rPr>
                <w:rFonts w:ascii="Times New Roman" w:hAnsi="Times New Roman" w:cs="Times New Roman"/>
                <w:i/>
              </w:rPr>
            </w:pPr>
            <w:r w:rsidRPr="0022584A">
              <w:rPr>
                <w:rFonts w:ascii="Times New Roman" w:hAnsi="Times New Roman" w:cs="Times New Roman"/>
                <w:i/>
                <w:sz w:val="18"/>
                <w:szCs w:val="18"/>
              </w:rPr>
              <w:t>CD34</w:t>
            </w:r>
          </w:p>
        </w:tc>
        <w:tc>
          <w:tcPr>
            <w:tcW w:w="3891" w:type="dxa"/>
          </w:tcPr>
          <w:p w14:paraId="3B292A97" w14:textId="77777777" w:rsidR="00FB7FDC" w:rsidRPr="00274FA7" w:rsidRDefault="00FB7FDC" w:rsidP="00C96DE5">
            <w:pPr>
              <w:spacing w:after="120" w:line="360" w:lineRule="auto"/>
              <w:rPr>
                <w:rFonts w:ascii="Times New Roman" w:hAnsi="Times New Roman" w:cs="Times New Roman"/>
                <w:sz w:val="18"/>
                <w:szCs w:val="18"/>
              </w:rPr>
            </w:pPr>
            <w:r w:rsidRPr="00274FA7">
              <w:rPr>
                <w:rFonts w:ascii="Times New Roman" w:hAnsi="Times New Roman" w:cs="Times New Roman"/>
                <w:sz w:val="18"/>
                <w:szCs w:val="18"/>
              </w:rPr>
              <w:t>F: 5′-GTCACACTGCCTACTACTTC-3′</w:t>
            </w:r>
          </w:p>
          <w:p w14:paraId="3553BC05" w14:textId="77777777" w:rsidR="00FB7FDC" w:rsidRPr="00274FA7" w:rsidRDefault="00FB7FDC" w:rsidP="00C96DE5">
            <w:pPr>
              <w:spacing w:after="120" w:line="360" w:lineRule="auto"/>
              <w:rPr>
                <w:rFonts w:ascii="Times New Roman" w:hAnsi="Times New Roman" w:cs="Times New Roman"/>
              </w:rPr>
            </w:pPr>
            <w:r w:rsidRPr="00274FA7">
              <w:rPr>
                <w:rFonts w:ascii="Times New Roman" w:hAnsi="Times New Roman" w:cs="Times New Roman"/>
                <w:sz w:val="18"/>
                <w:szCs w:val="18"/>
              </w:rPr>
              <w:t>R: 5′-TCCTCGGATTCCTGAACAT-3′</w:t>
            </w:r>
          </w:p>
        </w:tc>
        <w:tc>
          <w:tcPr>
            <w:tcW w:w="1346" w:type="dxa"/>
          </w:tcPr>
          <w:p w14:paraId="6860EB7F"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rPr>
              <w:t>210</w:t>
            </w:r>
          </w:p>
        </w:tc>
        <w:tc>
          <w:tcPr>
            <w:tcW w:w="1637" w:type="dxa"/>
          </w:tcPr>
          <w:p w14:paraId="6937659D"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w:t>
            </w:r>
          </w:p>
        </w:tc>
        <w:tc>
          <w:tcPr>
            <w:tcW w:w="1291" w:type="dxa"/>
          </w:tcPr>
          <w:p w14:paraId="0D422941"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rPr>
              <w:fldChar w:fldCharType="begin"/>
            </w:r>
            <w:r w:rsidR="00742AD4">
              <w:rPr>
                <w:rFonts w:ascii="Times New Roman" w:hAnsi="Times New Roman" w:cs="Times New Roman"/>
                <w:sz w:val="18"/>
                <w:szCs w:val="18"/>
              </w:rPr>
              <w:instrText xml:space="preserve"> ADDIN ZOTERO_ITEM CSL_CITATION {"citationID":"MDWKRjQN","properties":{"formattedCitation":"[4]","plainCitation":"[4]","noteIndex":0},"citationItems":[{"id":82,"uris":["http://zotero.org/users/local/5kbo7PDZ/items/4979PADQ"],"itemData":{"id":82,"type":"report","abstract":"Statement The in vitro differentiation of rMSCs provides an excellent model for studying cell commitment and their potential in stem cell technology. We have demonstrated that rat bone marrow derived MSCs are able to differentiate into germ-line cells in vitro which has an enormous scope in the advancement of fertility research. In future, this technique can be utilized in different domestic animal species for propagation of elite germ plasm.","genre":"preprint","language":"en","note":"DOI: 10.1101/418962","publisher":"Cell Biology","source":"DOI.org (Crossref)","title":"Rat bone marrow derived mesenchymal stem cells differentiate to germ cell like cells","URL":"http://biorxiv.org/lookup/doi/10.1101/418962","author":[{"family":"Kumar","given":"Kuldeep"},{"family":"Das","given":"Kinsuk"},{"family":"Madhusoodan","given":"Ap"},{"family":"Kumar","given":"Ajay"},{"family":"Singh","given":"Purnima"},{"family":"Mondal","given":"Tanmay"},{"family":"Bag","given":"Sadhan"}],"accessed":{"date-parts":[["2023",4,10]]},"issued":{"date-parts":[["2018",9,15]]}}}],"schema":"https://github.com/citation-style-language/schema/raw/master/csl-citation.json"} </w:instrText>
            </w:r>
            <w:r w:rsidRPr="00274FA7">
              <w:rPr>
                <w:rFonts w:ascii="Times New Roman" w:hAnsi="Times New Roman" w:cs="Times New Roman"/>
                <w:sz w:val="18"/>
                <w:szCs w:val="18"/>
              </w:rPr>
              <w:fldChar w:fldCharType="separate"/>
            </w:r>
            <w:r w:rsidR="00742AD4" w:rsidRPr="00742AD4">
              <w:rPr>
                <w:rFonts w:ascii="Times New Roman" w:hAnsi="Times New Roman" w:cs="Times New Roman"/>
                <w:sz w:val="18"/>
              </w:rPr>
              <w:t>[4]</w:t>
            </w:r>
            <w:r w:rsidRPr="00274FA7">
              <w:rPr>
                <w:rFonts w:ascii="Times New Roman" w:hAnsi="Times New Roman" w:cs="Times New Roman"/>
                <w:sz w:val="18"/>
                <w:szCs w:val="18"/>
              </w:rPr>
              <w:fldChar w:fldCharType="end"/>
            </w:r>
          </w:p>
        </w:tc>
      </w:tr>
      <w:tr w:rsidR="00FB7FDC" w:rsidRPr="00274FA7" w14:paraId="0F17233F" w14:textId="77777777" w:rsidTr="00FB7FDC">
        <w:tc>
          <w:tcPr>
            <w:tcW w:w="851" w:type="dxa"/>
          </w:tcPr>
          <w:p w14:paraId="21D803A3" w14:textId="77777777" w:rsidR="00FB7FDC" w:rsidRPr="0022584A" w:rsidRDefault="00FB7FDC" w:rsidP="00C96DE5">
            <w:pPr>
              <w:spacing w:after="120" w:line="360" w:lineRule="auto"/>
              <w:jc w:val="center"/>
              <w:rPr>
                <w:rFonts w:ascii="Times New Roman" w:hAnsi="Times New Roman" w:cs="Times New Roman"/>
                <w:i/>
              </w:rPr>
            </w:pPr>
            <w:r w:rsidRPr="0022584A">
              <w:rPr>
                <w:rFonts w:ascii="Times New Roman" w:hAnsi="Times New Roman" w:cs="Times New Roman"/>
                <w:i/>
                <w:sz w:val="18"/>
                <w:szCs w:val="18"/>
              </w:rPr>
              <w:t>CD 73</w:t>
            </w:r>
          </w:p>
        </w:tc>
        <w:tc>
          <w:tcPr>
            <w:tcW w:w="3891" w:type="dxa"/>
          </w:tcPr>
          <w:p w14:paraId="7710543C" w14:textId="77777777" w:rsidR="00FB7FDC" w:rsidRPr="00274FA7" w:rsidRDefault="00FB7FDC" w:rsidP="00C96DE5">
            <w:pPr>
              <w:spacing w:after="120" w:line="360" w:lineRule="auto"/>
              <w:rPr>
                <w:rFonts w:ascii="Times New Roman" w:hAnsi="Times New Roman" w:cs="Times New Roman"/>
                <w:sz w:val="18"/>
                <w:szCs w:val="18"/>
              </w:rPr>
            </w:pPr>
            <w:r w:rsidRPr="00274FA7">
              <w:rPr>
                <w:rFonts w:ascii="Times New Roman" w:hAnsi="Times New Roman" w:cs="Times New Roman"/>
                <w:sz w:val="18"/>
                <w:szCs w:val="18"/>
              </w:rPr>
              <w:t>F: 5' CTGGTCAACGGTGGGGATGGATTC 3'</w:t>
            </w:r>
          </w:p>
          <w:p w14:paraId="487C81B3" w14:textId="77777777" w:rsidR="00FB7FDC" w:rsidRPr="00274FA7" w:rsidRDefault="00FB7FDC" w:rsidP="00C96DE5">
            <w:pPr>
              <w:spacing w:after="120" w:line="360" w:lineRule="auto"/>
              <w:rPr>
                <w:rFonts w:ascii="Times New Roman" w:hAnsi="Times New Roman" w:cs="Times New Roman"/>
              </w:rPr>
            </w:pPr>
            <w:r w:rsidRPr="00274FA7">
              <w:rPr>
                <w:rFonts w:ascii="Times New Roman" w:hAnsi="Times New Roman" w:cs="Times New Roman"/>
                <w:sz w:val="18"/>
                <w:szCs w:val="18"/>
              </w:rPr>
              <w:t>R: 5' TCCGTCCTTCAACTGCTGGGTAAA 3'</w:t>
            </w:r>
          </w:p>
        </w:tc>
        <w:tc>
          <w:tcPr>
            <w:tcW w:w="1346" w:type="dxa"/>
          </w:tcPr>
          <w:p w14:paraId="6B888C43"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rPr>
              <w:t>136</w:t>
            </w:r>
          </w:p>
        </w:tc>
        <w:tc>
          <w:tcPr>
            <w:tcW w:w="1637" w:type="dxa"/>
          </w:tcPr>
          <w:p w14:paraId="7079D72E"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60</w:t>
            </w:r>
          </w:p>
        </w:tc>
        <w:tc>
          <w:tcPr>
            <w:tcW w:w="1291" w:type="dxa"/>
          </w:tcPr>
          <w:p w14:paraId="0D40EED5"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rPr>
              <w:fldChar w:fldCharType="begin"/>
            </w:r>
            <w:r w:rsidR="00742AD4">
              <w:rPr>
                <w:rFonts w:ascii="Times New Roman" w:hAnsi="Times New Roman" w:cs="Times New Roman"/>
                <w:sz w:val="18"/>
                <w:szCs w:val="18"/>
              </w:rPr>
              <w:instrText xml:space="preserve"> ADDIN ZOTERO_ITEM CSL_CITATION {"citationID":"gUNzPVy8","properties":{"formattedCitation":"[4]","plainCitation":"[4]","noteIndex":0},"citationItems":[{"id":82,"uris":["http://zotero.org/users/local/5kbo7PDZ/items/4979PADQ"],"itemData":{"id":82,"type":"report","abstract":"Statement The in vitro differentiation of rMSCs provides an excellent model for studying cell commitment and their potential in stem cell technology. We have demonstrated that rat bone marrow derived MSCs are able to differentiate into germ-line cells in vitro which has an enormous scope in the advancement of fertility research. In future, this technique can be utilized in different domestic animal species for propagation of elite germ plasm.","genre":"preprint","language":"en","note":"DOI: 10.1101/418962","publisher":"Cell Biology","source":"DOI.org (Crossref)","title":"Rat bone marrow derived mesenchymal stem cells differentiate to germ cell like cells","URL":"http://biorxiv.org/lookup/doi/10.1101/418962","author":[{"family":"Kumar","given":"Kuldeep"},{"family":"Das","given":"Kinsuk"},{"family":"Madhusoodan","given":"Ap"},{"family":"Kumar","given":"Ajay"},{"family":"Singh","given":"Purnima"},{"family":"Mondal","given":"Tanmay"},{"family":"Bag","given":"Sadhan"}],"accessed":{"date-parts":[["2023",4,10]]},"issued":{"date-parts":[["2018",9,15]]}}}],"schema":"https://github.com/citation-style-language/schema/raw/master/csl-citation.json"} </w:instrText>
            </w:r>
            <w:r w:rsidRPr="00274FA7">
              <w:rPr>
                <w:rFonts w:ascii="Times New Roman" w:hAnsi="Times New Roman" w:cs="Times New Roman"/>
                <w:sz w:val="18"/>
                <w:szCs w:val="18"/>
              </w:rPr>
              <w:fldChar w:fldCharType="separate"/>
            </w:r>
            <w:r w:rsidR="00742AD4" w:rsidRPr="00742AD4">
              <w:rPr>
                <w:rFonts w:ascii="Times New Roman" w:hAnsi="Times New Roman" w:cs="Times New Roman"/>
                <w:sz w:val="18"/>
              </w:rPr>
              <w:t>[4]</w:t>
            </w:r>
            <w:r w:rsidRPr="00274FA7">
              <w:rPr>
                <w:rFonts w:ascii="Times New Roman" w:hAnsi="Times New Roman" w:cs="Times New Roman"/>
                <w:sz w:val="18"/>
                <w:szCs w:val="18"/>
              </w:rPr>
              <w:fldChar w:fldCharType="end"/>
            </w:r>
          </w:p>
        </w:tc>
      </w:tr>
      <w:tr w:rsidR="00FB7FDC" w:rsidRPr="00274FA7" w14:paraId="0286299C" w14:textId="77777777" w:rsidTr="00FB7FDC">
        <w:tc>
          <w:tcPr>
            <w:tcW w:w="851" w:type="dxa"/>
          </w:tcPr>
          <w:p w14:paraId="05AFCE67" w14:textId="77777777" w:rsidR="00FB7FDC" w:rsidRPr="0022584A" w:rsidRDefault="00FB7FDC" w:rsidP="00C96DE5">
            <w:pPr>
              <w:spacing w:after="120" w:line="360" w:lineRule="auto"/>
              <w:jc w:val="center"/>
              <w:rPr>
                <w:rFonts w:ascii="Times New Roman" w:hAnsi="Times New Roman" w:cs="Times New Roman"/>
                <w:i/>
              </w:rPr>
            </w:pPr>
            <w:r w:rsidRPr="0022584A">
              <w:rPr>
                <w:rFonts w:ascii="Times New Roman" w:hAnsi="Times New Roman" w:cs="Times New Roman"/>
                <w:i/>
                <w:sz w:val="18"/>
                <w:szCs w:val="18"/>
              </w:rPr>
              <w:t>CD105</w:t>
            </w:r>
          </w:p>
        </w:tc>
        <w:tc>
          <w:tcPr>
            <w:tcW w:w="3891" w:type="dxa"/>
          </w:tcPr>
          <w:p w14:paraId="448E06D5" w14:textId="77777777" w:rsidR="00FB7FDC" w:rsidRPr="00274FA7" w:rsidRDefault="00FB7FDC" w:rsidP="00C96DE5">
            <w:pPr>
              <w:spacing w:after="120" w:line="360" w:lineRule="auto"/>
              <w:rPr>
                <w:rFonts w:ascii="Times New Roman" w:hAnsi="Times New Roman" w:cs="Times New Roman"/>
                <w:sz w:val="18"/>
                <w:szCs w:val="18"/>
              </w:rPr>
            </w:pPr>
            <w:r w:rsidRPr="00274FA7">
              <w:rPr>
                <w:rFonts w:ascii="Times New Roman" w:hAnsi="Times New Roman" w:cs="Times New Roman"/>
                <w:sz w:val="18"/>
                <w:szCs w:val="18"/>
              </w:rPr>
              <w:t>F: 5' CCCCCGTACGTCTCCTGGCTCATC 3'</w:t>
            </w:r>
          </w:p>
          <w:p w14:paraId="17A8E2D0" w14:textId="77777777" w:rsidR="00FB7FDC" w:rsidRPr="00274FA7" w:rsidRDefault="00FB7FDC" w:rsidP="00C96DE5">
            <w:pPr>
              <w:spacing w:after="120" w:line="360" w:lineRule="auto"/>
              <w:rPr>
                <w:rFonts w:ascii="Times New Roman" w:hAnsi="Times New Roman" w:cs="Times New Roman"/>
              </w:rPr>
            </w:pPr>
            <w:r w:rsidRPr="00274FA7">
              <w:rPr>
                <w:rFonts w:ascii="Times New Roman" w:hAnsi="Times New Roman" w:cs="Times New Roman"/>
                <w:sz w:val="18"/>
                <w:szCs w:val="18"/>
              </w:rPr>
              <w:t>R: 5' GGGGTGTGTCTGGGAGCTCGAA 3'</w:t>
            </w:r>
          </w:p>
        </w:tc>
        <w:tc>
          <w:tcPr>
            <w:tcW w:w="1346" w:type="dxa"/>
          </w:tcPr>
          <w:p w14:paraId="4511F957"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rPr>
              <w:t>124</w:t>
            </w:r>
          </w:p>
        </w:tc>
        <w:tc>
          <w:tcPr>
            <w:tcW w:w="1637" w:type="dxa"/>
          </w:tcPr>
          <w:p w14:paraId="5D9745C9"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62</w:t>
            </w:r>
          </w:p>
        </w:tc>
        <w:tc>
          <w:tcPr>
            <w:tcW w:w="1291" w:type="dxa"/>
          </w:tcPr>
          <w:p w14:paraId="0F5D1F4B"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rPr>
              <w:fldChar w:fldCharType="begin"/>
            </w:r>
            <w:r w:rsidR="00742AD4">
              <w:rPr>
                <w:rFonts w:ascii="Times New Roman" w:hAnsi="Times New Roman" w:cs="Times New Roman"/>
                <w:sz w:val="18"/>
                <w:szCs w:val="18"/>
              </w:rPr>
              <w:instrText xml:space="preserve"> ADDIN ZOTERO_ITEM CSL_CITATION {"citationID":"CaSKvehp","properties":{"formattedCitation":"(Yusop et al., 2018)","plainCitation":"(Yusop et al., 2018)","dontUpdate":true,"noteIndex":0},"citationItems":[{"id":75,"uris":["http://zotero.org/users/local/5kbo7PDZ/items/AM2Y39H5"],"itemData":{"id":75,"type":"article-journal","abstract":"Within bone, mesenchymal stromal cells (MSCs) exist within the bone marrow stroma (BM-MSC) and the endosteal niche, as cells lining compact bone (CB-MSCs). This study isolated and characterised heterogeneous MSC populations from each niche and subsequently investigated the effects of extensive cell expansion, analysing population doublings (PDs)/cellular senescence, colony-forming efficiencies (CFEs), MSC cell marker expression, and osteogenic/adipogenic differentiation. CB-MSCs and BM-MSCs demonstrated similar morphologies and PDs, reaching 100 PDs. Both populations exhibited consistent telomere lengths (12–17 kb), minimal senescence, and positive telomerase expression. CB-MSCs (PD15) had significantly lower CFEs than PD50. CB-MSCs and BM-MSCs both expressed MSC (CD73/CD90/CD105); embryonic (Nanog) and osteogenic markers (Runx2, osteocalcin) but no hematopoietic markers (CD45). CB-MSCs (PD15) strongly expressed Oct4 and p16\n              INK4A\n              . At early PDs, CB-MSCs possessed a strong osteogenic potency and low potency for adipogenesis, whilst BM-MSCs possessed greater overall bipotentiality for osteogenesis and adipogenesis. At PD50, CB-MSCs demonstrated reduced potency for both osteogenesis and adipogenesis, compared to BM-MSCs at equivalent PDs. This study demonstrates similarities in proliferative and mesenchymal cell characteristics between CB-MSCs and BM-MSCs, but contrasting multipotentiality. Such findings support further comparisons of human CB-MSCs and BM-MSCs, facilitating selection of optimal MSC populations for regenerative medicine purposes.","container-title":"Stem Cells International","DOI":"10.1155/2018/6869128","ISSN":"1687-966X, 1687-9678","journalAbbreviation":"Stem Cells International","language":"en","page":"1-14","source":"DOI.org (Crossref)","title":"Isolation and Characterisation of Mesenchymal Stem Cells from Rat Bone Marrow and the Endosteal Niche: A Comparative Study","title-short":"Isolation and Characterisation of Mesenchymal Stem Cells from Rat Bone Marrow and the Endosteal Niche","volume":"2018","author":[{"family":"Yusop","given":"Norhayati"},{"family":"Battersby","given":"Paul"},{"family":"Alraies","given":"Amr"},{"family":"Sloan","given":"Alastair J."},{"family":"Moseley","given":"Ryan"},{"family":"Waddington","given":"Rachel J."}],"issued":{"date-parts":[["2018"]]}}}],"schema":"https://github.com/citation-style-language/schema/raw/master/csl-citation.json"} </w:instrText>
            </w:r>
            <w:r w:rsidRPr="00274FA7">
              <w:rPr>
                <w:rFonts w:ascii="Times New Roman" w:hAnsi="Times New Roman" w:cs="Times New Roman"/>
                <w:sz w:val="18"/>
                <w:szCs w:val="18"/>
              </w:rPr>
              <w:fldChar w:fldCharType="separate"/>
            </w:r>
            <w:r w:rsidR="004E6BB8" w:rsidRPr="004E6BB8">
              <w:rPr>
                <w:rFonts w:ascii="Times New Roman" w:hAnsi="Times New Roman" w:cs="Times New Roman"/>
              </w:rPr>
              <w:t>[3]</w:t>
            </w:r>
            <w:r w:rsidRPr="00274FA7">
              <w:rPr>
                <w:rFonts w:ascii="Times New Roman" w:hAnsi="Times New Roman" w:cs="Times New Roman"/>
                <w:sz w:val="18"/>
                <w:szCs w:val="18"/>
              </w:rPr>
              <w:fldChar w:fldCharType="end"/>
            </w:r>
          </w:p>
        </w:tc>
      </w:tr>
      <w:tr w:rsidR="00FB7FDC" w:rsidRPr="00274FA7" w14:paraId="5DF3BFD1" w14:textId="77777777" w:rsidTr="00FB7FDC">
        <w:tc>
          <w:tcPr>
            <w:tcW w:w="851" w:type="dxa"/>
          </w:tcPr>
          <w:p w14:paraId="6FF70356" w14:textId="77777777" w:rsidR="00FB7FDC" w:rsidRPr="0022584A" w:rsidRDefault="00FB7FDC" w:rsidP="00C96DE5">
            <w:pPr>
              <w:spacing w:after="120" w:line="360" w:lineRule="auto"/>
              <w:jc w:val="center"/>
              <w:rPr>
                <w:rFonts w:ascii="Times New Roman" w:hAnsi="Times New Roman" w:cs="Times New Roman"/>
                <w:i/>
              </w:rPr>
            </w:pPr>
            <w:r w:rsidRPr="0022584A">
              <w:rPr>
                <w:rFonts w:ascii="Times New Roman" w:hAnsi="Times New Roman" w:cs="Times New Roman"/>
                <w:i/>
                <w:sz w:val="18"/>
                <w:szCs w:val="18"/>
              </w:rPr>
              <w:t>OPN</w:t>
            </w:r>
          </w:p>
        </w:tc>
        <w:tc>
          <w:tcPr>
            <w:tcW w:w="3891" w:type="dxa"/>
          </w:tcPr>
          <w:p w14:paraId="7247E6E3" w14:textId="77777777" w:rsidR="00FB7FDC" w:rsidRPr="00274FA7" w:rsidRDefault="00FB7FDC" w:rsidP="00C96DE5">
            <w:pPr>
              <w:spacing w:after="120" w:line="360" w:lineRule="auto"/>
              <w:rPr>
                <w:rFonts w:ascii="Times New Roman" w:hAnsi="Times New Roman" w:cs="Times New Roman"/>
                <w:sz w:val="18"/>
                <w:szCs w:val="18"/>
              </w:rPr>
            </w:pPr>
            <w:r w:rsidRPr="00274FA7">
              <w:rPr>
                <w:rFonts w:ascii="Times New Roman" w:hAnsi="Times New Roman" w:cs="Times New Roman"/>
                <w:sz w:val="18"/>
                <w:szCs w:val="18"/>
              </w:rPr>
              <w:t>F: 5′CCGATGAATCTGATGAGTCCTT3′</w:t>
            </w:r>
          </w:p>
          <w:p w14:paraId="4B7191EB" w14:textId="77777777" w:rsidR="00FB7FDC" w:rsidRPr="00274FA7" w:rsidRDefault="00FB7FDC" w:rsidP="00C96DE5">
            <w:pPr>
              <w:spacing w:after="120" w:line="360" w:lineRule="auto"/>
              <w:rPr>
                <w:rFonts w:ascii="Times New Roman" w:hAnsi="Times New Roman" w:cs="Times New Roman"/>
              </w:rPr>
            </w:pPr>
            <w:r w:rsidRPr="00274FA7">
              <w:rPr>
                <w:rFonts w:ascii="Times New Roman" w:hAnsi="Times New Roman" w:cs="Times New Roman"/>
                <w:sz w:val="18"/>
                <w:szCs w:val="18"/>
              </w:rPr>
              <w:t>R: 5′TCCAGCTGACTTGACTCATGG3′</w:t>
            </w:r>
          </w:p>
        </w:tc>
        <w:tc>
          <w:tcPr>
            <w:tcW w:w="1346" w:type="dxa"/>
          </w:tcPr>
          <w:p w14:paraId="5EF7BD29"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283</w:t>
            </w:r>
          </w:p>
        </w:tc>
        <w:tc>
          <w:tcPr>
            <w:tcW w:w="1637" w:type="dxa"/>
          </w:tcPr>
          <w:p w14:paraId="6120B119"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60</w:t>
            </w:r>
          </w:p>
        </w:tc>
        <w:tc>
          <w:tcPr>
            <w:tcW w:w="1291" w:type="dxa"/>
          </w:tcPr>
          <w:p w14:paraId="3E36F8CE" w14:textId="77777777" w:rsidR="00FB7FDC" w:rsidRPr="00274FA7" w:rsidRDefault="00FB7FDC" w:rsidP="00C96DE5">
            <w:pPr>
              <w:spacing w:after="120" w:line="360" w:lineRule="auto"/>
              <w:jc w:val="center"/>
              <w:rPr>
                <w:rFonts w:ascii="Times New Roman" w:hAnsi="Times New Roman" w:cs="Times New Roman"/>
              </w:rPr>
            </w:pPr>
            <w:r w:rsidRPr="00B14B78">
              <w:rPr>
                <w:rFonts w:ascii="Times New Roman" w:hAnsi="Times New Roman" w:cs="Times New Roman"/>
                <w:sz w:val="18"/>
              </w:rPr>
              <w:fldChar w:fldCharType="begin"/>
            </w:r>
            <w:r w:rsidR="004E6BB8">
              <w:rPr>
                <w:rFonts w:ascii="Times New Roman" w:hAnsi="Times New Roman" w:cs="Times New Roman"/>
                <w:sz w:val="18"/>
              </w:rPr>
              <w:instrText xml:space="preserve"> ADDIN ZOTERO_ITEM CSL_CITATION {"citationID":"EIrY6JgF","properties":{"formattedCitation":"[5]","plainCitation":"[5]","noteIndex":0},"citationItems":[{"id":183,"uris":["http://zotero.org/users/local/5kbo7PDZ/items/J8MA43S9"],"itemData":{"id":183,"type":"article-journal","abstract":"A modiﬁed one-step process was used to prepare tetracalcium phosphate/monetite/calcium sulfate hemihydrate powder cement mixtures (CAS). The procedure allowed the formation of monetite and calcium sulfate hemihydrate (CSH) in the form of nanoparticles. It was hypothesized that the presence of nanoCSH in small amounts enhances the in vitro bioactivity of CAS cement in relation to osteogenic gene markers in mesenchymal stem cells (MSCs). The CAS powder mixtures with 15 and 5 wt.% CSH were prepared by milling powder tetracalcium phosphate in an ethanolic solution of both orthophosphoric and sulfuric acids. The CAS cements had short setting times (around 5 min). The fast setting of the cement samples after the addition of the liquid component (water solution of NaH2PO4) was due to the partial formation of calcium sulfate dihydrate and hydroxyapatite before soaking in SBF with a small change in the original phase composition in cement powder samples after milling. Nanocrystalline hydroxyapatite biocement was produced by soaking of cement samples after setting in simulated body ﬂuid (SBF). The fast release of calcium ions from CAS5 cement, as well as a small rise in the pH of SBF during soaking, were demonstrated. After soaking in SBF for 7 days, the ﬁnal product of the cement transformation was nanocrystalline hydroxyapatite. The compressive strength of the cement samples (up to 30 MPa) after soaking in simulated body ﬂuid (SBF) was comparable to that of bone. Real time polymerase chain reaction (RT-PCR) analysis revealed statistically signiﬁcant higher gene expressions of alkaline phosphatase (ALP), osteonectin (ON) and osteopontin (OP) in cells cultured for 14 days in CAS5 extract compared to CSH-free cement. The addition of a small amount of nanoCSH (5 wt.%) to the tetracalcium phosphate (TTCP)/monetite cement mixture signiﬁcantly promoted the over expression of osteogenic markers in MSCs. The prepared CAS powder mixture with its enhanced bioactivity can be used for bone defect treatment and has good potential for bone healing.","container-title":"Materials","DOI":"10.3390/ma14092137","ISSN":"1996-1944","issue":"9","journalAbbreviation":"Materials","language":"en","page":"2137","source":"DOI.org (Crossref)","title":"Tetracalcium Phosphate/Monetite/Calcium Sulfate Hemihdrate Biocement Powder Mixtures Prepared by the One-Step Synthesis for Preparation of Nanocrystalline Hydroxyapatite Biocement-Properties and In Vitro Evaluation","volume":"14","author":[{"family":"Medvecky","given":"Lubomir"},{"family":"Giretova","given":"Maria"},{"family":"Stulajterova","given":"Radoslava"},{"family":"Luptakova","given":"Lenka"},{"family":"Sopcak","given":"Tibor"}],"issued":{"date-parts":[["2021",4,22]]}}}],"schema":"https://github.com/citation-style-language/schema/raw/master/csl-citation.json"} </w:instrText>
            </w:r>
            <w:r w:rsidRPr="00B14B78">
              <w:rPr>
                <w:rFonts w:ascii="Times New Roman" w:hAnsi="Times New Roman" w:cs="Times New Roman"/>
                <w:sz w:val="18"/>
              </w:rPr>
              <w:fldChar w:fldCharType="separate"/>
            </w:r>
            <w:r w:rsidR="004E6BB8" w:rsidRPr="004E6BB8">
              <w:rPr>
                <w:rFonts w:ascii="Times New Roman" w:hAnsi="Times New Roman" w:cs="Times New Roman"/>
                <w:sz w:val="18"/>
              </w:rPr>
              <w:t>[5]</w:t>
            </w:r>
            <w:r w:rsidRPr="00B14B78">
              <w:rPr>
                <w:rFonts w:ascii="Times New Roman" w:hAnsi="Times New Roman" w:cs="Times New Roman"/>
                <w:sz w:val="18"/>
              </w:rPr>
              <w:fldChar w:fldCharType="end"/>
            </w:r>
          </w:p>
        </w:tc>
      </w:tr>
      <w:tr w:rsidR="00FB7FDC" w:rsidRPr="00274FA7" w14:paraId="5F0EB2E6" w14:textId="77777777" w:rsidTr="00FB7FDC">
        <w:tc>
          <w:tcPr>
            <w:tcW w:w="851" w:type="dxa"/>
          </w:tcPr>
          <w:p w14:paraId="6B128B9E" w14:textId="77777777" w:rsidR="00FB7FDC" w:rsidRPr="0022584A" w:rsidRDefault="00FB7FDC" w:rsidP="00C96DE5">
            <w:pPr>
              <w:spacing w:after="120" w:line="360" w:lineRule="auto"/>
              <w:jc w:val="center"/>
              <w:rPr>
                <w:rFonts w:ascii="Times New Roman" w:hAnsi="Times New Roman" w:cs="Times New Roman"/>
                <w:i/>
              </w:rPr>
            </w:pPr>
            <w:r w:rsidRPr="0022584A">
              <w:rPr>
                <w:rFonts w:ascii="Times New Roman" w:hAnsi="Times New Roman" w:cs="Times New Roman"/>
                <w:i/>
                <w:sz w:val="18"/>
                <w:szCs w:val="18"/>
                <w:lang w:val="en-US"/>
              </w:rPr>
              <w:t>ONC</w:t>
            </w:r>
          </w:p>
        </w:tc>
        <w:tc>
          <w:tcPr>
            <w:tcW w:w="3891" w:type="dxa"/>
          </w:tcPr>
          <w:p w14:paraId="41830C4F" w14:textId="77777777" w:rsidR="00FB7FDC" w:rsidRPr="00274FA7" w:rsidRDefault="00FB7FDC" w:rsidP="00C96DE5">
            <w:pPr>
              <w:spacing w:after="120" w:line="360" w:lineRule="auto"/>
              <w:rPr>
                <w:rFonts w:ascii="Times New Roman" w:hAnsi="Times New Roman" w:cs="Times New Roman"/>
                <w:sz w:val="18"/>
                <w:szCs w:val="18"/>
              </w:rPr>
            </w:pPr>
            <w:r w:rsidRPr="00274FA7">
              <w:rPr>
                <w:rFonts w:ascii="Times New Roman" w:hAnsi="Times New Roman" w:cs="Times New Roman"/>
                <w:sz w:val="18"/>
                <w:szCs w:val="18"/>
              </w:rPr>
              <w:t>F: 5′GGAAGCTGCAGAAGAGATGG3′</w:t>
            </w:r>
          </w:p>
          <w:p w14:paraId="5B7BF95B" w14:textId="77777777" w:rsidR="00FB7FDC" w:rsidRPr="00274FA7" w:rsidRDefault="00FB7FDC" w:rsidP="00C96DE5">
            <w:pPr>
              <w:spacing w:after="120" w:line="360" w:lineRule="auto"/>
              <w:rPr>
                <w:rFonts w:ascii="Times New Roman" w:hAnsi="Times New Roman" w:cs="Times New Roman"/>
              </w:rPr>
            </w:pPr>
            <w:r w:rsidRPr="00274FA7">
              <w:rPr>
                <w:rFonts w:ascii="Times New Roman" w:hAnsi="Times New Roman" w:cs="Times New Roman"/>
                <w:sz w:val="18"/>
                <w:szCs w:val="18"/>
              </w:rPr>
              <w:t>R: 5′TGCACACCTTTTCAAACTCG3′</w:t>
            </w:r>
          </w:p>
        </w:tc>
        <w:tc>
          <w:tcPr>
            <w:tcW w:w="1346" w:type="dxa"/>
          </w:tcPr>
          <w:p w14:paraId="3E19FCEA"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250</w:t>
            </w:r>
          </w:p>
        </w:tc>
        <w:tc>
          <w:tcPr>
            <w:tcW w:w="1637" w:type="dxa"/>
          </w:tcPr>
          <w:p w14:paraId="06086338"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60</w:t>
            </w:r>
          </w:p>
        </w:tc>
        <w:tc>
          <w:tcPr>
            <w:tcW w:w="1291" w:type="dxa"/>
          </w:tcPr>
          <w:p w14:paraId="0AD31664"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rPr>
              <w:fldChar w:fldCharType="begin"/>
            </w:r>
            <w:r w:rsidR="004E6BB8">
              <w:rPr>
                <w:rFonts w:ascii="Times New Roman" w:hAnsi="Times New Roman" w:cs="Times New Roman"/>
                <w:sz w:val="18"/>
                <w:szCs w:val="18"/>
              </w:rPr>
              <w:instrText xml:space="preserve"> ADDIN ZOTERO_ITEM CSL_CITATION {"citationID":"NK3ieYCe","properties":{"formattedCitation":"[6]","plainCitation":"[6]","noteIndex":0},"citationItems":[{"id":94,"uris":["http://zotero.org/users/local/5kbo7PDZ/items/DDV24GS6"],"itemData":{"id":94,"type":"article-journal","abstract":"A modiﬁed one-step process was used to prepare tetracalcium phosphate/monetite/calcium sulfate hemihydrate powder cement mixtures (CAS). The procedure allowed the formation of monetite and calcium sulfate hemihydrate (CSH) in the form of nanoparticles. It was hypothesized that the presence of nanoCSH in small amounts enhances the in vitro bioactivity of CAS cement in relation to osteogenic gene markers in mesenchymal stem cells (MSCs). The CAS powder mixtures with 15 and 5 wt.% CSH were prepared by milling powder tetracalcium phosphate in an ethanolic solution of both orthophosphoric and sulfuric acids. The CAS cements had short setting times (around 5 min). The fast setting of the cement samples after the addition of the liquid component (water solution of NaH2PO4) was due to the partial formation of calcium sulfate dihydrate and hydroxyapatite before soaking in SBF with a small change in the original phase composition in cement powder samples after milling. Nanocrystalline hydroxyapatite biocement was produced by soaking of cement samples after setting in simulated body ﬂuid (SBF). The fast release of calcium ions from CAS5 cement, as well as a small rise in the pH of SBF during soaking, were demonstrated. After soaking in SBF for 7 days, the ﬁnal product of the cement transformation was nanocrystalline hydroxyapatite. The compressive strength of the cement samples (up to 30 MPa) after soaking in simulated body ﬂuid (SBF) was comparable to that of bone. Real time polymerase chain reaction (RT-PCR) analysis revealed statistically signiﬁcant higher gene expressions of alkaline phosphatase (ALP), osteonectin (ON) and osteopontin (OP) in cells cultured for 14 days in CAS5 extract compared to CSH-free cement. The addition of a small amount of nanoCSH (5 wt.%) to the tetracalcium phosphate (TTCP)/monetite cement mixture signiﬁcantly promoted the over expression of osteogenic markers in MSCs. The prepared CAS powder mixture with its enhanced bioactivity can be used for bone defect treatment and has good potential for bone healing.","language":"en","source":"Zotero","title":"Tetracalcium Phosphate/Monetite/Calcium Sulfate Hemihdrate Biocement Powder Mixtures Prepared by the One-Step Synthesis for Preparation of Nanocrystalline Hydroxyapatite Biocement-Properties and In Vitro Evaluation","author":[{"family":"Medvecky","given":"Lubomir"},{"family":"Giretova","given":"Maria"},{"family":"Stulajterova","given":"Radoslava"},{"family":"Luptakova","given":"Lenka"},{"family":"Sopcak","given":"Tibor"}],"issued":{"date-parts":[["2021"]]}}}],"schema":"https://github.com/citation-style-language/schema/raw/master/csl-citation.json"} </w:instrText>
            </w:r>
            <w:r w:rsidRPr="00274FA7">
              <w:rPr>
                <w:rFonts w:ascii="Times New Roman" w:hAnsi="Times New Roman" w:cs="Times New Roman"/>
                <w:sz w:val="18"/>
                <w:szCs w:val="18"/>
              </w:rPr>
              <w:fldChar w:fldCharType="separate"/>
            </w:r>
            <w:r w:rsidR="004E6BB8" w:rsidRPr="004E6BB8">
              <w:rPr>
                <w:rFonts w:ascii="Times New Roman" w:hAnsi="Times New Roman" w:cs="Times New Roman"/>
                <w:sz w:val="18"/>
              </w:rPr>
              <w:t>[6]</w:t>
            </w:r>
            <w:r w:rsidRPr="00274FA7">
              <w:rPr>
                <w:rFonts w:ascii="Times New Roman" w:hAnsi="Times New Roman" w:cs="Times New Roman"/>
                <w:sz w:val="18"/>
                <w:szCs w:val="18"/>
              </w:rPr>
              <w:fldChar w:fldCharType="end"/>
            </w:r>
          </w:p>
        </w:tc>
      </w:tr>
      <w:tr w:rsidR="00FB7FDC" w:rsidRPr="00274FA7" w14:paraId="713759F7" w14:textId="77777777" w:rsidTr="00FB7FDC">
        <w:tc>
          <w:tcPr>
            <w:tcW w:w="851" w:type="dxa"/>
          </w:tcPr>
          <w:p w14:paraId="51F200B6" w14:textId="77777777" w:rsidR="00FB7FDC" w:rsidRPr="0022584A" w:rsidRDefault="00FB7FDC" w:rsidP="00C96DE5">
            <w:pPr>
              <w:spacing w:after="120" w:line="360" w:lineRule="auto"/>
              <w:jc w:val="center"/>
              <w:rPr>
                <w:rFonts w:ascii="Times New Roman" w:hAnsi="Times New Roman" w:cs="Times New Roman"/>
                <w:i/>
              </w:rPr>
            </w:pPr>
            <w:r w:rsidRPr="0022584A">
              <w:rPr>
                <w:rFonts w:ascii="Times New Roman" w:hAnsi="Times New Roman" w:cs="Times New Roman"/>
                <w:i/>
                <w:sz w:val="18"/>
                <w:szCs w:val="18"/>
                <w:lang w:val="en-US"/>
              </w:rPr>
              <w:t>RUNX2</w:t>
            </w:r>
          </w:p>
        </w:tc>
        <w:tc>
          <w:tcPr>
            <w:tcW w:w="3891" w:type="dxa"/>
          </w:tcPr>
          <w:p w14:paraId="4C123A2E" w14:textId="77777777" w:rsidR="00FB7FDC" w:rsidRPr="00274FA7" w:rsidRDefault="00FB7FDC" w:rsidP="00C96DE5">
            <w:pPr>
              <w:spacing w:after="120" w:line="360" w:lineRule="auto"/>
              <w:rPr>
                <w:rFonts w:ascii="Times New Roman" w:hAnsi="Times New Roman" w:cs="Times New Roman"/>
                <w:sz w:val="18"/>
                <w:szCs w:val="18"/>
              </w:rPr>
            </w:pPr>
            <w:r w:rsidRPr="00274FA7">
              <w:rPr>
                <w:rFonts w:ascii="Times New Roman" w:hAnsi="Times New Roman" w:cs="Times New Roman"/>
                <w:sz w:val="18"/>
                <w:szCs w:val="18"/>
              </w:rPr>
              <w:t>F: 5' GCCGGGAATGATGAGAACTA3'</w:t>
            </w:r>
          </w:p>
          <w:p w14:paraId="724EDE69" w14:textId="77777777" w:rsidR="00FB7FDC" w:rsidRPr="00274FA7" w:rsidRDefault="00FB7FDC" w:rsidP="00C96DE5">
            <w:pPr>
              <w:spacing w:after="120" w:line="360" w:lineRule="auto"/>
              <w:rPr>
                <w:rFonts w:ascii="Times New Roman" w:hAnsi="Times New Roman" w:cs="Times New Roman"/>
              </w:rPr>
            </w:pPr>
            <w:r w:rsidRPr="00274FA7">
              <w:rPr>
                <w:rFonts w:ascii="Times New Roman" w:hAnsi="Times New Roman" w:cs="Times New Roman"/>
                <w:sz w:val="18"/>
                <w:szCs w:val="18"/>
              </w:rPr>
              <w:t>R: 5'TTGGGGAGGATTTGTGAAGA3'</w:t>
            </w:r>
          </w:p>
        </w:tc>
        <w:tc>
          <w:tcPr>
            <w:tcW w:w="1346" w:type="dxa"/>
          </w:tcPr>
          <w:p w14:paraId="56B74AF8"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155</w:t>
            </w:r>
          </w:p>
        </w:tc>
        <w:tc>
          <w:tcPr>
            <w:tcW w:w="1637" w:type="dxa"/>
          </w:tcPr>
          <w:p w14:paraId="50C3EA6E"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60</w:t>
            </w:r>
          </w:p>
        </w:tc>
        <w:tc>
          <w:tcPr>
            <w:tcW w:w="1291" w:type="dxa"/>
          </w:tcPr>
          <w:p w14:paraId="07054BBE"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rPr>
              <w:fldChar w:fldCharType="begin"/>
            </w:r>
            <w:r w:rsidR="004E6BB8">
              <w:rPr>
                <w:rFonts w:ascii="Times New Roman" w:hAnsi="Times New Roman" w:cs="Times New Roman"/>
                <w:sz w:val="18"/>
                <w:szCs w:val="18"/>
              </w:rPr>
              <w:instrText xml:space="preserve"> ADDIN ZOTERO_ITEM CSL_CITATION {"citationID":"4mC50PRc","properties":{"formattedCitation":"[7]","plainCitation":"[7]","noteIndex":0},"citationItems":[{"id":96,"uris":["http://zotero.org/users/local/5kbo7PDZ/items/82FGXE3Z"],"itemData":{"id":96,"type":"article-journal","abstract":"Bone marrow derived stem cells could offer significant multipotent differentiation capacity and plasticity in other species. However, in rat marrow there are few reports. This study described, simple and easy method for isolation of rat bone marrow stem cells (rBMSC) based on their density and plastic adherence properties and along with their trilineage differentiation potential. Rat bone marrow stem cells were isolated by density gradient and plastic adherence method. After isolation of stem cell they were characterized by phase contrast microscopy and flow cytometry. Moreover, differentiation into osteoblast, adipocytes and chondrocytes of mesenchymal stem cells (MSC) on different induction medium was analyzed using RT-PCR and their respective staining methodology. The attached nucleated cells showed their spindle shaped fibroblastic like morphology. Flow cytometry results revealed that they were negative for haematopoietic markers such as CD 31 and CD 45 and positive for mesenchymal markers CD 90 and CD 29. On the other hand, they were differentiated into osteogenic, adipogenic and chondrogenic and this was confirmed by alizarin red, Oil red O and Alcian blue stain respectively. Further RT-PCR results indicated that rBMC expressed Runx2; Ppar-γ and Aggrecan genes which showed that these cells can easily differentiate into many different lineages and this can be applicable for cell based regenerative disorders.","container-title":"Journal of Stem Cell Research &amp; Therapeutics","DOI":"10.15406/jsrt.2016.01.00034","ISSN":"24755540","issue":"5","journalAbbreviation":"JSRT","language":"en","source":"DOI.org (Crossref)","title":"Culture, Characterization and Differentiation Potential of Rat Bone Marrow derived Mesenchymal Stem Cells","URL":"https://medcraveonline.com/JSRT/culture-characterization-and-differentiation-potential-of-rat-bone-marrow-derived-mesenchymal-stem-cells.html","volume":"1","author":[{"family":"Paramasivam","given":"Tamilmahan"}],"accessed":{"date-parts":[["2023",4,10]]},"issued":{"date-parts":[["2016",10,17]]}}}],"schema":"https://github.com/citation-style-language/schema/raw/master/csl-citation.json"} </w:instrText>
            </w:r>
            <w:r w:rsidRPr="00274FA7">
              <w:rPr>
                <w:rFonts w:ascii="Times New Roman" w:hAnsi="Times New Roman" w:cs="Times New Roman"/>
                <w:sz w:val="18"/>
                <w:szCs w:val="18"/>
              </w:rPr>
              <w:fldChar w:fldCharType="separate"/>
            </w:r>
            <w:r w:rsidR="004E6BB8" w:rsidRPr="004E6BB8">
              <w:rPr>
                <w:rFonts w:ascii="Times New Roman" w:hAnsi="Times New Roman" w:cs="Times New Roman"/>
                <w:sz w:val="18"/>
              </w:rPr>
              <w:t>[7]</w:t>
            </w:r>
            <w:r w:rsidRPr="00274FA7">
              <w:rPr>
                <w:rFonts w:ascii="Times New Roman" w:hAnsi="Times New Roman" w:cs="Times New Roman"/>
                <w:sz w:val="18"/>
                <w:szCs w:val="18"/>
              </w:rPr>
              <w:fldChar w:fldCharType="end"/>
            </w:r>
          </w:p>
        </w:tc>
      </w:tr>
      <w:tr w:rsidR="00FB7FDC" w:rsidRPr="00274FA7" w14:paraId="4484F9EC" w14:textId="77777777" w:rsidTr="00FB7FDC">
        <w:tc>
          <w:tcPr>
            <w:tcW w:w="851" w:type="dxa"/>
          </w:tcPr>
          <w:p w14:paraId="73833D6E" w14:textId="77777777" w:rsidR="00FB7FDC" w:rsidRPr="0022584A" w:rsidRDefault="00FB7FDC" w:rsidP="00C96DE5">
            <w:pPr>
              <w:spacing w:after="120" w:line="360" w:lineRule="auto"/>
              <w:jc w:val="center"/>
              <w:rPr>
                <w:rFonts w:ascii="Times New Roman" w:hAnsi="Times New Roman" w:cs="Times New Roman"/>
                <w:i/>
              </w:rPr>
            </w:pPr>
            <w:r w:rsidRPr="0022584A">
              <w:rPr>
                <w:rFonts w:ascii="Times New Roman" w:hAnsi="Times New Roman" w:cs="Times New Roman"/>
                <w:i/>
                <w:sz w:val="18"/>
                <w:szCs w:val="18"/>
                <w:lang w:val="en-US"/>
              </w:rPr>
              <w:t>BMP4</w:t>
            </w:r>
          </w:p>
        </w:tc>
        <w:tc>
          <w:tcPr>
            <w:tcW w:w="3891" w:type="dxa"/>
          </w:tcPr>
          <w:p w14:paraId="0CD8A9F6" w14:textId="77777777" w:rsidR="00FB7FDC" w:rsidRPr="00274FA7" w:rsidRDefault="00FB7FDC" w:rsidP="00C96DE5">
            <w:pPr>
              <w:spacing w:after="120" w:line="360" w:lineRule="auto"/>
              <w:rPr>
                <w:rFonts w:ascii="Times New Roman" w:hAnsi="Times New Roman" w:cs="Times New Roman"/>
                <w:sz w:val="18"/>
                <w:szCs w:val="18"/>
              </w:rPr>
            </w:pPr>
            <w:r w:rsidRPr="00274FA7">
              <w:rPr>
                <w:rFonts w:ascii="Times New Roman" w:hAnsi="Times New Roman" w:cs="Times New Roman"/>
                <w:sz w:val="18"/>
                <w:szCs w:val="18"/>
              </w:rPr>
              <w:t>F: 5'ACTTCGAGGCGACACTTCTG3'</w:t>
            </w:r>
          </w:p>
          <w:p w14:paraId="6EFD05BA" w14:textId="77777777" w:rsidR="00FB7FDC" w:rsidRPr="00274FA7" w:rsidRDefault="00FB7FDC" w:rsidP="00C96DE5">
            <w:pPr>
              <w:spacing w:after="120" w:line="360" w:lineRule="auto"/>
              <w:rPr>
                <w:rFonts w:ascii="Times New Roman" w:hAnsi="Times New Roman" w:cs="Times New Roman"/>
              </w:rPr>
            </w:pPr>
            <w:r w:rsidRPr="00274FA7">
              <w:rPr>
                <w:rFonts w:ascii="Times New Roman" w:hAnsi="Times New Roman" w:cs="Times New Roman"/>
                <w:sz w:val="18"/>
                <w:szCs w:val="18"/>
              </w:rPr>
              <w:t>R: 5' GTCCACCTGCTCCCGAAATA3'</w:t>
            </w:r>
          </w:p>
        </w:tc>
        <w:tc>
          <w:tcPr>
            <w:tcW w:w="1346" w:type="dxa"/>
          </w:tcPr>
          <w:p w14:paraId="7BD195B8"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355</w:t>
            </w:r>
          </w:p>
        </w:tc>
        <w:tc>
          <w:tcPr>
            <w:tcW w:w="1637" w:type="dxa"/>
          </w:tcPr>
          <w:p w14:paraId="3269BC70"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58</w:t>
            </w:r>
          </w:p>
        </w:tc>
        <w:tc>
          <w:tcPr>
            <w:tcW w:w="1291" w:type="dxa"/>
          </w:tcPr>
          <w:p w14:paraId="1D6EF3A0"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rPr>
              <w:fldChar w:fldCharType="begin"/>
            </w:r>
            <w:r w:rsidR="004E6BB8">
              <w:rPr>
                <w:rFonts w:ascii="Times New Roman" w:hAnsi="Times New Roman" w:cs="Times New Roman"/>
                <w:sz w:val="18"/>
                <w:szCs w:val="18"/>
              </w:rPr>
              <w:instrText xml:space="preserve"> ADDIN ZOTERO_ITEM CSL_CITATION {"citationID":"jZ1iFIcS","properties":{"formattedCitation":"[8]","plainCitation":"[8]","noteIndex":0},"citationItems":[{"id":84,"uris":["http://zotero.org/users/local/5kbo7PDZ/items/R9WQGPP5"],"itemData":{"id":84,"type":"article-journal","abstract":"Selective targeting of transfected mesenchymal stem cells (MSCs) carrying specific antioncogenes to the tumor was suggested as a treatment option. Bone morphogenetic protein-2 (BMP2) was shown to inhibit the proliferation and aggressiveness of osteosarcoma (OS) cells. Here, we aimed to assess the homing efficiency of intraperitoneally administered hMSCs transfected with BMP2 to the tumoral site and their effects on OS using an orthotopic xenograft murine model. Orthotopic xenograft murine model of OS in sixweek-old female NOD/SCID mice using 143B cells was established. hMSCs transfected with BMP2 (BMP2+hMSC) were used. In vivo experiments performed on four groups of mice that received no treatment, or intraperitoneally administered BMP2, hMSCs, and BMP2+hMSCs. Histopathological and immunohistochemical studies were used to evaluate the pathological identification and to assess the dimensions and necrotic foci of the tumor, the features of lung metastases, and immunostaining against p27, Ki-67, and caspase-3 antibodies. The osteogenic differentiation markers BMP2, BMP4, COL1A1, OPN, OCN and PF4 evaluated using RT-PCR. The tumor dimensions in the hMSCs group were significantly higher than those of the remaining groups (p &lt; 0.01). The number of metastatic foci in the BMP2+hMSCs group was significantly lower than those of the other groups (p &lt; 0.01). The current results showed that the intraperitoneal route could be efficiently used for targeting hMSCs to the tumoral tissues for effective BMP2 delivery. In this study, the effects of BMP2 transfected hMSCs on human OS and metastasis were promising for achieving osteogenic differentiation and reduced metastatic process.","container-title":"TURKISH JOURNAL OF BIOLOGY","DOI":"10.3906/biy-2101-50","ISSN":"13036092","issue":"3","journalAbbreviation":"Turk J Biol","language":"en","page":"301-313","source":"DOI.org (Crossref)","title":"The promising effects of BMP2 transfected mesenchymal stem cells on human osteosarcoma","volume":"45","author":[{"family":"Sari","given":"Ahmet Sinan"},{"family":"Demi̇Rçay","given":"Emre"},{"family":"Öztürk","given":"Ahmet"},{"family":"Terzi̇","given":"Ayşen"},{"family":"Karaöz","given":"Erdal"}],"issued":{"date-parts":[["2021",6,23]]}}}],"schema":"https://github.com/citation-style-language/schema/raw/master/csl-citation.json"} </w:instrText>
            </w:r>
            <w:r w:rsidRPr="00274FA7">
              <w:rPr>
                <w:rFonts w:ascii="Times New Roman" w:hAnsi="Times New Roman" w:cs="Times New Roman"/>
                <w:sz w:val="18"/>
                <w:szCs w:val="18"/>
              </w:rPr>
              <w:fldChar w:fldCharType="separate"/>
            </w:r>
            <w:r w:rsidR="004E6BB8" w:rsidRPr="004E6BB8">
              <w:rPr>
                <w:rFonts w:ascii="Times New Roman" w:hAnsi="Times New Roman" w:cs="Times New Roman"/>
                <w:sz w:val="18"/>
              </w:rPr>
              <w:t>[8]</w:t>
            </w:r>
            <w:r w:rsidRPr="00274FA7">
              <w:rPr>
                <w:rFonts w:ascii="Times New Roman" w:hAnsi="Times New Roman" w:cs="Times New Roman"/>
                <w:sz w:val="18"/>
                <w:szCs w:val="18"/>
              </w:rPr>
              <w:fldChar w:fldCharType="end"/>
            </w:r>
          </w:p>
        </w:tc>
      </w:tr>
      <w:tr w:rsidR="00FB7FDC" w:rsidRPr="00274FA7" w14:paraId="48ACB994" w14:textId="77777777" w:rsidTr="00FB7FDC">
        <w:tc>
          <w:tcPr>
            <w:tcW w:w="851" w:type="dxa"/>
          </w:tcPr>
          <w:p w14:paraId="3C74A070" w14:textId="77777777" w:rsidR="00FB7FDC" w:rsidRPr="0022584A" w:rsidRDefault="00FB7FDC" w:rsidP="00C96DE5">
            <w:pPr>
              <w:spacing w:after="120" w:line="360" w:lineRule="auto"/>
              <w:jc w:val="center"/>
              <w:rPr>
                <w:rFonts w:ascii="Times New Roman" w:hAnsi="Times New Roman" w:cs="Times New Roman"/>
                <w:i/>
              </w:rPr>
            </w:pPr>
            <w:r w:rsidRPr="0022584A">
              <w:rPr>
                <w:rFonts w:ascii="Times New Roman" w:hAnsi="Times New Roman" w:cs="Times New Roman"/>
                <w:i/>
                <w:sz w:val="18"/>
                <w:szCs w:val="18"/>
                <w:lang w:val="el-GR"/>
              </w:rPr>
              <w:t>β</w:t>
            </w:r>
            <w:r w:rsidRPr="0022584A">
              <w:rPr>
                <w:rFonts w:ascii="Times New Roman" w:hAnsi="Times New Roman" w:cs="Times New Roman"/>
                <w:i/>
                <w:sz w:val="18"/>
                <w:szCs w:val="18"/>
                <w:lang w:val="en-US"/>
              </w:rPr>
              <w:t>-Actin</w:t>
            </w:r>
          </w:p>
        </w:tc>
        <w:tc>
          <w:tcPr>
            <w:tcW w:w="3891" w:type="dxa"/>
          </w:tcPr>
          <w:p w14:paraId="613BAA06" w14:textId="77777777" w:rsidR="00FB7FDC" w:rsidRPr="00274FA7" w:rsidRDefault="00FB7FDC" w:rsidP="00C96DE5">
            <w:pPr>
              <w:spacing w:after="120" w:line="360" w:lineRule="auto"/>
              <w:rPr>
                <w:rFonts w:ascii="Times New Roman" w:hAnsi="Times New Roman" w:cs="Times New Roman"/>
                <w:sz w:val="18"/>
                <w:szCs w:val="18"/>
              </w:rPr>
            </w:pPr>
            <w:r w:rsidRPr="00274FA7">
              <w:rPr>
                <w:rFonts w:ascii="Times New Roman" w:hAnsi="Times New Roman" w:cs="Times New Roman"/>
                <w:sz w:val="18"/>
                <w:szCs w:val="18"/>
              </w:rPr>
              <w:t>F: 5'CAGGGTGTGATGGTGGGTATGG3'</w:t>
            </w:r>
          </w:p>
          <w:p w14:paraId="48F69101" w14:textId="77777777" w:rsidR="00FB7FDC" w:rsidRPr="00274FA7" w:rsidRDefault="00FB7FDC" w:rsidP="00C96DE5">
            <w:pPr>
              <w:spacing w:after="120" w:line="360" w:lineRule="auto"/>
              <w:rPr>
                <w:rFonts w:ascii="Times New Roman" w:hAnsi="Times New Roman" w:cs="Times New Roman"/>
              </w:rPr>
            </w:pPr>
            <w:r w:rsidRPr="00274FA7">
              <w:rPr>
                <w:rFonts w:ascii="Times New Roman" w:hAnsi="Times New Roman" w:cs="Times New Roman"/>
                <w:sz w:val="18"/>
                <w:szCs w:val="18"/>
              </w:rPr>
              <w:t>R: 5‘AGTTGGTGACAATGCCGTGTTC3'</w:t>
            </w:r>
          </w:p>
        </w:tc>
        <w:tc>
          <w:tcPr>
            <w:tcW w:w="1346" w:type="dxa"/>
          </w:tcPr>
          <w:p w14:paraId="3625B1A0"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114</w:t>
            </w:r>
          </w:p>
        </w:tc>
        <w:tc>
          <w:tcPr>
            <w:tcW w:w="1637" w:type="dxa"/>
          </w:tcPr>
          <w:p w14:paraId="5F1C0DEE"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60</w:t>
            </w:r>
          </w:p>
        </w:tc>
        <w:tc>
          <w:tcPr>
            <w:tcW w:w="1291" w:type="dxa"/>
          </w:tcPr>
          <w:p w14:paraId="524F5640"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rPr>
              <w:fldChar w:fldCharType="begin"/>
            </w:r>
            <w:r w:rsidR="004E6BB8">
              <w:rPr>
                <w:rFonts w:ascii="Times New Roman" w:hAnsi="Times New Roman" w:cs="Times New Roman"/>
                <w:sz w:val="18"/>
                <w:szCs w:val="18"/>
              </w:rPr>
              <w:instrText xml:space="preserve"> ADDIN ZOTERO_ITEM CSL_CITATION {"citationID":"25cb60AQ","properties":{"formattedCitation":"[9]","plainCitation":"[9]","noteIndex":0},"citationItems":[{"id":180,"uris":["http://zotero.org/users/local/5kbo7PDZ/items/S6UC3YZE"],"itemData":{"id":180,"type":"article-journal","abstract":"Background: The carotid bodies are the main arterial oxygen chemoreceptors in mammals. Afferent neural output from the carotid bodies to brainstem respiratory and cardiovascular nuclei provides tonic input and mediates important protective responses to acute and chronic hypoxia. It is widely accepted that the selection of reference genes for mRNA normalization in quantitative real-time PCR must be validated for a given tissue and set of conditions. This is particularly important for studies in carotid body during early postnatal maturation as the arterial oxygen tension undergoes major changes from fetal to postnatal life, which may affect reference gene expression. In order to determine the most stable and suitable reference genes for the study of rat carotid body during development, six commonly used reference genes, b-actin, RPII (RNA polymerase II), PPIA (peptidyl-proyl-isomerase A), TBP (TATA-box binding protein), GAPDH, and 18s rRNA, were evaluated in two age groups (P0-1 and P14-16) under three environmental oxygen conditions (normoxia, chronic hypoxia and chronic hyperoxia) using the three most commonly used software programs, geNorm, NormFinder and BestKeeper. Findings: The three programs produced similar results but the reference gene rankings were not identical between programs or experimental conditions. Overall, 18s rRNA was the least stable reference gene for carotid body and, when hyperoxia and/or hypoxia conditions were included, actin was similarly unstable. Conclusions: Reference or housekeeping gene expression for qPCR studies of carotid body during postnatal development may vary with developmental stage and environmental conditions. Selection of the best reference gene or combination of reference genes for carotid body development studies should take environmental conditions into account. Two commonly used reference genes, 18s rRNA and actin, may be unsuitable for studies of carotid body maturation, especially if the study design includes altered oxygen conditions.","container-title":"BMC Research Notes","DOI":"10.1186/1756-0500-4-440","ISSN":"1756-0500","issue":"1","journalAbbreviation":"BMC Res Notes","language":"en","page":"440","source":"DOI.org (Crossref)","title":"Reference gene validation for qPCR in rat carotid body during postnatal development","volume":"4","author":[{"family":"Kim","given":"Insook"},{"family":"Yang","given":"Dongjin"},{"family":"Tang","given":"Xinyu"},{"family":"Carroll","given":"John L"}],"issued":{"date-parts":[["2011",12]]}}}],"schema":"https://github.com/citation-style-language/schema/raw/master/csl-citation.json"} </w:instrText>
            </w:r>
            <w:r w:rsidRPr="00274FA7">
              <w:rPr>
                <w:rFonts w:ascii="Times New Roman" w:hAnsi="Times New Roman" w:cs="Times New Roman"/>
                <w:sz w:val="18"/>
                <w:szCs w:val="18"/>
              </w:rPr>
              <w:fldChar w:fldCharType="separate"/>
            </w:r>
            <w:r w:rsidR="004E6BB8" w:rsidRPr="004E6BB8">
              <w:rPr>
                <w:rFonts w:ascii="Times New Roman" w:hAnsi="Times New Roman" w:cs="Times New Roman"/>
                <w:sz w:val="18"/>
              </w:rPr>
              <w:t>[9]</w:t>
            </w:r>
            <w:r w:rsidRPr="00274FA7">
              <w:rPr>
                <w:rFonts w:ascii="Times New Roman" w:hAnsi="Times New Roman" w:cs="Times New Roman"/>
                <w:sz w:val="18"/>
                <w:szCs w:val="18"/>
              </w:rPr>
              <w:fldChar w:fldCharType="end"/>
            </w:r>
          </w:p>
        </w:tc>
      </w:tr>
      <w:tr w:rsidR="00FB7FDC" w:rsidRPr="00274FA7" w14:paraId="61353486" w14:textId="77777777" w:rsidTr="00FB7FDC">
        <w:tc>
          <w:tcPr>
            <w:tcW w:w="851" w:type="dxa"/>
          </w:tcPr>
          <w:p w14:paraId="255844EC" w14:textId="77777777" w:rsidR="00FB7FDC" w:rsidRPr="0022584A" w:rsidRDefault="00FB7FDC" w:rsidP="00C96DE5">
            <w:pPr>
              <w:spacing w:after="120" w:line="360" w:lineRule="auto"/>
              <w:jc w:val="center"/>
              <w:rPr>
                <w:rFonts w:ascii="Times New Roman" w:hAnsi="Times New Roman" w:cs="Times New Roman"/>
                <w:i/>
              </w:rPr>
            </w:pPr>
            <w:r w:rsidRPr="0022584A">
              <w:rPr>
                <w:rFonts w:ascii="Times New Roman" w:hAnsi="Times New Roman" w:cs="Times New Roman"/>
                <w:i/>
                <w:sz w:val="18"/>
                <w:szCs w:val="18"/>
                <w:lang w:val="en-US"/>
              </w:rPr>
              <w:t>COL1</w:t>
            </w:r>
            <w:r w:rsidRPr="0022584A">
              <w:rPr>
                <w:rFonts w:ascii="Times New Roman" w:hAnsi="Times New Roman" w:cs="Times New Roman"/>
                <w:i/>
                <w:sz w:val="18"/>
                <w:szCs w:val="18"/>
                <w:lang w:val="el-GR"/>
              </w:rPr>
              <w:t>α</w:t>
            </w:r>
            <w:r w:rsidRPr="0022584A">
              <w:rPr>
                <w:rFonts w:ascii="Times New Roman" w:hAnsi="Times New Roman" w:cs="Times New Roman"/>
                <w:i/>
                <w:sz w:val="18"/>
                <w:szCs w:val="18"/>
                <w:lang w:val="en-US"/>
              </w:rPr>
              <w:t>1</w:t>
            </w:r>
          </w:p>
        </w:tc>
        <w:tc>
          <w:tcPr>
            <w:tcW w:w="3891" w:type="dxa"/>
          </w:tcPr>
          <w:p w14:paraId="4658E9A0" w14:textId="77777777" w:rsidR="00FB7FDC" w:rsidRPr="00274FA7" w:rsidRDefault="00FB7FDC" w:rsidP="00C96DE5">
            <w:pPr>
              <w:spacing w:after="120" w:line="360" w:lineRule="auto"/>
              <w:rPr>
                <w:rFonts w:ascii="Times New Roman" w:hAnsi="Times New Roman" w:cs="Times New Roman"/>
                <w:sz w:val="18"/>
                <w:szCs w:val="18"/>
              </w:rPr>
            </w:pPr>
            <w:r w:rsidRPr="00274FA7">
              <w:rPr>
                <w:rFonts w:ascii="Times New Roman" w:hAnsi="Times New Roman" w:cs="Times New Roman"/>
                <w:sz w:val="18"/>
                <w:szCs w:val="18"/>
              </w:rPr>
              <w:t>F:5′TCCTGCCGATGTCGCTATC3′</w:t>
            </w:r>
          </w:p>
          <w:p w14:paraId="5C077B6F" w14:textId="77777777" w:rsidR="00FB7FDC" w:rsidRPr="00274FA7" w:rsidRDefault="00FB7FDC" w:rsidP="00C96DE5">
            <w:pPr>
              <w:spacing w:after="120" w:line="360" w:lineRule="auto"/>
              <w:rPr>
                <w:rFonts w:ascii="Times New Roman" w:hAnsi="Times New Roman" w:cs="Times New Roman"/>
              </w:rPr>
            </w:pPr>
            <w:r w:rsidRPr="00274FA7">
              <w:rPr>
                <w:rFonts w:ascii="Times New Roman" w:hAnsi="Times New Roman" w:cs="Times New Roman"/>
                <w:sz w:val="18"/>
                <w:szCs w:val="18"/>
              </w:rPr>
              <w:t>R: 5′CAAGTTCCGGTGTGACTCGTG3’</w:t>
            </w:r>
          </w:p>
        </w:tc>
        <w:tc>
          <w:tcPr>
            <w:tcW w:w="1346" w:type="dxa"/>
          </w:tcPr>
          <w:p w14:paraId="26174923"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233</w:t>
            </w:r>
          </w:p>
        </w:tc>
        <w:tc>
          <w:tcPr>
            <w:tcW w:w="1637" w:type="dxa"/>
          </w:tcPr>
          <w:p w14:paraId="665D8833"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58</w:t>
            </w:r>
          </w:p>
        </w:tc>
        <w:tc>
          <w:tcPr>
            <w:tcW w:w="1291" w:type="dxa"/>
          </w:tcPr>
          <w:p w14:paraId="2D3EE71E"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rPr>
              <w:fldChar w:fldCharType="begin"/>
            </w:r>
            <w:r w:rsidR="004E6BB8">
              <w:rPr>
                <w:rFonts w:ascii="Times New Roman" w:hAnsi="Times New Roman" w:cs="Times New Roman"/>
                <w:sz w:val="18"/>
                <w:szCs w:val="18"/>
              </w:rPr>
              <w:instrText xml:space="preserve"> ADDIN ZOTERO_ITEM CSL_CITATION {"citationID":"SIWT2wga","properties":{"formattedCitation":"[10]","plainCitation":"[10]","noteIndex":0},"citationItems":[{"id":206,"uris":["http://zotero.org/users/local/5kbo7PDZ/items/ATNAW3PK"],"itemData":{"id":206,"type":"article-journal","abstract":"Bone marrow stromal cells (BMSCs) possess multi-lineage differentiation potential and can be induced to undergo differentiation into various cell types with the correct combination of chemical and environmental factors. Although, they have shown great prospects in therapeutic and medical applications, less is known about their behavior on nanosurfaces mimicking the extra cellular matrix (ECM). In this report we have employed 2D substrates coated with tobacco mosaic virus (TMV) nanorods to study the differentiation process of BMSCs into osteoblast-like cells. TMV is a rod-shaped plant virus with an average length of 300 nm and diameter of 18 nm. The osteogenic differentiation of BMSCs on TMV was studied over time points of 7, 14 and 21 days. We examined the temporal gene expression changes during these time points by real time quantitative PCR (RT-qPCR) analysis. As expected, osteo-specific genes (osteocalcin, osteopontin and osteonectin) were upregulated and showed a maximum change in expression on TMV at 14 days which was 7 days earlier than on tissue culture plastic (TCP). Based on the genes expression profile generated by RT-qPCR experiments, we proposed that the early interaction of cells with TMV triggers on signaling pathways which regulate speedy expression of osteocalcin in turn, resulting in early mineralization of the cells. To further investigate these regulating factors we studied global changes in gene expression (DNA microarray analyses) during osteogenic differentiation on the nanosubstrate. Multitudes of genes were affected by culturing cells on nanorod substrate, which corroborated our initial PCR findings. Microarray analysis further revealed additional targets influenced by the presence of nanorods on the surface, of which, the expression of bone morphogenetic protein 2 (BMP2) was of particular interests. Further investigation into the temporal change of BMP2, revealed that it acts as a major promoter in signaling the early regulation of osteocalcin on TMV coated substrates.","container-title":"Biomaterials","DOI":"10.1016/j.biomaterials.2009.11.041","ISSN":"0142-9612","issue":"7","journalAbbreviation":"Biomaterials","note":"PMID: 20022632\nPMCID: PMC4748726","page":"1732-1741","source":"PubMed Central","title":"Regulation of Osteogenic Differentiation of Rat Bone Marrow Stromal Cells on 2D Nanorod Substrates","volume":"31","author":[{"family":"Kaur","given":"Gagandeep"},{"family":"Valarmathi","given":"Mani. T."},{"family":"Potts","given":"J. D."},{"family":"Jabbari","given":"Esmaiel"},{"family":"Sabo-Attwood","given":"Tara"},{"family":"Wang","given":"Qian"}],"issued":{"date-parts":[["2010",3]]}}}],"schema":"https://github.com/citation-style-language/schema/raw/master/csl-citation.json"} </w:instrText>
            </w:r>
            <w:r w:rsidRPr="00274FA7">
              <w:rPr>
                <w:rFonts w:ascii="Times New Roman" w:hAnsi="Times New Roman" w:cs="Times New Roman"/>
                <w:sz w:val="18"/>
                <w:szCs w:val="18"/>
              </w:rPr>
              <w:fldChar w:fldCharType="separate"/>
            </w:r>
            <w:r w:rsidR="004E6BB8" w:rsidRPr="004E6BB8">
              <w:rPr>
                <w:rFonts w:ascii="Times New Roman" w:hAnsi="Times New Roman" w:cs="Times New Roman"/>
                <w:sz w:val="18"/>
              </w:rPr>
              <w:t>[10]</w:t>
            </w:r>
            <w:r w:rsidRPr="00274FA7">
              <w:rPr>
                <w:rFonts w:ascii="Times New Roman" w:hAnsi="Times New Roman" w:cs="Times New Roman"/>
                <w:sz w:val="18"/>
                <w:szCs w:val="18"/>
              </w:rPr>
              <w:fldChar w:fldCharType="end"/>
            </w:r>
          </w:p>
        </w:tc>
      </w:tr>
      <w:tr w:rsidR="00FB7FDC" w:rsidRPr="00274FA7" w14:paraId="6147EF85" w14:textId="77777777" w:rsidTr="00FB7FDC">
        <w:tc>
          <w:tcPr>
            <w:tcW w:w="851" w:type="dxa"/>
          </w:tcPr>
          <w:p w14:paraId="512CF596" w14:textId="77777777" w:rsidR="00FB7FDC" w:rsidRPr="0022584A" w:rsidRDefault="00FB7FDC" w:rsidP="00C96DE5">
            <w:pPr>
              <w:spacing w:after="120" w:line="360" w:lineRule="auto"/>
              <w:jc w:val="center"/>
              <w:rPr>
                <w:rFonts w:ascii="Times New Roman" w:hAnsi="Times New Roman" w:cs="Times New Roman"/>
                <w:i/>
              </w:rPr>
            </w:pPr>
            <w:r w:rsidRPr="0022584A">
              <w:rPr>
                <w:rFonts w:ascii="Times New Roman" w:hAnsi="Times New Roman" w:cs="Times New Roman"/>
                <w:i/>
                <w:sz w:val="18"/>
                <w:szCs w:val="18"/>
                <w:lang w:val="en-US"/>
              </w:rPr>
              <w:t>OCN</w:t>
            </w:r>
          </w:p>
        </w:tc>
        <w:tc>
          <w:tcPr>
            <w:tcW w:w="3891" w:type="dxa"/>
          </w:tcPr>
          <w:p w14:paraId="44D64D77" w14:textId="77777777" w:rsidR="00FB7FDC" w:rsidRPr="00274FA7" w:rsidRDefault="00FB7FDC" w:rsidP="00C96DE5">
            <w:pPr>
              <w:spacing w:after="120" w:line="360" w:lineRule="auto"/>
              <w:rPr>
                <w:rFonts w:ascii="Times New Roman" w:hAnsi="Times New Roman" w:cs="Times New Roman"/>
                <w:sz w:val="18"/>
                <w:szCs w:val="18"/>
              </w:rPr>
            </w:pPr>
            <w:r w:rsidRPr="00274FA7">
              <w:rPr>
                <w:rFonts w:ascii="Times New Roman" w:hAnsi="Times New Roman" w:cs="Times New Roman"/>
                <w:sz w:val="18"/>
                <w:szCs w:val="18"/>
              </w:rPr>
              <w:t>F:5′TCCTGCCGATGTCGCTATC3′</w:t>
            </w:r>
          </w:p>
          <w:p w14:paraId="6C669D21" w14:textId="77777777" w:rsidR="00FB7FDC" w:rsidRPr="00274FA7" w:rsidRDefault="00FB7FDC" w:rsidP="00C96DE5">
            <w:pPr>
              <w:spacing w:after="120" w:line="360" w:lineRule="auto"/>
              <w:rPr>
                <w:rFonts w:ascii="Times New Roman" w:hAnsi="Times New Roman" w:cs="Times New Roman"/>
              </w:rPr>
            </w:pPr>
            <w:r w:rsidRPr="00274FA7">
              <w:rPr>
                <w:rFonts w:ascii="Times New Roman" w:hAnsi="Times New Roman" w:cs="Times New Roman"/>
                <w:sz w:val="18"/>
                <w:szCs w:val="18"/>
              </w:rPr>
              <w:t>R: 5′CAAGTTCCGGTGTGACTCGTG3’</w:t>
            </w:r>
          </w:p>
        </w:tc>
        <w:tc>
          <w:tcPr>
            <w:tcW w:w="1346" w:type="dxa"/>
          </w:tcPr>
          <w:p w14:paraId="37A6DF18"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697</w:t>
            </w:r>
          </w:p>
        </w:tc>
        <w:tc>
          <w:tcPr>
            <w:tcW w:w="1637" w:type="dxa"/>
          </w:tcPr>
          <w:p w14:paraId="17C968F9"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60</w:t>
            </w:r>
          </w:p>
        </w:tc>
        <w:tc>
          <w:tcPr>
            <w:tcW w:w="1291" w:type="dxa"/>
          </w:tcPr>
          <w:p w14:paraId="24CCD65A"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rPr>
              <w:fldChar w:fldCharType="begin"/>
            </w:r>
            <w:r w:rsidR="004E6BB8">
              <w:rPr>
                <w:rFonts w:ascii="Times New Roman" w:hAnsi="Times New Roman" w:cs="Times New Roman"/>
                <w:sz w:val="18"/>
                <w:szCs w:val="18"/>
              </w:rPr>
              <w:instrText xml:space="preserve"> ADDIN ZOTERO_ITEM CSL_CITATION {"citationID":"zi81DAHm","properties":{"formattedCitation":"[11]","plainCitation":"[11]","noteIndex":0},"citationItems":[{"id":210,"uris":["http://zotero.org/users/local/5kbo7PDZ/items/N5EL44DK"],"itemData":{"id":210,"type":"article-journal","abstract":"The comparative quantity of the distinct type of surface hydroxyl groups (bridging-OH and terminal-OH) plays the key role in cell–material interactions.\n          , \n            \n              Titanium (Ti) and tantalum (Ta) metals have been widely used as implants for their favorable mechanical features and good biocompatibility. However, the results on their osteogenic capacity have been conflicting due to the synergistic effects of complex and multiple material surface features (such as topography, surface chemistries\n              etc.\n              ) on cellular behaviors. Here, we directly compare the osteogenic response of mesenchymal stem cells (MSCs) to Ti and Ta metal surfaces with alterable surface hydroxyl groups. Although no difference was found on both surface topographies, cellular adhesion, proliferation, and the expression of osteogenic-related markers were upregulated with the increasing amount of surface hydroxyl groups (–OH) after ultraviolet (UV) light treatment. Moreover, Ti showed better effects in promoting osteogenic differentiation of MSCs than Ta before UV light treatment, but demonstrated the opposite after UV light treatment. These results might be attributed to the comparative quantity of the distinct type of surface hydroxyl groups (bridging-OH and terminal-OH), which regulated the conformation of the initial protein adsorption and subsequent cellular behaviors. Our results demonstrate the central role of the surface hydroxyl groups in mediating cell–material interactions and implicate this interface as helping in optimizing osteointegration of Ti and Ta based orthopaedic and dental implants.","container-title":"Journal of Materials Chemistry B","DOI":"10.1039/C7TB00111H","ISSN":"2050-750X, 2050-7518","issue":"21","journalAbbreviation":"J. Mater. Chem. B","language":"en","page":"3955-3963","source":"DOI.org (Crossref)","title":"Surface hydroxyl groups regulate the osteogenic differentiation of mesenchymal stem cells on titanium and tantalum metals","volume":"5","author":[{"family":"Yu","given":"Mengfei"},{"family":"Gong","given":"Jiaxing"},{"family":"Zhou","given":"Ying"},{"family":"Dong","given":"Lingqing"},{"family":"Lin","given":"Yihan"},{"family":"Ma","given":"Liang"},{"family":"Weng","given":"Wenjian"},{"family":"Cheng","given":"Kui"},{"family":"Wang","given":"Huiming"}],"issued":{"date-parts":[["2017"]]}}}],"schema":"https://github.com/citation-style-language/schema/raw/master/csl-citation.json"} </w:instrText>
            </w:r>
            <w:r w:rsidRPr="00274FA7">
              <w:rPr>
                <w:rFonts w:ascii="Times New Roman" w:hAnsi="Times New Roman" w:cs="Times New Roman"/>
                <w:sz w:val="18"/>
                <w:szCs w:val="18"/>
              </w:rPr>
              <w:fldChar w:fldCharType="separate"/>
            </w:r>
            <w:r w:rsidR="004E6BB8" w:rsidRPr="004E6BB8">
              <w:rPr>
                <w:rFonts w:ascii="Times New Roman" w:hAnsi="Times New Roman" w:cs="Times New Roman"/>
                <w:sz w:val="18"/>
              </w:rPr>
              <w:t>[11]</w:t>
            </w:r>
            <w:r w:rsidRPr="00274FA7">
              <w:rPr>
                <w:rFonts w:ascii="Times New Roman" w:hAnsi="Times New Roman" w:cs="Times New Roman"/>
                <w:sz w:val="18"/>
                <w:szCs w:val="18"/>
              </w:rPr>
              <w:fldChar w:fldCharType="end"/>
            </w:r>
          </w:p>
        </w:tc>
      </w:tr>
      <w:tr w:rsidR="00FB7FDC" w:rsidRPr="00274FA7" w14:paraId="707073A1" w14:textId="77777777" w:rsidTr="00FB7FDC">
        <w:tc>
          <w:tcPr>
            <w:tcW w:w="851" w:type="dxa"/>
          </w:tcPr>
          <w:p w14:paraId="1FBC9D55" w14:textId="77777777" w:rsidR="00FB7FDC" w:rsidRPr="0022584A" w:rsidRDefault="00FB7FDC" w:rsidP="00C96DE5">
            <w:pPr>
              <w:spacing w:after="120" w:line="360" w:lineRule="auto"/>
              <w:jc w:val="center"/>
              <w:rPr>
                <w:rFonts w:ascii="Times New Roman" w:hAnsi="Times New Roman" w:cs="Times New Roman"/>
                <w:i/>
              </w:rPr>
            </w:pPr>
            <w:r w:rsidRPr="0022584A">
              <w:rPr>
                <w:rFonts w:ascii="Times New Roman" w:hAnsi="Times New Roman" w:cs="Times New Roman"/>
                <w:i/>
                <w:sz w:val="18"/>
                <w:szCs w:val="18"/>
                <w:lang w:val="en-US"/>
              </w:rPr>
              <w:t>ALP</w:t>
            </w:r>
          </w:p>
        </w:tc>
        <w:tc>
          <w:tcPr>
            <w:tcW w:w="3891" w:type="dxa"/>
          </w:tcPr>
          <w:p w14:paraId="21EC7B74" w14:textId="77777777" w:rsidR="00FB7FDC" w:rsidRPr="00274FA7" w:rsidRDefault="00FB7FDC" w:rsidP="00C96DE5">
            <w:pPr>
              <w:spacing w:after="120" w:line="360" w:lineRule="auto"/>
              <w:rPr>
                <w:rFonts w:ascii="Times New Roman" w:hAnsi="Times New Roman" w:cs="Times New Roman"/>
                <w:sz w:val="18"/>
                <w:szCs w:val="18"/>
              </w:rPr>
            </w:pPr>
            <w:r w:rsidRPr="00274FA7">
              <w:rPr>
                <w:rFonts w:ascii="Times New Roman" w:hAnsi="Times New Roman" w:cs="Times New Roman"/>
                <w:sz w:val="18"/>
                <w:szCs w:val="18"/>
              </w:rPr>
              <w:t>F: 5’ AACCTGACTGACCCTTCCCTCT3’</w:t>
            </w:r>
          </w:p>
          <w:p w14:paraId="0848E61D" w14:textId="77777777" w:rsidR="00FB7FDC" w:rsidRPr="00274FA7" w:rsidRDefault="00FB7FDC" w:rsidP="00C96DE5">
            <w:pPr>
              <w:spacing w:after="120" w:line="360" w:lineRule="auto"/>
              <w:rPr>
                <w:rFonts w:ascii="Times New Roman" w:hAnsi="Times New Roman" w:cs="Times New Roman"/>
              </w:rPr>
            </w:pPr>
            <w:r w:rsidRPr="00274FA7">
              <w:rPr>
                <w:rFonts w:ascii="Times New Roman" w:hAnsi="Times New Roman" w:cs="Times New Roman"/>
                <w:sz w:val="18"/>
                <w:szCs w:val="18"/>
              </w:rPr>
              <w:t>R:5’TCAATCCTGCCTCCTTCCACTA3’</w:t>
            </w:r>
          </w:p>
        </w:tc>
        <w:tc>
          <w:tcPr>
            <w:tcW w:w="1346" w:type="dxa"/>
          </w:tcPr>
          <w:p w14:paraId="6FB09942"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103</w:t>
            </w:r>
          </w:p>
        </w:tc>
        <w:tc>
          <w:tcPr>
            <w:tcW w:w="1637" w:type="dxa"/>
          </w:tcPr>
          <w:p w14:paraId="64F4780E"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58</w:t>
            </w:r>
          </w:p>
        </w:tc>
        <w:tc>
          <w:tcPr>
            <w:tcW w:w="1291" w:type="dxa"/>
          </w:tcPr>
          <w:p w14:paraId="11AE8D53"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rPr>
              <w:fldChar w:fldCharType="begin"/>
            </w:r>
            <w:r w:rsidR="004E6BB8">
              <w:rPr>
                <w:rFonts w:ascii="Times New Roman" w:hAnsi="Times New Roman" w:cs="Times New Roman"/>
                <w:sz w:val="18"/>
                <w:szCs w:val="18"/>
              </w:rPr>
              <w:instrText xml:space="preserve"> ADDIN ZOTERO_ITEM CSL_CITATION {"citationID":"uE7Cbxs2","properties":{"formattedCitation":"[10]","plainCitation":"[10]","noteIndex":0},"citationItems":[{"id":206,"uris":["http://zotero.org/users/local/5kbo7PDZ/items/ATNAW3PK"],"itemData":{"id":206,"type":"article-journal","abstract":"Bone marrow stromal cells (BMSCs) possess multi-lineage differentiation potential and can be induced to undergo differentiation into various cell types with the correct combination of chemical and environmental factors. Although, they have shown great prospects in therapeutic and medical applications, less is known about their behavior on nanosurfaces mimicking the extra cellular matrix (ECM). In this report we have employed 2D substrates coated with tobacco mosaic virus (TMV) nanorods to study the differentiation process of BMSCs into osteoblast-like cells. TMV is a rod-shaped plant virus with an average length of 300 nm and diameter of 18 nm. The osteogenic differentiation of BMSCs on TMV was studied over time points of 7, 14 and 21 days. We examined the temporal gene expression changes during these time points by real time quantitative PCR (RT-qPCR) analysis. As expected, osteo-specific genes (osteocalcin, osteopontin and osteonectin) were upregulated and showed a maximum change in expression on TMV at 14 days which was 7 days earlier than on tissue culture plastic (TCP). Based on the genes expression profile generated by RT-qPCR experiments, we proposed that the early interaction of cells with TMV triggers on signaling pathways which regulate speedy expression of osteocalcin in turn, resulting in early mineralization of the cells. To further investigate these regulating factors we studied global changes in gene expression (DNA microarray analyses) during osteogenic differentiation on the nanosubstrate. Multitudes of genes were affected by culturing cells on nanorod substrate, which corroborated our initial PCR findings. Microarray analysis further revealed additional targets influenced by the presence of nanorods on the surface, of which, the expression of bone morphogenetic protein 2 (BMP2) was of particular interests. Further investigation into the temporal change of BMP2, revealed that it acts as a major promoter in signaling the early regulation of osteocalcin on TMV coated substrates.","container-title":"Biomaterials","DOI":"10.1016/j.biomaterials.2009.11.041","ISSN":"0142-9612","issue":"7","journalAbbreviation":"Biomaterials","note":"PMID: 20022632\nPMCID: PMC4748726","page":"1732-1741","source":"PubMed Central","title":"Regulation of Osteogenic Differentiation of Rat Bone Marrow Stromal Cells on 2D Nanorod Substrates","volume":"31","author":[{"family":"Kaur","given":"Gagandeep"},{"family":"Valarmathi","given":"Mani. T."},{"family":"Potts","given":"J. D."},{"family":"Jabbari","given":"Esmaiel"},{"family":"Sabo-Attwood","given":"Tara"},{"family":"Wang","given":"Qian"}],"issued":{"date-parts":[["2010",3]]}}}],"schema":"https://github.com/citation-style-language/schema/raw/master/csl-citation.json"} </w:instrText>
            </w:r>
            <w:r w:rsidRPr="00274FA7">
              <w:rPr>
                <w:rFonts w:ascii="Times New Roman" w:hAnsi="Times New Roman" w:cs="Times New Roman"/>
                <w:sz w:val="18"/>
                <w:szCs w:val="18"/>
              </w:rPr>
              <w:fldChar w:fldCharType="separate"/>
            </w:r>
            <w:r w:rsidR="004E6BB8" w:rsidRPr="004E6BB8">
              <w:rPr>
                <w:rFonts w:ascii="Times New Roman" w:hAnsi="Times New Roman" w:cs="Times New Roman"/>
                <w:sz w:val="18"/>
              </w:rPr>
              <w:t>[10]</w:t>
            </w:r>
            <w:r w:rsidRPr="00274FA7">
              <w:rPr>
                <w:rFonts w:ascii="Times New Roman" w:hAnsi="Times New Roman" w:cs="Times New Roman"/>
                <w:sz w:val="18"/>
                <w:szCs w:val="18"/>
              </w:rPr>
              <w:fldChar w:fldCharType="end"/>
            </w:r>
          </w:p>
        </w:tc>
      </w:tr>
      <w:tr w:rsidR="00FB7FDC" w:rsidRPr="00274FA7" w14:paraId="7E372AE7" w14:textId="77777777" w:rsidTr="00FB7FDC">
        <w:tc>
          <w:tcPr>
            <w:tcW w:w="851" w:type="dxa"/>
          </w:tcPr>
          <w:p w14:paraId="2510D676" w14:textId="77777777" w:rsidR="00FB7FDC" w:rsidRPr="0022584A" w:rsidRDefault="00FB7FDC" w:rsidP="00C96DE5">
            <w:pPr>
              <w:spacing w:after="120" w:line="360" w:lineRule="auto"/>
              <w:jc w:val="center"/>
              <w:rPr>
                <w:rFonts w:ascii="Times New Roman" w:hAnsi="Times New Roman" w:cs="Times New Roman"/>
                <w:i/>
              </w:rPr>
            </w:pPr>
            <w:r w:rsidRPr="0022584A">
              <w:rPr>
                <w:rFonts w:ascii="Times New Roman" w:hAnsi="Times New Roman" w:cs="Times New Roman"/>
                <w:i/>
                <w:sz w:val="18"/>
                <w:szCs w:val="18"/>
                <w:lang w:val="en-US"/>
              </w:rPr>
              <w:t>BMP2</w:t>
            </w:r>
          </w:p>
        </w:tc>
        <w:tc>
          <w:tcPr>
            <w:tcW w:w="3891" w:type="dxa"/>
          </w:tcPr>
          <w:p w14:paraId="120020CC" w14:textId="77777777" w:rsidR="00FB7FDC" w:rsidRPr="00274FA7" w:rsidRDefault="00FB7FDC" w:rsidP="00C96DE5">
            <w:pPr>
              <w:spacing w:after="120" w:line="360" w:lineRule="auto"/>
              <w:rPr>
                <w:rFonts w:ascii="Times New Roman" w:hAnsi="Times New Roman" w:cs="Times New Roman"/>
              </w:rPr>
            </w:pPr>
            <w:r w:rsidRPr="00274FA7">
              <w:rPr>
                <w:rFonts w:ascii="Times New Roman" w:hAnsi="Times New Roman" w:cs="Times New Roman"/>
                <w:sz w:val="18"/>
                <w:szCs w:val="18"/>
              </w:rPr>
              <w:t>F:5’CCATCACGAAGAAGCCATCGAG3’                  R:5’CTTCCTGCATTTGTTCCCGAA3’</w:t>
            </w:r>
          </w:p>
        </w:tc>
        <w:tc>
          <w:tcPr>
            <w:tcW w:w="1346" w:type="dxa"/>
          </w:tcPr>
          <w:p w14:paraId="29F6E0DE"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142</w:t>
            </w:r>
          </w:p>
        </w:tc>
        <w:tc>
          <w:tcPr>
            <w:tcW w:w="1637" w:type="dxa"/>
          </w:tcPr>
          <w:p w14:paraId="7F1D654F"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60</w:t>
            </w:r>
          </w:p>
        </w:tc>
        <w:tc>
          <w:tcPr>
            <w:tcW w:w="1291" w:type="dxa"/>
          </w:tcPr>
          <w:p w14:paraId="25C47E8A"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rPr>
              <w:fldChar w:fldCharType="begin"/>
            </w:r>
            <w:r w:rsidR="004E6BB8">
              <w:rPr>
                <w:rFonts w:ascii="Times New Roman" w:hAnsi="Times New Roman" w:cs="Times New Roman"/>
                <w:sz w:val="18"/>
                <w:szCs w:val="18"/>
              </w:rPr>
              <w:instrText xml:space="preserve"> ADDIN ZOTERO_ITEM CSL_CITATION {"citationID":"o2IZFOv8","properties":{"formattedCitation":"[12]","plainCitation":"[12]","noteIndex":0},"citationItems":[{"id":204,"uris":["http://zotero.org/users/local/5kbo7PDZ/items/UMPPB8QJ"],"itemData":{"id":204,"type":"article-journal","container-title":"PLOS ONE","DOI":"10.1371/journal.pone.0173877","ISSN":"1932-6203","issue":"3","journalAbbreviation":"PLoS ONE","language":"en","page":"e0173877","source":"DOI.org (Crossref)","title":"Enhancement of osteogenic differentiation of rat adipose tissue-derived mesenchymal stem cells by zinc sulphate under electromagnetic field via the PKA, ERK1/2 and Wnt/β-catenin signaling pathways","volume":"12","author":[{"family":"Fathi","given":"Ezzatollah"},{"family":"Farahzadi","given":"Raheleh"}],"editor":[{"family":"Williams","given":"Bart O."}],"issued":{"date-parts":[["2017",3,24]]}}}],"schema":"https://github.com/citation-style-language/schema/raw/master/csl-citation.json"} </w:instrText>
            </w:r>
            <w:r w:rsidRPr="00274FA7">
              <w:rPr>
                <w:rFonts w:ascii="Times New Roman" w:hAnsi="Times New Roman" w:cs="Times New Roman"/>
                <w:sz w:val="18"/>
                <w:szCs w:val="18"/>
              </w:rPr>
              <w:fldChar w:fldCharType="separate"/>
            </w:r>
            <w:r w:rsidR="004E6BB8" w:rsidRPr="004E6BB8">
              <w:rPr>
                <w:rFonts w:ascii="Times New Roman" w:hAnsi="Times New Roman" w:cs="Times New Roman"/>
                <w:sz w:val="18"/>
              </w:rPr>
              <w:t>[12]</w:t>
            </w:r>
            <w:r w:rsidRPr="00274FA7">
              <w:rPr>
                <w:rFonts w:ascii="Times New Roman" w:hAnsi="Times New Roman" w:cs="Times New Roman"/>
                <w:sz w:val="18"/>
                <w:szCs w:val="18"/>
              </w:rPr>
              <w:fldChar w:fldCharType="end"/>
            </w:r>
          </w:p>
        </w:tc>
      </w:tr>
      <w:tr w:rsidR="00FB7FDC" w:rsidRPr="00274FA7" w14:paraId="68463BE2" w14:textId="77777777" w:rsidTr="00FB7FDC">
        <w:tc>
          <w:tcPr>
            <w:tcW w:w="851" w:type="dxa"/>
          </w:tcPr>
          <w:p w14:paraId="2575D7A8" w14:textId="77777777" w:rsidR="00FB7FDC" w:rsidRPr="0022584A" w:rsidRDefault="00FB7FDC" w:rsidP="00C96DE5">
            <w:pPr>
              <w:spacing w:after="120" w:line="360" w:lineRule="auto"/>
              <w:jc w:val="center"/>
              <w:rPr>
                <w:rFonts w:ascii="Times New Roman" w:hAnsi="Times New Roman" w:cs="Times New Roman"/>
                <w:i/>
                <w:sz w:val="18"/>
                <w:szCs w:val="18"/>
                <w:lang w:val="en-US"/>
              </w:rPr>
            </w:pPr>
            <w:r w:rsidRPr="0022584A">
              <w:rPr>
                <w:rFonts w:ascii="Times New Roman" w:hAnsi="Times New Roman" w:cs="Times New Roman"/>
                <w:i/>
                <w:sz w:val="18"/>
                <w:szCs w:val="18"/>
                <w:lang w:val="en-US"/>
              </w:rPr>
              <w:t>OSX</w:t>
            </w:r>
          </w:p>
        </w:tc>
        <w:tc>
          <w:tcPr>
            <w:tcW w:w="3891" w:type="dxa"/>
          </w:tcPr>
          <w:p w14:paraId="34DF05B3" w14:textId="77777777" w:rsidR="00FB7FDC" w:rsidRPr="00274FA7" w:rsidRDefault="00FB7FDC" w:rsidP="00C96DE5">
            <w:pPr>
              <w:spacing w:after="120" w:line="360" w:lineRule="auto"/>
              <w:rPr>
                <w:rFonts w:ascii="Times New Roman" w:hAnsi="Times New Roman" w:cs="Times New Roman"/>
              </w:rPr>
            </w:pPr>
            <w:r w:rsidRPr="00274FA7">
              <w:rPr>
                <w:rFonts w:ascii="Times New Roman" w:hAnsi="Times New Roman" w:cs="Times New Roman"/>
                <w:sz w:val="18"/>
                <w:szCs w:val="18"/>
              </w:rPr>
              <w:t>F:5’GGAGGCACAAAGAAGCCATA3’ R:5’GGGAAAGGGTGGGTAGTCAT3’</w:t>
            </w:r>
          </w:p>
        </w:tc>
        <w:tc>
          <w:tcPr>
            <w:tcW w:w="1346" w:type="dxa"/>
          </w:tcPr>
          <w:p w14:paraId="6AEA6A4F"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155</w:t>
            </w:r>
          </w:p>
        </w:tc>
        <w:tc>
          <w:tcPr>
            <w:tcW w:w="1637" w:type="dxa"/>
          </w:tcPr>
          <w:p w14:paraId="3DFD4113" w14:textId="77777777" w:rsidR="00FB7FDC" w:rsidRPr="00274FA7" w:rsidRDefault="00FB7FDC" w:rsidP="00C96DE5">
            <w:pPr>
              <w:spacing w:after="120" w:line="360" w:lineRule="auto"/>
              <w:jc w:val="center"/>
              <w:rPr>
                <w:rFonts w:ascii="Times New Roman" w:hAnsi="Times New Roman" w:cs="Times New Roman"/>
              </w:rPr>
            </w:pPr>
            <w:r w:rsidRPr="00274FA7">
              <w:rPr>
                <w:rFonts w:ascii="Times New Roman" w:hAnsi="Times New Roman" w:cs="Times New Roman"/>
                <w:sz w:val="18"/>
                <w:szCs w:val="18"/>
                <w:lang w:val="en-US"/>
              </w:rPr>
              <w:t>60</w:t>
            </w:r>
          </w:p>
        </w:tc>
        <w:tc>
          <w:tcPr>
            <w:tcW w:w="1291" w:type="dxa"/>
          </w:tcPr>
          <w:p w14:paraId="37B650CB" w14:textId="77777777" w:rsidR="00FB7FDC" w:rsidRPr="00274FA7" w:rsidRDefault="00FB7FDC" w:rsidP="00C96DE5">
            <w:pPr>
              <w:spacing w:after="120" w:line="360" w:lineRule="auto"/>
              <w:jc w:val="center"/>
              <w:rPr>
                <w:rFonts w:ascii="Times New Roman" w:hAnsi="Times New Roman" w:cs="Times New Roman"/>
              </w:rPr>
            </w:pPr>
            <w:r w:rsidRPr="0063170B">
              <w:rPr>
                <w:rFonts w:ascii="Times New Roman" w:hAnsi="Times New Roman" w:cs="Times New Roman"/>
                <w:sz w:val="18"/>
              </w:rPr>
              <w:fldChar w:fldCharType="begin"/>
            </w:r>
            <w:r w:rsidR="004E6BB8">
              <w:rPr>
                <w:rFonts w:ascii="Times New Roman" w:hAnsi="Times New Roman" w:cs="Times New Roman"/>
                <w:sz w:val="18"/>
              </w:rPr>
              <w:instrText xml:space="preserve"> ADDIN ZOTERO_ITEM CSL_CITATION {"citationID":"Bj1dLqvi","properties":{"formattedCitation":"[13]","plainCitation":"[13]","noteIndex":0},"citationItems":[{"id":205,"uris":["http://zotero.org/users/local/5kbo7PDZ/items/FHAT9G6D"],"itemData":{"id":205,"type":"article-journal","container-title":"Stem Cell Research &amp; Therapy","DOI":"10.1186/s13287-019-1345-3","ISSN":"1757-6512","issue":"1","journalAbbreviation":"Stem Cell Res Ther","language":"en","page":"222","source":"DOI.org (Crossref)","title":"iRoot BP Plus promotes osteo/odontogenic differentiation of bone marrow mesenchymal stem cells via MAPK pathways and autophagy","volume":"10","author":[{"family":"Lu","given":"Jiamin"},{"family":"Li","given":"Zehan"},{"family":"Wu","given":"Xiao"},{"family":"Chen","given":"Yan"},{"family":"Yan","given":"Ming"},{"family":"Ge","given":"Xingyun"},{"family":"Yu","given":"Jinhua"}],"issued":{"date-parts":[["2019",12]]}}}],"schema":"https://github.com/citation-style-language/schema/raw/master/csl-citation.json"} </w:instrText>
            </w:r>
            <w:r w:rsidRPr="0063170B">
              <w:rPr>
                <w:rFonts w:ascii="Times New Roman" w:hAnsi="Times New Roman" w:cs="Times New Roman"/>
                <w:sz w:val="18"/>
              </w:rPr>
              <w:fldChar w:fldCharType="separate"/>
            </w:r>
            <w:r w:rsidR="004E6BB8" w:rsidRPr="004E6BB8">
              <w:rPr>
                <w:rFonts w:ascii="Times New Roman" w:hAnsi="Times New Roman" w:cs="Times New Roman"/>
                <w:sz w:val="18"/>
              </w:rPr>
              <w:t>[13]</w:t>
            </w:r>
            <w:r w:rsidRPr="0063170B">
              <w:rPr>
                <w:rFonts w:ascii="Times New Roman" w:hAnsi="Times New Roman" w:cs="Times New Roman"/>
                <w:sz w:val="18"/>
              </w:rPr>
              <w:fldChar w:fldCharType="end"/>
            </w:r>
          </w:p>
        </w:tc>
      </w:tr>
    </w:tbl>
    <w:p w14:paraId="169622F4" w14:textId="77777777" w:rsidR="00EE2547" w:rsidRDefault="00321AC3" w:rsidP="00EE2547">
      <w:pPr>
        <w:spacing w:after="120" w:line="240" w:lineRule="auto"/>
        <w:ind w:right="95"/>
        <w:jc w:val="both"/>
        <w:rPr>
          <w:rFonts w:ascii="Times New Roman" w:hAnsi="Times New Roman" w:cs="Times New Roman"/>
          <w:sz w:val="20"/>
          <w:szCs w:val="20"/>
        </w:rPr>
      </w:pPr>
      <w:r w:rsidRPr="00577852">
        <w:rPr>
          <w:rFonts w:ascii="Times New Roman" w:hAnsi="Times New Roman" w:cs="Times New Roman"/>
          <w:sz w:val="20"/>
          <w:szCs w:val="20"/>
        </w:rPr>
        <w:t xml:space="preserve">OPN: </w:t>
      </w:r>
      <w:proofErr w:type="spellStart"/>
      <w:r w:rsidRPr="00577852">
        <w:rPr>
          <w:rFonts w:ascii="Times New Roman" w:hAnsi="Times New Roman" w:cs="Times New Roman"/>
          <w:sz w:val="20"/>
          <w:szCs w:val="20"/>
        </w:rPr>
        <w:t>Osteopontin</w:t>
      </w:r>
      <w:proofErr w:type="spellEnd"/>
      <w:r w:rsidRPr="00577852">
        <w:rPr>
          <w:rFonts w:ascii="Times New Roman" w:hAnsi="Times New Roman" w:cs="Times New Roman"/>
          <w:sz w:val="20"/>
          <w:szCs w:val="20"/>
        </w:rPr>
        <w:t xml:space="preserve">, ONC: </w:t>
      </w:r>
      <w:proofErr w:type="spellStart"/>
      <w:r w:rsidRPr="00577852">
        <w:rPr>
          <w:rFonts w:ascii="Times New Roman" w:hAnsi="Times New Roman" w:cs="Times New Roman"/>
          <w:sz w:val="20"/>
          <w:szCs w:val="20"/>
        </w:rPr>
        <w:t>Osteonectin</w:t>
      </w:r>
      <w:proofErr w:type="spellEnd"/>
      <w:r w:rsidRPr="00577852">
        <w:rPr>
          <w:rFonts w:ascii="Times New Roman" w:hAnsi="Times New Roman" w:cs="Times New Roman"/>
          <w:sz w:val="20"/>
          <w:szCs w:val="20"/>
        </w:rPr>
        <w:t xml:space="preserve">, RUNX2: Runt-related transcription factor 2, BMP: Bone morphogenetic protein, </w:t>
      </w:r>
      <w:r w:rsidRPr="00BA3FDE">
        <w:rPr>
          <w:rFonts w:ascii="Times New Roman" w:hAnsi="Times New Roman" w:cs="Times New Roman"/>
          <w:sz w:val="20"/>
          <w:szCs w:val="20"/>
        </w:rPr>
        <w:t>COL1</w:t>
      </w:r>
      <w:r w:rsidRPr="00577852">
        <w:rPr>
          <w:rFonts w:ascii="Times New Roman" w:hAnsi="Times New Roman" w:cs="Times New Roman"/>
          <w:sz w:val="20"/>
          <w:szCs w:val="20"/>
        </w:rPr>
        <w:t>α</w:t>
      </w:r>
      <w:r w:rsidRPr="00BA3FDE">
        <w:rPr>
          <w:rFonts w:ascii="Times New Roman" w:hAnsi="Times New Roman" w:cs="Times New Roman"/>
          <w:sz w:val="20"/>
          <w:szCs w:val="20"/>
        </w:rPr>
        <w:t>1: Collagen type 1</w:t>
      </w:r>
      <w:r w:rsidRPr="00577852">
        <w:rPr>
          <w:rFonts w:ascii="Times New Roman" w:hAnsi="Times New Roman" w:cs="Times New Roman"/>
          <w:sz w:val="20"/>
          <w:szCs w:val="20"/>
        </w:rPr>
        <w:t>α</w:t>
      </w:r>
      <w:r w:rsidRPr="00BA3FDE">
        <w:rPr>
          <w:rFonts w:ascii="Times New Roman" w:hAnsi="Times New Roman" w:cs="Times New Roman"/>
          <w:sz w:val="20"/>
          <w:szCs w:val="20"/>
        </w:rPr>
        <w:t xml:space="preserve">1, OCN: Osteocalcin, ALP: Alkaline phosphatase, OSX: </w:t>
      </w:r>
      <w:proofErr w:type="spellStart"/>
      <w:r w:rsidRPr="00BA3FDE">
        <w:rPr>
          <w:rFonts w:ascii="Times New Roman" w:hAnsi="Times New Roman" w:cs="Times New Roman"/>
          <w:sz w:val="20"/>
          <w:szCs w:val="20"/>
        </w:rPr>
        <w:t>Osterix</w:t>
      </w:r>
      <w:proofErr w:type="spellEnd"/>
    </w:p>
    <w:p w14:paraId="3BA5CD0F" w14:textId="43CD75C5" w:rsidR="001D41BD" w:rsidRDefault="001D11CA" w:rsidP="00EE2547">
      <w:pPr>
        <w:spacing w:after="120" w:line="240" w:lineRule="auto"/>
        <w:ind w:right="95"/>
        <w:jc w:val="both"/>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3C2BF23D" wp14:editId="332E631C">
            <wp:extent cx="5731510" cy="7902575"/>
            <wp:effectExtent l="0" t="0" r="2540" b="3175"/>
            <wp:docPr id="9304030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03016" name="Picture 930403016"/>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31510" cy="7902575"/>
                    </a:xfrm>
                    <a:prstGeom prst="rect">
                      <a:avLst/>
                    </a:prstGeom>
                  </pic:spPr>
                </pic:pic>
              </a:graphicData>
            </a:graphic>
          </wp:inline>
        </w:drawing>
      </w:r>
    </w:p>
    <w:p w14:paraId="13BA37DB" w14:textId="1C6FBCF5" w:rsidR="00FB7FDC" w:rsidRPr="00EE2547" w:rsidRDefault="00FB7FDC" w:rsidP="00EE2547">
      <w:pPr>
        <w:spacing w:after="120" w:line="240" w:lineRule="auto"/>
        <w:jc w:val="both"/>
        <w:rPr>
          <w:rFonts w:ascii="Times New Roman" w:hAnsi="Times New Roman" w:cs="Times New Roman"/>
          <w:iCs/>
          <w:sz w:val="20"/>
          <w:szCs w:val="20"/>
          <w:lang w:val="en-US"/>
        </w:rPr>
      </w:pPr>
      <w:r>
        <w:rPr>
          <w:rFonts w:ascii="Times New Roman" w:hAnsi="Times New Roman" w:cs="Times New Roman"/>
          <w:b/>
          <w:color w:val="000000" w:themeColor="text1"/>
          <w:sz w:val="20"/>
          <w:szCs w:val="20"/>
          <w:shd w:val="clear" w:color="auto" w:fill="FFFFFF"/>
        </w:rPr>
        <w:t xml:space="preserve">Fig. </w:t>
      </w:r>
      <w:r w:rsidR="00EE2547">
        <w:rPr>
          <w:rFonts w:ascii="Times New Roman" w:hAnsi="Times New Roman" w:cs="Times New Roman"/>
          <w:b/>
          <w:color w:val="000000" w:themeColor="text1"/>
          <w:sz w:val="20"/>
          <w:szCs w:val="20"/>
          <w:shd w:val="clear" w:color="auto" w:fill="FFFFFF"/>
        </w:rPr>
        <w:t>S</w:t>
      </w:r>
      <w:r>
        <w:rPr>
          <w:rFonts w:ascii="Times New Roman" w:hAnsi="Times New Roman" w:cs="Times New Roman"/>
          <w:b/>
          <w:color w:val="000000" w:themeColor="text1"/>
          <w:sz w:val="20"/>
          <w:szCs w:val="20"/>
          <w:shd w:val="clear" w:color="auto" w:fill="FFFFFF"/>
        </w:rPr>
        <w:t xml:space="preserve">1 </w:t>
      </w:r>
      <w:r w:rsidRPr="00577852">
        <w:rPr>
          <w:rFonts w:ascii="Times New Roman" w:hAnsi="Times New Roman" w:cs="Times New Roman"/>
          <w:b/>
          <w:iCs/>
          <w:sz w:val="20"/>
          <w:szCs w:val="20"/>
          <w:lang w:val="en-US"/>
        </w:rPr>
        <w:t xml:space="preserve">rBMSC isolation </w:t>
      </w:r>
      <w:r w:rsidR="00A268F9">
        <w:rPr>
          <w:rFonts w:ascii="Times New Roman" w:hAnsi="Times New Roman" w:cs="Times New Roman"/>
          <w:b/>
          <w:bCs/>
          <w:iCs/>
          <w:sz w:val="20"/>
          <w:szCs w:val="20"/>
          <w:lang w:val="en-US"/>
        </w:rPr>
        <w:t>(</w:t>
      </w:r>
      <w:r w:rsidR="00A16964">
        <w:rPr>
          <w:rFonts w:ascii="Times New Roman" w:hAnsi="Times New Roman" w:cs="Times New Roman"/>
          <w:b/>
          <w:bCs/>
          <w:iCs/>
          <w:sz w:val="20"/>
          <w:szCs w:val="20"/>
          <w:lang w:val="en-US"/>
        </w:rPr>
        <w:t>a</w:t>
      </w:r>
      <w:r w:rsidRPr="00577852">
        <w:rPr>
          <w:rFonts w:ascii="Times New Roman" w:hAnsi="Times New Roman" w:cs="Times New Roman"/>
          <w:b/>
          <w:bCs/>
          <w:iCs/>
          <w:sz w:val="20"/>
          <w:szCs w:val="20"/>
          <w:lang w:val="en-US"/>
        </w:rPr>
        <w:t>)</w:t>
      </w:r>
      <w:r w:rsidRPr="00577852">
        <w:rPr>
          <w:rFonts w:ascii="Times New Roman" w:hAnsi="Times New Roman" w:cs="Times New Roman"/>
          <w:iCs/>
          <w:sz w:val="20"/>
          <w:szCs w:val="20"/>
          <w:lang w:val="en-US"/>
        </w:rPr>
        <w:t xml:space="preserve"> Schematic diagram of rBMSC isolation from rat. The workflow illustrates isolation of rBMSCs.</w:t>
      </w:r>
      <w:r w:rsidRPr="00577852">
        <w:rPr>
          <w:rFonts w:ascii="Times New Roman" w:hAnsi="Times New Roman" w:cs="Times New Roman"/>
          <w:iCs/>
          <w:sz w:val="20"/>
          <w:szCs w:val="20"/>
        </w:rPr>
        <w:t xml:space="preserve"> </w:t>
      </w:r>
      <w:r w:rsidRPr="00577852">
        <w:rPr>
          <w:rFonts w:ascii="Times New Roman" w:hAnsi="Times New Roman" w:cs="Times New Roman"/>
          <w:iCs/>
          <w:sz w:val="20"/>
          <w:szCs w:val="20"/>
          <w:lang w:val="en-US"/>
        </w:rPr>
        <w:t xml:space="preserve">Representative images of rBMSCs (10x) isolated by </w:t>
      </w:r>
      <w:r w:rsidR="00A268F9">
        <w:rPr>
          <w:rFonts w:ascii="Times New Roman" w:hAnsi="Times New Roman" w:cs="Times New Roman"/>
          <w:b/>
          <w:bCs/>
          <w:iCs/>
          <w:sz w:val="20"/>
          <w:szCs w:val="20"/>
          <w:lang w:val="en-US"/>
        </w:rPr>
        <w:t>(</w:t>
      </w:r>
      <w:r w:rsidR="00A16964">
        <w:rPr>
          <w:rFonts w:ascii="Times New Roman" w:hAnsi="Times New Roman" w:cs="Times New Roman"/>
          <w:b/>
          <w:bCs/>
          <w:iCs/>
          <w:sz w:val="20"/>
          <w:szCs w:val="20"/>
          <w:lang w:val="en-US"/>
        </w:rPr>
        <w:t>b</w:t>
      </w:r>
      <w:r w:rsidRPr="00577852">
        <w:rPr>
          <w:rFonts w:ascii="Times New Roman" w:hAnsi="Times New Roman" w:cs="Times New Roman"/>
          <w:b/>
          <w:bCs/>
          <w:iCs/>
          <w:sz w:val="20"/>
          <w:szCs w:val="20"/>
          <w:lang w:val="en-US"/>
        </w:rPr>
        <w:t xml:space="preserve">) </w:t>
      </w:r>
      <w:r w:rsidRPr="00577852">
        <w:rPr>
          <w:rFonts w:ascii="Times New Roman" w:hAnsi="Times New Roman" w:cs="Times New Roman"/>
          <w:iCs/>
          <w:sz w:val="20"/>
          <w:szCs w:val="20"/>
          <w:lang w:val="en-US"/>
        </w:rPr>
        <w:t xml:space="preserve">Direct adherence and </w:t>
      </w:r>
      <w:r w:rsidR="00A268F9">
        <w:rPr>
          <w:rFonts w:ascii="Times New Roman" w:hAnsi="Times New Roman" w:cs="Times New Roman"/>
          <w:b/>
          <w:bCs/>
          <w:iCs/>
          <w:sz w:val="20"/>
          <w:szCs w:val="20"/>
          <w:lang w:val="en-US"/>
        </w:rPr>
        <w:t>(</w:t>
      </w:r>
      <w:r w:rsidR="00A16964">
        <w:rPr>
          <w:rFonts w:ascii="Times New Roman" w:hAnsi="Times New Roman" w:cs="Times New Roman"/>
          <w:b/>
          <w:bCs/>
          <w:iCs/>
          <w:sz w:val="20"/>
          <w:szCs w:val="20"/>
          <w:lang w:val="en-US"/>
        </w:rPr>
        <w:t>c</w:t>
      </w:r>
      <w:r w:rsidRPr="00577852">
        <w:rPr>
          <w:rFonts w:ascii="Times New Roman" w:hAnsi="Times New Roman" w:cs="Times New Roman"/>
          <w:b/>
          <w:bCs/>
          <w:iCs/>
          <w:sz w:val="20"/>
          <w:szCs w:val="20"/>
          <w:lang w:val="en-US"/>
        </w:rPr>
        <w:t xml:space="preserve">) </w:t>
      </w:r>
      <w:r w:rsidRPr="00577852">
        <w:rPr>
          <w:rFonts w:ascii="Times New Roman" w:hAnsi="Times New Roman" w:cs="Times New Roman"/>
          <w:iCs/>
          <w:sz w:val="20"/>
          <w:szCs w:val="20"/>
          <w:lang w:val="en-US"/>
        </w:rPr>
        <w:t xml:space="preserve">Density gradient centrifugation for 4, 8, and 12 days. Trilineage differentiation of rBMSC (10x). </w:t>
      </w:r>
      <w:r w:rsidR="00A268F9">
        <w:rPr>
          <w:rFonts w:ascii="Times New Roman" w:hAnsi="Times New Roman" w:cs="Times New Roman"/>
          <w:b/>
          <w:bCs/>
          <w:iCs/>
          <w:sz w:val="20"/>
          <w:szCs w:val="20"/>
          <w:lang w:val="en-US"/>
        </w:rPr>
        <w:t>(</w:t>
      </w:r>
      <w:r w:rsidR="00A16964">
        <w:rPr>
          <w:rFonts w:ascii="Times New Roman" w:hAnsi="Times New Roman" w:cs="Times New Roman"/>
          <w:b/>
          <w:bCs/>
          <w:iCs/>
          <w:sz w:val="20"/>
          <w:szCs w:val="20"/>
          <w:lang w:val="en-US"/>
        </w:rPr>
        <w:t>d</w:t>
      </w:r>
      <w:r w:rsidRPr="00577852">
        <w:rPr>
          <w:rFonts w:ascii="Times New Roman" w:hAnsi="Times New Roman" w:cs="Times New Roman"/>
          <w:b/>
          <w:bCs/>
          <w:iCs/>
          <w:sz w:val="20"/>
          <w:szCs w:val="20"/>
          <w:lang w:val="en-US"/>
        </w:rPr>
        <w:t xml:space="preserve">) </w:t>
      </w:r>
      <w:r w:rsidRPr="00577852">
        <w:rPr>
          <w:rFonts w:ascii="Times New Roman" w:hAnsi="Times New Roman" w:cs="Times New Roman"/>
          <w:iCs/>
          <w:sz w:val="20"/>
          <w:szCs w:val="20"/>
          <w:lang w:val="en-US"/>
        </w:rPr>
        <w:t>Oil Red O staining of adipogenic MSCs. (</w:t>
      </w:r>
      <w:r w:rsidR="00A16964" w:rsidRPr="00A16964">
        <w:rPr>
          <w:rFonts w:ascii="Times New Roman" w:hAnsi="Times New Roman" w:cs="Times New Roman"/>
          <w:b/>
          <w:bCs/>
          <w:iCs/>
          <w:sz w:val="20"/>
          <w:szCs w:val="20"/>
          <w:lang w:val="en-US"/>
        </w:rPr>
        <w:t>e</w:t>
      </w:r>
      <w:r w:rsidRPr="00577852">
        <w:rPr>
          <w:rFonts w:ascii="Times New Roman" w:hAnsi="Times New Roman" w:cs="Times New Roman"/>
          <w:iCs/>
          <w:sz w:val="20"/>
          <w:szCs w:val="20"/>
          <w:lang w:val="en-US"/>
        </w:rPr>
        <w:t xml:space="preserve">) ARS staining in osteogenic rBMSCs, </w:t>
      </w:r>
      <w:r w:rsidRPr="00A268F9">
        <w:rPr>
          <w:rFonts w:ascii="Times New Roman" w:hAnsi="Times New Roman" w:cs="Times New Roman"/>
          <w:b/>
          <w:iCs/>
          <w:sz w:val="20"/>
          <w:szCs w:val="20"/>
          <w:lang w:val="en-US"/>
        </w:rPr>
        <w:t>(</w:t>
      </w:r>
      <w:r w:rsidR="00A16964">
        <w:rPr>
          <w:rFonts w:ascii="Times New Roman" w:hAnsi="Times New Roman" w:cs="Times New Roman"/>
          <w:b/>
          <w:iCs/>
          <w:sz w:val="20"/>
          <w:szCs w:val="20"/>
          <w:lang w:val="en-US"/>
        </w:rPr>
        <w:t>f</w:t>
      </w:r>
      <w:r w:rsidRPr="00A268F9">
        <w:rPr>
          <w:rFonts w:ascii="Times New Roman" w:hAnsi="Times New Roman" w:cs="Times New Roman"/>
          <w:b/>
          <w:iCs/>
          <w:sz w:val="20"/>
          <w:szCs w:val="20"/>
          <w:lang w:val="en-US"/>
        </w:rPr>
        <w:t>)</w:t>
      </w:r>
      <w:r w:rsidRPr="00577852">
        <w:rPr>
          <w:rFonts w:ascii="Times New Roman" w:hAnsi="Times New Roman" w:cs="Times New Roman"/>
          <w:iCs/>
          <w:sz w:val="20"/>
          <w:szCs w:val="20"/>
          <w:lang w:val="en-US"/>
        </w:rPr>
        <w:t xml:space="preserve"> Alcian blue staining in chondrogenic MSCs</w:t>
      </w:r>
      <w:r w:rsidR="00EE2547">
        <w:rPr>
          <w:rFonts w:ascii="Times New Roman" w:hAnsi="Times New Roman" w:cs="Times New Roman"/>
          <w:iCs/>
          <w:sz w:val="20"/>
          <w:szCs w:val="20"/>
          <w:lang w:val="en-US"/>
        </w:rPr>
        <w:t>.</w:t>
      </w:r>
    </w:p>
    <w:p w14:paraId="69FD8640" w14:textId="05B0D73A" w:rsidR="00FB7FDC" w:rsidRDefault="00FB7FDC"/>
    <w:p w14:paraId="29F00DDE" w14:textId="0192A13E" w:rsidR="00FB7FDC" w:rsidRPr="00EE2547" w:rsidRDefault="001D11CA" w:rsidP="00EE2547">
      <w:pPr>
        <w:spacing w:after="120" w:line="240" w:lineRule="auto"/>
        <w:jc w:val="both"/>
        <w:rPr>
          <w:rFonts w:ascii="Times New Roman" w:hAnsi="Times New Roman" w:cs="Times New Roman"/>
          <w:iCs/>
          <w:sz w:val="20"/>
          <w:szCs w:val="20"/>
          <w:lang w:val="en-US"/>
        </w:rPr>
      </w:pPr>
      <w:r>
        <w:rPr>
          <w:rFonts w:ascii="Times New Roman" w:hAnsi="Times New Roman" w:cs="Times New Roman"/>
          <w:b/>
          <w:iCs/>
          <w:noProof/>
          <w:sz w:val="20"/>
          <w:szCs w:val="20"/>
          <w:lang w:val="en-US"/>
        </w:rPr>
        <w:lastRenderedPageBreak/>
        <w:drawing>
          <wp:inline distT="0" distB="0" distL="0" distR="0" wp14:anchorId="71407647" wp14:editId="3D424A6F">
            <wp:extent cx="5731510" cy="8055610"/>
            <wp:effectExtent l="0" t="0" r="2540" b="2540"/>
            <wp:docPr id="2996951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95133" name="Picture 299695133"/>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8055610"/>
                    </a:xfrm>
                    <a:prstGeom prst="rect">
                      <a:avLst/>
                    </a:prstGeom>
                  </pic:spPr>
                </pic:pic>
              </a:graphicData>
            </a:graphic>
          </wp:inline>
        </w:drawing>
      </w:r>
      <w:r w:rsidR="00FB7FDC" w:rsidRPr="00577852">
        <w:rPr>
          <w:rFonts w:ascii="Times New Roman" w:hAnsi="Times New Roman" w:cs="Times New Roman"/>
          <w:b/>
          <w:iCs/>
          <w:sz w:val="20"/>
          <w:szCs w:val="20"/>
          <w:lang w:val="en-US"/>
        </w:rPr>
        <w:t xml:space="preserve">Fig. </w:t>
      </w:r>
      <w:r w:rsidR="00EE2547">
        <w:rPr>
          <w:rFonts w:ascii="Times New Roman" w:hAnsi="Times New Roman" w:cs="Times New Roman"/>
          <w:b/>
          <w:iCs/>
          <w:sz w:val="20"/>
          <w:szCs w:val="20"/>
          <w:lang w:val="en-US"/>
        </w:rPr>
        <w:t>S</w:t>
      </w:r>
      <w:r w:rsidR="00FB7FDC" w:rsidRPr="00577852">
        <w:rPr>
          <w:rFonts w:ascii="Times New Roman" w:hAnsi="Times New Roman" w:cs="Times New Roman"/>
          <w:b/>
          <w:iCs/>
          <w:sz w:val="20"/>
          <w:szCs w:val="20"/>
          <w:lang w:val="en-US"/>
        </w:rPr>
        <w:t>2 Characterization of rBMSC</w:t>
      </w:r>
      <w:r w:rsidR="00FB7FDC" w:rsidRPr="00577852">
        <w:rPr>
          <w:rFonts w:ascii="Times New Roman" w:hAnsi="Times New Roman" w:cs="Times New Roman"/>
          <w:iCs/>
          <w:sz w:val="20"/>
          <w:szCs w:val="20"/>
          <w:lang w:val="en-US"/>
        </w:rPr>
        <w:t xml:space="preserve"> rBMSCs were analyzed using </w:t>
      </w:r>
      <w:r w:rsidR="00A268F9">
        <w:rPr>
          <w:rFonts w:ascii="Times New Roman" w:hAnsi="Times New Roman" w:cs="Times New Roman"/>
          <w:b/>
          <w:iCs/>
          <w:sz w:val="20"/>
          <w:szCs w:val="20"/>
          <w:lang w:val="en-US"/>
        </w:rPr>
        <w:t>(</w:t>
      </w:r>
      <w:r w:rsidR="00A16964">
        <w:rPr>
          <w:rFonts w:ascii="Times New Roman" w:hAnsi="Times New Roman" w:cs="Times New Roman"/>
          <w:b/>
          <w:iCs/>
          <w:sz w:val="20"/>
          <w:szCs w:val="20"/>
          <w:lang w:val="en-US"/>
        </w:rPr>
        <w:t>a</w:t>
      </w:r>
      <w:r w:rsidR="00FB7FDC" w:rsidRPr="00577852">
        <w:rPr>
          <w:rFonts w:ascii="Times New Roman" w:hAnsi="Times New Roman" w:cs="Times New Roman"/>
          <w:b/>
          <w:iCs/>
          <w:sz w:val="20"/>
          <w:szCs w:val="20"/>
          <w:lang w:val="en-US"/>
        </w:rPr>
        <w:t xml:space="preserve">) </w:t>
      </w:r>
      <w:r w:rsidR="00FB7FDC" w:rsidRPr="00577852">
        <w:rPr>
          <w:rFonts w:ascii="Times New Roman" w:hAnsi="Times New Roman" w:cs="Times New Roman"/>
          <w:iCs/>
          <w:sz w:val="20"/>
          <w:szCs w:val="20"/>
          <w:lang w:val="en-US"/>
        </w:rPr>
        <w:t xml:space="preserve">immunofluorescence staining for MSC-specific surface markers, showing positive results for CD90 and CD105 and negative for CD34 (scale bar-100 </w:t>
      </w:r>
      <w:proofErr w:type="spellStart"/>
      <w:r w:rsidR="00FB7FDC" w:rsidRPr="00577852">
        <w:rPr>
          <w:rFonts w:ascii="Times New Roman" w:hAnsi="Times New Roman" w:cs="Times New Roman"/>
          <w:iCs/>
          <w:sz w:val="20"/>
          <w:szCs w:val="20"/>
          <w:lang w:val="en-US"/>
        </w:rPr>
        <w:t>μm</w:t>
      </w:r>
      <w:proofErr w:type="spellEnd"/>
      <w:r w:rsidR="00FB7FDC" w:rsidRPr="00577852">
        <w:rPr>
          <w:rFonts w:ascii="Times New Roman" w:hAnsi="Times New Roman" w:cs="Times New Roman"/>
          <w:iCs/>
          <w:sz w:val="20"/>
          <w:szCs w:val="20"/>
          <w:lang w:val="en-US"/>
        </w:rPr>
        <w:t xml:space="preserve">). Flow cytometric dot plots displayed specific cell populations: </w:t>
      </w:r>
      <w:r w:rsidR="00A268F9">
        <w:rPr>
          <w:rFonts w:ascii="Times New Roman" w:hAnsi="Times New Roman" w:cs="Times New Roman"/>
          <w:b/>
          <w:iCs/>
          <w:sz w:val="20"/>
          <w:szCs w:val="20"/>
          <w:lang w:val="en-US"/>
        </w:rPr>
        <w:t>(</w:t>
      </w:r>
      <w:r w:rsidR="00A16964">
        <w:rPr>
          <w:rFonts w:ascii="Times New Roman" w:hAnsi="Times New Roman" w:cs="Times New Roman"/>
          <w:b/>
          <w:iCs/>
          <w:sz w:val="20"/>
          <w:szCs w:val="20"/>
          <w:lang w:val="en-US"/>
        </w:rPr>
        <w:t>b</w:t>
      </w:r>
      <w:r w:rsidR="00FB7FDC" w:rsidRPr="00577852">
        <w:rPr>
          <w:rFonts w:ascii="Times New Roman" w:hAnsi="Times New Roman" w:cs="Times New Roman"/>
          <w:b/>
          <w:iCs/>
          <w:sz w:val="20"/>
          <w:szCs w:val="20"/>
          <w:lang w:val="en-US"/>
        </w:rPr>
        <w:t>)</w:t>
      </w:r>
      <w:r w:rsidR="00FB7FDC" w:rsidRPr="00577852">
        <w:rPr>
          <w:rFonts w:ascii="Times New Roman" w:hAnsi="Times New Roman" w:cs="Times New Roman"/>
          <w:iCs/>
          <w:sz w:val="20"/>
          <w:szCs w:val="20"/>
          <w:lang w:val="en-US"/>
        </w:rPr>
        <w:t xml:space="preserve"> CD90, </w:t>
      </w:r>
      <w:r w:rsidR="00A268F9">
        <w:rPr>
          <w:rFonts w:ascii="Times New Roman" w:hAnsi="Times New Roman" w:cs="Times New Roman"/>
          <w:b/>
          <w:iCs/>
          <w:sz w:val="20"/>
          <w:szCs w:val="20"/>
          <w:lang w:val="en-US"/>
        </w:rPr>
        <w:t>(</w:t>
      </w:r>
      <w:r w:rsidR="00A16964">
        <w:rPr>
          <w:rFonts w:ascii="Times New Roman" w:hAnsi="Times New Roman" w:cs="Times New Roman"/>
          <w:b/>
          <w:iCs/>
          <w:sz w:val="20"/>
          <w:szCs w:val="20"/>
          <w:lang w:val="en-US"/>
        </w:rPr>
        <w:t>c</w:t>
      </w:r>
      <w:r w:rsidR="00FB7FDC" w:rsidRPr="00577852">
        <w:rPr>
          <w:rFonts w:ascii="Times New Roman" w:hAnsi="Times New Roman" w:cs="Times New Roman"/>
          <w:b/>
          <w:iCs/>
          <w:sz w:val="20"/>
          <w:szCs w:val="20"/>
          <w:lang w:val="en-US"/>
        </w:rPr>
        <w:t>)</w:t>
      </w:r>
      <w:r w:rsidR="00FB7FDC" w:rsidRPr="00577852">
        <w:rPr>
          <w:rFonts w:ascii="Times New Roman" w:hAnsi="Times New Roman" w:cs="Times New Roman"/>
          <w:iCs/>
          <w:sz w:val="20"/>
          <w:szCs w:val="20"/>
          <w:lang w:val="en-US"/>
        </w:rPr>
        <w:t xml:space="preserve"> CD105</w:t>
      </w:r>
      <w:r w:rsidR="00BE1F91">
        <w:rPr>
          <w:rFonts w:ascii="Times New Roman" w:hAnsi="Times New Roman" w:cs="Times New Roman"/>
          <w:iCs/>
          <w:sz w:val="20"/>
          <w:szCs w:val="20"/>
          <w:lang w:val="en-US"/>
        </w:rPr>
        <w:t>,</w:t>
      </w:r>
      <w:r w:rsidR="00FB7FDC" w:rsidRPr="00577852">
        <w:rPr>
          <w:rFonts w:ascii="Times New Roman" w:hAnsi="Times New Roman" w:cs="Times New Roman"/>
          <w:iCs/>
          <w:sz w:val="20"/>
          <w:szCs w:val="20"/>
          <w:lang w:val="en-US"/>
        </w:rPr>
        <w:t xml:space="preserve"> and </w:t>
      </w:r>
      <w:r w:rsidR="00A268F9">
        <w:rPr>
          <w:rFonts w:ascii="Times New Roman" w:hAnsi="Times New Roman" w:cs="Times New Roman"/>
          <w:b/>
          <w:iCs/>
          <w:sz w:val="20"/>
          <w:szCs w:val="20"/>
          <w:lang w:val="en-US"/>
        </w:rPr>
        <w:t>(</w:t>
      </w:r>
      <w:r w:rsidR="00A16964">
        <w:rPr>
          <w:rFonts w:ascii="Times New Roman" w:hAnsi="Times New Roman" w:cs="Times New Roman"/>
          <w:b/>
          <w:iCs/>
          <w:sz w:val="20"/>
          <w:szCs w:val="20"/>
          <w:lang w:val="en-US"/>
        </w:rPr>
        <w:t>d</w:t>
      </w:r>
      <w:r w:rsidR="00FB7FDC" w:rsidRPr="00577852">
        <w:rPr>
          <w:rFonts w:ascii="Times New Roman" w:hAnsi="Times New Roman" w:cs="Times New Roman"/>
          <w:b/>
          <w:iCs/>
          <w:sz w:val="20"/>
          <w:szCs w:val="20"/>
          <w:lang w:val="en-US"/>
        </w:rPr>
        <w:t>)</w:t>
      </w:r>
      <w:r w:rsidR="00FB7FDC" w:rsidRPr="00577852">
        <w:rPr>
          <w:rFonts w:ascii="Times New Roman" w:hAnsi="Times New Roman" w:cs="Times New Roman"/>
          <w:iCs/>
          <w:sz w:val="20"/>
          <w:szCs w:val="20"/>
          <w:lang w:val="en-US"/>
        </w:rPr>
        <w:t xml:space="preserve"> CD34. Agarose gel electrophoresis of rBMSC qRT-PCR products demonstrated </w:t>
      </w:r>
      <w:r w:rsidR="00A268F9">
        <w:rPr>
          <w:rFonts w:ascii="Times New Roman" w:hAnsi="Times New Roman" w:cs="Times New Roman"/>
          <w:b/>
          <w:iCs/>
          <w:sz w:val="20"/>
          <w:szCs w:val="20"/>
          <w:lang w:val="en-US"/>
        </w:rPr>
        <w:t>(</w:t>
      </w:r>
      <w:r w:rsidR="00A16964">
        <w:rPr>
          <w:rFonts w:ascii="Times New Roman" w:hAnsi="Times New Roman" w:cs="Times New Roman"/>
          <w:b/>
          <w:iCs/>
          <w:sz w:val="20"/>
          <w:szCs w:val="20"/>
          <w:lang w:val="en-US"/>
        </w:rPr>
        <w:t>e</w:t>
      </w:r>
      <w:r w:rsidR="00FB7FDC" w:rsidRPr="00577852">
        <w:rPr>
          <w:rFonts w:ascii="Times New Roman" w:hAnsi="Times New Roman" w:cs="Times New Roman"/>
          <w:b/>
          <w:iCs/>
          <w:sz w:val="20"/>
          <w:szCs w:val="20"/>
          <w:lang w:val="en-US"/>
        </w:rPr>
        <w:t>)</w:t>
      </w:r>
      <w:r w:rsidR="00FB7FDC" w:rsidRPr="00577852">
        <w:rPr>
          <w:rFonts w:ascii="Times New Roman" w:hAnsi="Times New Roman" w:cs="Times New Roman"/>
          <w:iCs/>
          <w:sz w:val="20"/>
          <w:szCs w:val="20"/>
          <w:lang w:val="en-US"/>
        </w:rPr>
        <w:t xml:space="preserve"> positive expression of CD73, CD90, and CD105, negative expression of CD34, and utilized β-Actin as a positive control</w:t>
      </w:r>
      <w:r w:rsidR="00EE2547">
        <w:rPr>
          <w:rFonts w:ascii="Times New Roman" w:hAnsi="Times New Roman" w:cs="Times New Roman"/>
          <w:iCs/>
          <w:sz w:val="20"/>
          <w:szCs w:val="20"/>
          <w:lang w:val="en-US"/>
        </w:rPr>
        <w:t>.</w:t>
      </w:r>
    </w:p>
    <w:p w14:paraId="7950C49A" w14:textId="6FD93C04" w:rsidR="00ED2188" w:rsidRDefault="001D11CA">
      <w:r>
        <w:rPr>
          <w:noProof/>
        </w:rPr>
        <w:lastRenderedPageBreak/>
        <w:drawing>
          <wp:inline distT="0" distB="0" distL="0" distR="0" wp14:anchorId="7BE0655A" wp14:editId="269BACD6">
            <wp:extent cx="5731510" cy="7785100"/>
            <wp:effectExtent l="0" t="0" r="2540" b="6350"/>
            <wp:docPr id="16839881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988163" name="Picture 1683988163"/>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7785100"/>
                    </a:xfrm>
                    <a:prstGeom prst="rect">
                      <a:avLst/>
                    </a:prstGeom>
                  </pic:spPr>
                </pic:pic>
              </a:graphicData>
            </a:graphic>
          </wp:inline>
        </w:drawing>
      </w:r>
    </w:p>
    <w:p w14:paraId="05243438" w14:textId="77777777" w:rsidR="001D11CA" w:rsidRDefault="00ED2188" w:rsidP="001D11CA">
      <w:pPr>
        <w:spacing w:after="120" w:line="276" w:lineRule="auto"/>
        <w:jc w:val="both"/>
        <w:rPr>
          <w:rFonts w:ascii="Times New Roman" w:hAnsi="Times New Roman" w:cs="Times New Roman"/>
          <w:sz w:val="20"/>
          <w:szCs w:val="20"/>
          <w:lang w:val="en-US"/>
        </w:rPr>
      </w:pPr>
      <w:r w:rsidRPr="00ED2188">
        <w:rPr>
          <w:rFonts w:ascii="Times New Roman" w:hAnsi="Times New Roman" w:cs="Times New Roman"/>
          <w:b/>
          <w:sz w:val="20"/>
          <w:szCs w:val="20"/>
          <w:lang w:val="en-US"/>
        </w:rPr>
        <w:t>Fig</w:t>
      </w:r>
      <w:r w:rsidR="005036B9">
        <w:rPr>
          <w:rFonts w:ascii="Times New Roman" w:hAnsi="Times New Roman" w:cs="Times New Roman"/>
          <w:b/>
          <w:sz w:val="20"/>
          <w:szCs w:val="20"/>
          <w:lang w:val="en-US"/>
        </w:rPr>
        <w:t>.</w:t>
      </w:r>
      <w:r w:rsidRPr="00ED2188">
        <w:rPr>
          <w:rFonts w:ascii="Times New Roman" w:hAnsi="Times New Roman" w:cs="Times New Roman"/>
          <w:b/>
          <w:sz w:val="20"/>
          <w:szCs w:val="20"/>
          <w:lang w:val="en-US"/>
        </w:rPr>
        <w:t xml:space="preserve"> S3 Evaluation of EV Depletion from FBS.</w:t>
      </w:r>
      <w:r w:rsidRPr="00ED2188">
        <w:rPr>
          <w:rFonts w:ascii="Times New Roman" w:hAnsi="Times New Roman" w:cs="Times New Roman"/>
          <w:sz w:val="20"/>
          <w:szCs w:val="20"/>
          <w:lang w:val="en-US"/>
        </w:rPr>
        <w:t xml:space="preserve"> </w:t>
      </w:r>
      <w:r w:rsidRPr="00ED2188">
        <w:rPr>
          <w:rFonts w:ascii="Times New Roman" w:hAnsi="Times New Roman" w:cs="Times New Roman"/>
          <w:b/>
          <w:bCs/>
          <w:sz w:val="20"/>
          <w:szCs w:val="20"/>
          <w:lang w:val="en-US"/>
        </w:rPr>
        <w:t>(</w:t>
      </w:r>
      <w:r w:rsidR="00A16964">
        <w:rPr>
          <w:rFonts w:ascii="Times New Roman" w:hAnsi="Times New Roman" w:cs="Times New Roman"/>
          <w:b/>
          <w:bCs/>
          <w:sz w:val="20"/>
          <w:szCs w:val="20"/>
          <w:lang w:val="en-US"/>
        </w:rPr>
        <w:t>a</w:t>
      </w:r>
      <w:r w:rsidRPr="00ED2188">
        <w:rPr>
          <w:rFonts w:ascii="Times New Roman" w:hAnsi="Times New Roman" w:cs="Times New Roman"/>
          <w:b/>
          <w:bCs/>
          <w:sz w:val="20"/>
          <w:szCs w:val="20"/>
          <w:lang w:val="en-US"/>
        </w:rPr>
        <w:t>)</w:t>
      </w:r>
      <w:r w:rsidRPr="00ED2188">
        <w:rPr>
          <w:rFonts w:ascii="Times New Roman" w:hAnsi="Times New Roman" w:cs="Times New Roman"/>
          <w:sz w:val="20"/>
          <w:szCs w:val="20"/>
          <w:lang w:val="en-US"/>
        </w:rPr>
        <w:t xml:space="preserve"> Coomassie staining results for ED-FBS (supernatant) and FBS-EV (pellet) samples were prepared using two methods: undiluted and diluted with cell culture media at a 1:3 ratio (FBS: culture media). </w:t>
      </w:r>
      <w:r w:rsidRPr="00ED2188">
        <w:rPr>
          <w:rFonts w:ascii="Times New Roman" w:hAnsi="Times New Roman" w:cs="Times New Roman"/>
          <w:b/>
          <w:bCs/>
          <w:sz w:val="20"/>
          <w:szCs w:val="20"/>
          <w:lang w:val="en-US"/>
        </w:rPr>
        <w:t>(</w:t>
      </w:r>
      <w:r w:rsidR="00A16964">
        <w:rPr>
          <w:rFonts w:ascii="Times New Roman" w:hAnsi="Times New Roman" w:cs="Times New Roman"/>
          <w:b/>
          <w:bCs/>
          <w:sz w:val="20"/>
          <w:szCs w:val="20"/>
          <w:lang w:val="en-US"/>
        </w:rPr>
        <w:t>b</w:t>
      </w:r>
      <w:r w:rsidRPr="00ED2188">
        <w:rPr>
          <w:rFonts w:ascii="Times New Roman" w:hAnsi="Times New Roman" w:cs="Times New Roman"/>
          <w:b/>
          <w:bCs/>
          <w:sz w:val="20"/>
          <w:szCs w:val="20"/>
          <w:lang w:val="en-US"/>
        </w:rPr>
        <w:t>)</w:t>
      </w:r>
      <w:r w:rsidRPr="00ED2188">
        <w:rPr>
          <w:rFonts w:ascii="Times New Roman" w:hAnsi="Times New Roman" w:cs="Times New Roman"/>
          <w:sz w:val="20"/>
          <w:szCs w:val="20"/>
          <w:lang w:val="en-US"/>
        </w:rPr>
        <w:t xml:space="preserve"> Western blot analysis using EV markers HSP90 and TSG101 to validate the EV depletion process. </w:t>
      </w:r>
      <w:r w:rsidRPr="00ED2188">
        <w:rPr>
          <w:rFonts w:ascii="Times New Roman" w:hAnsi="Times New Roman" w:cs="Times New Roman"/>
          <w:b/>
          <w:bCs/>
          <w:sz w:val="20"/>
          <w:szCs w:val="20"/>
          <w:lang w:val="en-US"/>
        </w:rPr>
        <w:t>(</w:t>
      </w:r>
      <w:r w:rsidR="00A16964">
        <w:rPr>
          <w:rFonts w:ascii="Times New Roman" w:hAnsi="Times New Roman" w:cs="Times New Roman"/>
          <w:b/>
          <w:bCs/>
          <w:sz w:val="20"/>
          <w:szCs w:val="20"/>
          <w:lang w:val="en-US"/>
        </w:rPr>
        <w:t>c</w:t>
      </w:r>
      <w:r w:rsidRPr="00ED2188">
        <w:rPr>
          <w:rFonts w:ascii="Times New Roman" w:hAnsi="Times New Roman" w:cs="Times New Roman"/>
          <w:b/>
          <w:bCs/>
          <w:sz w:val="20"/>
          <w:szCs w:val="20"/>
          <w:lang w:val="en-US"/>
        </w:rPr>
        <w:t>)</w:t>
      </w:r>
      <w:r w:rsidRPr="00ED2188">
        <w:rPr>
          <w:rFonts w:ascii="Times New Roman" w:hAnsi="Times New Roman" w:cs="Times New Roman"/>
          <w:sz w:val="20"/>
          <w:szCs w:val="20"/>
          <w:lang w:val="en-US"/>
        </w:rPr>
        <w:t xml:space="preserve"> DLS analysis of EVs isolated from rBMSC cultures expanded from T25 to T150 flasks, demonstrating the scale-up process (Scale bar: 100 µm). </w:t>
      </w:r>
    </w:p>
    <w:p w14:paraId="6E6059B1" w14:textId="20F13168" w:rsidR="00FB7FDC" w:rsidRPr="001D11CA" w:rsidRDefault="001D11CA" w:rsidP="001D11CA">
      <w:pPr>
        <w:spacing w:after="120" w:line="276" w:lineRule="auto"/>
        <w:jc w:val="both"/>
        <w:rPr>
          <w:rFonts w:ascii="Times New Roman" w:hAnsi="Times New Roman" w:cs="Times New Roman"/>
          <w:sz w:val="20"/>
          <w:szCs w:val="20"/>
          <w:lang w:val="en-US"/>
        </w:rPr>
      </w:pPr>
      <w:r>
        <w:rPr>
          <w:rFonts w:ascii="Times New Roman" w:hAnsi="Times New Roman" w:cs="Times New Roman"/>
          <w:b/>
          <w:iCs/>
          <w:noProof/>
          <w:sz w:val="20"/>
          <w:szCs w:val="20"/>
          <w:lang w:val="en-US"/>
        </w:rPr>
        <w:lastRenderedPageBreak/>
        <w:drawing>
          <wp:inline distT="0" distB="0" distL="0" distR="0" wp14:anchorId="6001216B" wp14:editId="05158BAA">
            <wp:extent cx="5536431" cy="7647709"/>
            <wp:effectExtent l="0" t="0" r="7620" b="0"/>
            <wp:docPr id="20612119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11978" name="Picture 2061211978"/>
                    <pic:cNvPicPr/>
                  </pic:nvPicPr>
                  <pic:blipFill>
                    <a:blip r:embed="rId7" cstate="print">
                      <a:extLst>
                        <a:ext uri="{28A0092B-C50C-407E-A947-70E740481C1C}">
                          <a14:useLocalDpi xmlns:a14="http://schemas.microsoft.com/office/drawing/2010/main" val="0"/>
                        </a:ext>
                      </a:extLst>
                    </a:blip>
                    <a:stretch>
                      <a:fillRect/>
                    </a:stretch>
                  </pic:blipFill>
                  <pic:spPr>
                    <a:xfrm>
                      <a:off x="0" y="0"/>
                      <a:ext cx="5537333" cy="7648955"/>
                    </a:xfrm>
                    <a:prstGeom prst="rect">
                      <a:avLst/>
                    </a:prstGeom>
                  </pic:spPr>
                </pic:pic>
              </a:graphicData>
            </a:graphic>
          </wp:inline>
        </w:drawing>
      </w:r>
      <w:r w:rsidR="00FB7FDC" w:rsidRPr="00577852">
        <w:rPr>
          <w:rFonts w:ascii="Times New Roman" w:hAnsi="Times New Roman" w:cs="Times New Roman"/>
          <w:b/>
          <w:iCs/>
          <w:sz w:val="20"/>
          <w:szCs w:val="20"/>
          <w:lang w:val="en-US"/>
        </w:rPr>
        <w:t xml:space="preserve">Fig. </w:t>
      </w:r>
      <w:r w:rsidR="00EE2547">
        <w:rPr>
          <w:rFonts w:ascii="Times New Roman" w:hAnsi="Times New Roman" w:cs="Times New Roman"/>
          <w:b/>
          <w:iCs/>
          <w:sz w:val="20"/>
          <w:szCs w:val="20"/>
          <w:lang w:val="en-US"/>
        </w:rPr>
        <w:t>S</w:t>
      </w:r>
      <w:r w:rsidR="00ED2188">
        <w:rPr>
          <w:rFonts w:ascii="Times New Roman" w:hAnsi="Times New Roman" w:cs="Times New Roman"/>
          <w:b/>
          <w:iCs/>
          <w:sz w:val="20"/>
          <w:szCs w:val="20"/>
          <w:lang w:val="en-US"/>
        </w:rPr>
        <w:t>4</w:t>
      </w:r>
      <w:r w:rsidR="00FB7FDC" w:rsidRPr="00577852">
        <w:rPr>
          <w:rFonts w:ascii="Times New Roman" w:hAnsi="Times New Roman" w:cs="Times New Roman"/>
          <w:b/>
          <w:iCs/>
          <w:sz w:val="20"/>
          <w:szCs w:val="20"/>
          <w:lang w:val="en-US"/>
        </w:rPr>
        <w:t xml:space="preserve"> Osteogenic differentiation of rBMSC. </w:t>
      </w:r>
      <w:r w:rsidR="00A268F9">
        <w:rPr>
          <w:rFonts w:ascii="Times New Roman" w:hAnsi="Times New Roman" w:cs="Times New Roman"/>
          <w:b/>
          <w:bCs/>
          <w:iCs/>
          <w:sz w:val="20"/>
          <w:szCs w:val="20"/>
          <w:lang w:val="en-US"/>
        </w:rPr>
        <w:t>(</w:t>
      </w:r>
      <w:r w:rsidR="00A16964">
        <w:rPr>
          <w:rFonts w:ascii="Times New Roman" w:hAnsi="Times New Roman" w:cs="Times New Roman"/>
          <w:b/>
          <w:bCs/>
          <w:iCs/>
          <w:sz w:val="20"/>
          <w:szCs w:val="20"/>
          <w:lang w:val="en-US"/>
        </w:rPr>
        <w:t>a</w:t>
      </w:r>
      <w:r w:rsidR="00FB7FDC" w:rsidRPr="00577852">
        <w:rPr>
          <w:rFonts w:ascii="Times New Roman" w:hAnsi="Times New Roman" w:cs="Times New Roman"/>
          <w:b/>
          <w:bCs/>
          <w:iCs/>
          <w:sz w:val="20"/>
          <w:szCs w:val="20"/>
          <w:lang w:val="en-US"/>
        </w:rPr>
        <w:t>)</w:t>
      </w:r>
      <w:r w:rsidR="00FB7FDC" w:rsidRPr="00577852">
        <w:rPr>
          <w:rFonts w:ascii="Times New Roman" w:hAnsi="Times New Roman" w:cs="Times New Roman"/>
          <w:iCs/>
          <w:sz w:val="20"/>
          <w:szCs w:val="20"/>
        </w:rPr>
        <w:t xml:space="preserve"> </w:t>
      </w:r>
      <w:r w:rsidR="00FB7FDC" w:rsidRPr="00577852">
        <w:rPr>
          <w:rFonts w:ascii="Times New Roman" w:hAnsi="Times New Roman" w:cs="Times New Roman"/>
          <w:iCs/>
          <w:sz w:val="20"/>
          <w:szCs w:val="20"/>
          <w:lang w:val="en-US"/>
        </w:rPr>
        <w:t xml:space="preserve">Schema of the osteogenic differentiation protocol. </w:t>
      </w:r>
      <w:r w:rsidR="00A268F9">
        <w:rPr>
          <w:rFonts w:ascii="Times New Roman" w:hAnsi="Times New Roman" w:cs="Times New Roman"/>
          <w:b/>
          <w:iCs/>
          <w:sz w:val="20"/>
          <w:szCs w:val="20"/>
          <w:lang w:val="en-US"/>
        </w:rPr>
        <w:t>(</w:t>
      </w:r>
      <w:r w:rsidR="00A16964">
        <w:rPr>
          <w:rFonts w:ascii="Times New Roman" w:hAnsi="Times New Roman" w:cs="Times New Roman"/>
          <w:b/>
          <w:iCs/>
          <w:sz w:val="20"/>
          <w:szCs w:val="20"/>
          <w:lang w:val="en-US"/>
        </w:rPr>
        <w:t>b</w:t>
      </w:r>
      <w:r w:rsidR="00FB7FDC" w:rsidRPr="00577852">
        <w:rPr>
          <w:rFonts w:ascii="Times New Roman" w:hAnsi="Times New Roman" w:cs="Times New Roman"/>
          <w:b/>
          <w:iCs/>
          <w:sz w:val="20"/>
          <w:szCs w:val="20"/>
          <w:lang w:val="en-US"/>
        </w:rPr>
        <w:t>)</w:t>
      </w:r>
      <w:r w:rsidR="00FB7FDC" w:rsidRPr="00577852">
        <w:rPr>
          <w:rFonts w:ascii="Times New Roman" w:hAnsi="Times New Roman" w:cs="Times New Roman"/>
          <w:iCs/>
          <w:sz w:val="20"/>
          <w:szCs w:val="20"/>
          <w:lang w:val="en-US"/>
        </w:rPr>
        <w:t xml:space="preserve"> ARS staining at various time intervals. Experiments were performed in triplicate, SD </w:t>
      </w:r>
      <w:r w:rsidR="00A16964">
        <w:rPr>
          <w:rFonts w:ascii="Times New Roman" w:hAnsi="Times New Roman" w:cs="Times New Roman"/>
          <w:iCs/>
          <w:sz w:val="20"/>
          <w:szCs w:val="20"/>
          <w:lang w:val="en-US"/>
        </w:rPr>
        <w:t>was calculated (</w:t>
      </w:r>
      <w:r w:rsidR="00A16964" w:rsidRPr="00A16964">
        <w:rPr>
          <w:rFonts w:ascii="Times New Roman" w:hAnsi="Times New Roman" w:cs="Times New Roman"/>
          <w:b/>
          <w:bCs/>
          <w:iCs/>
          <w:sz w:val="20"/>
          <w:szCs w:val="20"/>
          <w:lang w:val="en-US"/>
        </w:rPr>
        <w:t>c</w:t>
      </w:r>
      <w:r w:rsidR="00A16964">
        <w:rPr>
          <w:rFonts w:ascii="Times New Roman" w:hAnsi="Times New Roman" w:cs="Times New Roman"/>
          <w:iCs/>
          <w:sz w:val="20"/>
          <w:szCs w:val="20"/>
          <w:lang w:val="en-US"/>
        </w:rPr>
        <w:t>) qRT-PCR analysis of osteogenic marker expression during differentiation,</w:t>
      </w:r>
      <w:r w:rsidR="00FB7FDC" w:rsidRPr="00577852">
        <w:rPr>
          <w:rFonts w:ascii="Times New Roman" w:hAnsi="Times New Roman" w:cs="Times New Roman"/>
          <w:iCs/>
          <w:sz w:val="20"/>
          <w:szCs w:val="20"/>
        </w:rPr>
        <w:t xml:space="preserve"> </w:t>
      </w:r>
      <w:r w:rsidR="00FB7FDC" w:rsidRPr="00577852">
        <w:rPr>
          <w:rFonts w:ascii="Times New Roman" w:hAnsi="Times New Roman" w:cs="Times New Roman"/>
          <w:iCs/>
          <w:sz w:val="20"/>
          <w:szCs w:val="20"/>
          <w:lang w:val="en-US"/>
        </w:rPr>
        <w:t xml:space="preserve">and relative mRNA expression was normalized against the housekeeping gene β-Actin. </w:t>
      </w:r>
      <w:r w:rsidR="00A268F9">
        <w:rPr>
          <w:rFonts w:ascii="Times New Roman" w:hAnsi="Times New Roman" w:cs="Times New Roman"/>
          <w:b/>
          <w:iCs/>
          <w:sz w:val="20"/>
          <w:szCs w:val="20"/>
          <w:lang w:val="en-US"/>
        </w:rPr>
        <w:t>(</w:t>
      </w:r>
      <w:r w:rsidR="00A16964">
        <w:rPr>
          <w:rFonts w:ascii="Times New Roman" w:hAnsi="Times New Roman" w:cs="Times New Roman"/>
          <w:b/>
          <w:iCs/>
          <w:sz w:val="20"/>
          <w:szCs w:val="20"/>
          <w:lang w:val="en-US"/>
        </w:rPr>
        <w:t>d</w:t>
      </w:r>
      <w:r w:rsidR="00FB7FDC" w:rsidRPr="00577852">
        <w:rPr>
          <w:rFonts w:ascii="Times New Roman" w:hAnsi="Times New Roman" w:cs="Times New Roman"/>
          <w:b/>
          <w:iCs/>
          <w:sz w:val="20"/>
          <w:szCs w:val="20"/>
          <w:lang w:val="en-US"/>
        </w:rPr>
        <w:t>)</w:t>
      </w:r>
      <w:r w:rsidR="00FB7FDC" w:rsidRPr="00577852">
        <w:rPr>
          <w:rFonts w:ascii="Times New Roman" w:hAnsi="Times New Roman" w:cs="Times New Roman"/>
          <w:iCs/>
          <w:sz w:val="20"/>
          <w:szCs w:val="20"/>
          <w:lang w:val="en-US"/>
        </w:rPr>
        <w:t xml:space="preserve"> Immunofluorescence analysis of specific osteogenic proteins RUNX2 and COL1α1 (Scale bars: 50µm).</w:t>
      </w:r>
      <w:r w:rsidR="00FB7FDC" w:rsidRPr="00577852">
        <w:rPr>
          <w:rFonts w:ascii="Times New Roman" w:hAnsi="Times New Roman" w:cs="Times New Roman"/>
          <w:sz w:val="20"/>
          <w:szCs w:val="20"/>
        </w:rPr>
        <w:t xml:space="preserve"> </w:t>
      </w:r>
      <w:r w:rsidR="00FB7FDC" w:rsidRPr="00577852">
        <w:rPr>
          <w:rFonts w:ascii="Times New Roman" w:hAnsi="Times New Roman" w:cs="Times New Roman"/>
          <w:iCs/>
          <w:sz w:val="20"/>
          <w:szCs w:val="20"/>
          <w:lang w:val="en-US"/>
        </w:rPr>
        <w:t>Statistical significance indicated as **P ≤ 0.01, ***P ≤ 0.001, and ****P ≤ 0.0001</w:t>
      </w:r>
    </w:p>
    <w:p w14:paraId="5194802A" w14:textId="7B024FEF" w:rsidR="00B22E2F" w:rsidRDefault="001D11CA" w:rsidP="00B22E2F">
      <w:pPr>
        <w:spacing w:after="120" w:line="276" w:lineRule="auto"/>
        <w:jc w:val="both"/>
        <w:rPr>
          <w:rFonts w:ascii="Times New Roman" w:hAnsi="Times New Roman" w:cs="Times New Roman"/>
          <w:sz w:val="20"/>
          <w:szCs w:val="20"/>
          <w:lang w:val="en-US"/>
        </w:rPr>
      </w:pPr>
      <w:r>
        <w:rPr>
          <w:rFonts w:ascii="Times New Roman" w:hAnsi="Times New Roman" w:cs="Times New Roman"/>
          <w:b/>
          <w:iCs/>
          <w:noProof/>
          <w:sz w:val="20"/>
          <w:szCs w:val="20"/>
          <w:lang w:val="en-US"/>
        </w:rPr>
        <w:lastRenderedPageBreak/>
        <w:drawing>
          <wp:inline distT="0" distB="0" distL="0" distR="0" wp14:anchorId="22C16EC0" wp14:editId="6D919532">
            <wp:extent cx="5731510" cy="5897880"/>
            <wp:effectExtent l="0" t="0" r="2540" b="7620"/>
            <wp:docPr id="19544858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485849" name="Picture 1954485849"/>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5897880"/>
                    </a:xfrm>
                    <a:prstGeom prst="rect">
                      <a:avLst/>
                    </a:prstGeom>
                  </pic:spPr>
                </pic:pic>
              </a:graphicData>
            </a:graphic>
          </wp:inline>
        </w:drawing>
      </w:r>
      <w:r w:rsidR="00EE2547" w:rsidRPr="00577852">
        <w:rPr>
          <w:rFonts w:ascii="Times New Roman" w:hAnsi="Times New Roman" w:cs="Times New Roman"/>
          <w:b/>
          <w:iCs/>
          <w:sz w:val="20"/>
          <w:szCs w:val="20"/>
          <w:lang w:val="en-US"/>
        </w:rPr>
        <w:t xml:space="preserve">Fig. </w:t>
      </w:r>
      <w:r w:rsidR="00EE2547">
        <w:rPr>
          <w:rFonts w:ascii="Times New Roman" w:hAnsi="Times New Roman" w:cs="Times New Roman"/>
          <w:b/>
          <w:iCs/>
          <w:sz w:val="20"/>
          <w:szCs w:val="20"/>
          <w:lang w:val="en-US"/>
        </w:rPr>
        <w:t>S5</w:t>
      </w:r>
      <w:r w:rsidR="00EE2547" w:rsidRPr="00577852">
        <w:rPr>
          <w:rFonts w:ascii="Times New Roman" w:hAnsi="Times New Roman" w:cs="Times New Roman"/>
          <w:b/>
          <w:iCs/>
          <w:sz w:val="20"/>
          <w:szCs w:val="20"/>
          <w:lang w:val="en-US"/>
        </w:rPr>
        <w:t xml:space="preserve"> </w:t>
      </w:r>
      <w:r w:rsidR="00ED2188" w:rsidRPr="00ED2188">
        <w:rPr>
          <w:rFonts w:ascii="Times New Roman" w:hAnsi="Times New Roman" w:cs="Times New Roman"/>
          <w:b/>
          <w:sz w:val="20"/>
          <w:szCs w:val="20"/>
          <w:lang w:val="en-US"/>
        </w:rPr>
        <w:t>Evaluation of Osteogenic Differentiation via Calcium Deposition Using ARS Staining.</w:t>
      </w:r>
      <w:r w:rsidR="00ED2188" w:rsidRPr="00ED2188">
        <w:rPr>
          <w:rFonts w:ascii="Times New Roman" w:hAnsi="Times New Roman" w:cs="Times New Roman"/>
          <w:sz w:val="20"/>
          <w:szCs w:val="20"/>
          <w:lang w:val="en-US"/>
        </w:rPr>
        <w:t xml:space="preserve"> Image analysis and quantification of the extracted ARS stain indicated a significant increase in mineralization in the EV-treated groups compared to the non-treated group on days 7, 14, 21, and 28 in both </w:t>
      </w:r>
      <w:r w:rsidR="00ED2188" w:rsidRPr="00ED2188">
        <w:rPr>
          <w:rFonts w:ascii="Times New Roman" w:hAnsi="Times New Roman" w:cs="Times New Roman"/>
          <w:b/>
          <w:bCs/>
          <w:sz w:val="20"/>
          <w:szCs w:val="20"/>
          <w:lang w:val="en-US"/>
        </w:rPr>
        <w:t>(</w:t>
      </w:r>
      <w:r w:rsidR="00A16964">
        <w:rPr>
          <w:rFonts w:ascii="Times New Roman" w:hAnsi="Times New Roman" w:cs="Times New Roman"/>
          <w:b/>
          <w:bCs/>
          <w:sz w:val="20"/>
          <w:szCs w:val="20"/>
          <w:lang w:val="en-US"/>
        </w:rPr>
        <w:t>a</w:t>
      </w:r>
      <w:r w:rsidR="00ED2188" w:rsidRPr="00ED2188">
        <w:rPr>
          <w:rFonts w:ascii="Times New Roman" w:hAnsi="Times New Roman" w:cs="Times New Roman"/>
          <w:b/>
          <w:bCs/>
          <w:sz w:val="20"/>
          <w:szCs w:val="20"/>
          <w:lang w:val="en-US"/>
        </w:rPr>
        <w:t>)</w:t>
      </w:r>
      <w:r w:rsidR="00ED2188" w:rsidRPr="00ED2188">
        <w:rPr>
          <w:rFonts w:ascii="Times New Roman" w:hAnsi="Times New Roman" w:cs="Times New Roman"/>
          <w:sz w:val="20"/>
          <w:szCs w:val="20"/>
          <w:lang w:val="en-US"/>
        </w:rPr>
        <w:t xml:space="preserve"> DM and </w:t>
      </w:r>
      <w:r w:rsidR="00ED2188" w:rsidRPr="00ED2188">
        <w:rPr>
          <w:rFonts w:ascii="Times New Roman" w:hAnsi="Times New Roman" w:cs="Times New Roman"/>
          <w:b/>
          <w:bCs/>
          <w:sz w:val="20"/>
          <w:szCs w:val="20"/>
          <w:lang w:val="en-US"/>
        </w:rPr>
        <w:t>(</w:t>
      </w:r>
      <w:r w:rsidR="00A16964">
        <w:rPr>
          <w:rFonts w:ascii="Times New Roman" w:hAnsi="Times New Roman" w:cs="Times New Roman"/>
          <w:b/>
          <w:bCs/>
          <w:sz w:val="20"/>
          <w:szCs w:val="20"/>
          <w:lang w:val="en-US"/>
        </w:rPr>
        <w:t>b</w:t>
      </w:r>
      <w:r w:rsidR="00ED2188" w:rsidRPr="00ED2188">
        <w:rPr>
          <w:rFonts w:ascii="Times New Roman" w:hAnsi="Times New Roman" w:cs="Times New Roman"/>
          <w:b/>
          <w:bCs/>
          <w:sz w:val="20"/>
          <w:szCs w:val="20"/>
          <w:lang w:val="en-US"/>
        </w:rPr>
        <w:t>)</w:t>
      </w:r>
      <w:r w:rsidR="00ED2188" w:rsidRPr="00ED2188">
        <w:rPr>
          <w:rFonts w:ascii="Times New Roman" w:hAnsi="Times New Roman" w:cs="Times New Roman"/>
          <w:sz w:val="20"/>
          <w:szCs w:val="20"/>
          <w:lang w:val="en-US"/>
        </w:rPr>
        <w:t xml:space="preserve"> CM groups.</w:t>
      </w:r>
    </w:p>
    <w:p w14:paraId="1C86215D" w14:textId="77777777" w:rsidR="00B22E2F" w:rsidRPr="00B22E2F" w:rsidRDefault="00B22E2F" w:rsidP="00B22E2F">
      <w:pPr>
        <w:spacing w:after="120" w:line="276" w:lineRule="auto"/>
        <w:jc w:val="both"/>
        <w:rPr>
          <w:rFonts w:ascii="Times New Roman" w:hAnsi="Times New Roman" w:cs="Times New Roman"/>
          <w:sz w:val="20"/>
          <w:szCs w:val="20"/>
          <w:lang w:val="en-US"/>
        </w:rPr>
      </w:pPr>
    </w:p>
    <w:p w14:paraId="02890B28" w14:textId="77777777" w:rsidR="004E6BB8" w:rsidRPr="00B22E2F" w:rsidRDefault="004E6BB8" w:rsidP="00D47BAF">
      <w:pPr>
        <w:jc w:val="both"/>
        <w:rPr>
          <w:rFonts w:ascii="Times New Roman" w:hAnsi="Times New Roman" w:cs="Times New Roman"/>
          <w:b/>
          <w:bCs/>
          <w:sz w:val="20"/>
          <w:szCs w:val="20"/>
        </w:rPr>
      </w:pPr>
      <w:r w:rsidRPr="00B22E2F">
        <w:rPr>
          <w:rFonts w:ascii="Times New Roman" w:hAnsi="Times New Roman" w:cs="Times New Roman"/>
          <w:b/>
          <w:bCs/>
          <w:sz w:val="20"/>
          <w:szCs w:val="20"/>
        </w:rPr>
        <w:t>REFERENCES</w:t>
      </w:r>
    </w:p>
    <w:p w14:paraId="5E7DAEC2" w14:textId="77777777" w:rsidR="00742AD4" w:rsidRPr="00D47BAF" w:rsidRDefault="00C6365D" w:rsidP="00D47BAF">
      <w:pPr>
        <w:pStyle w:val="Bibliography"/>
        <w:jc w:val="both"/>
        <w:rPr>
          <w:rFonts w:ascii="Times New Roman" w:hAnsi="Times New Roman" w:cs="Times New Roman"/>
          <w:sz w:val="20"/>
          <w:szCs w:val="20"/>
        </w:rPr>
      </w:pPr>
      <w:r w:rsidRPr="00D47BAF">
        <w:rPr>
          <w:rFonts w:ascii="Times New Roman" w:hAnsi="Times New Roman" w:cs="Times New Roman"/>
          <w:sz w:val="20"/>
          <w:szCs w:val="20"/>
        </w:rPr>
        <w:fldChar w:fldCharType="begin"/>
      </w:r>
      <w:r w:rsidR="00742AD4" w:rsidRPr="00D47BAF">
        <w:rPr>
          <w:rFonts w:ascii="Times New Roman" w:hAnsi="Times New Roman" w:cs="Times New Roman"/>
          <w:sz w:val="20"/>
          <w:szCs w:val="20"/>
        </w:rPr>
        <w:instrText xml:space="preserve"> ADDIN ZOTERO_BIBL {"uncited":[],"omitted":[],"custom":[]} CSL_BIBLIOGRAPHY </w:instrText>
      </w:r>
      <w:r w:rsidRPr="00D47BAF">
        <w:rPr>
          <w:rFonts w:ascii="Times New Roman" w:hAnsi="Times New Roman" w:cs="Times New Roman"/>
          <w:sz w:val="20"/>
          <w:szCs w:val="20"/>
        </w:rPr>
        <w:fldChar w:fldCharType="separate"/>
      </w:r>
      <w:r w:rsidR="00742AD4" w:rsidRPr="00D47BAF">
        <w:rPr>
          <w:rFonts w:ascii="Times New Roman" w:hAnsi="Times New Roman" w:cs="Times New Roman"/>
          <w:sz w:val="20"/>
          <w:szCs w:val="20"/>
        </w:rPr>
        <w:t>[1]</w:t>
      </w:r>
      <w:r w:rsidR="00742AD4" w:rsidRPr="00D47BAF">
        <w:rPr>
          <w:rFonts w:ascii="Times New Roman" w:hAnsi="Times New Roman" w:cs="Times New Roman"/>
          <w:sz w:val="20"/>
          <w:szCs w:val="20"/>
        </w:rPr>
        <w:tab/>
        <w:t xml:space="preserve">J. Neves Boeloni, N. Melo Ocarino, A. Miranda Goes, and R. Serakides, “Comparative study of osteogenic differentiation potential of mesenchymal stem cells derived from bone marrow and adipose tissue of osteoporotic female rats,” </w:t>
      </w:r>
      <w:r w:rsidR="00742AD4" w:rsidRPr="00D47BAF">
        <w:rPr>
          <w:rFonts w:ascii="Times New Roman" w:hAnsi="Times New Roman" w:cs="Times New Roman"/>
          <w:i/>
          <w:iCs/>
          <w:sz w:val="20"/>
          <w:szCs w:val="20"/>
        </w:rPr>
        <w:t>Connect. Tissue Res.</w:t>
      </w:r>
      <w:r w:rsidR="00742AD4" w:rsidRPr="00D47BAF">
        <w:rPr>
          <w:rFonts w:ascii="Times New Roman" w:hAnsi="Times New Roman" w:cs="Times New Roman"/>
          <w:sz w:val="20"/>
          <w:szCs w:val="20"/>
        </w:rPr>
        <w:t>, vol. 55, no. 2, pp. 103–114, Apr. 2014, doi: 10.3109/03008207.2013.860970.</w:t>
      </w:r>
    </w:p>
    <w:p w14:paraId="16A62F49" w14:textId="77777777" w:rsidR="00742AD4" w:rsidRPr="00D47BAF" w:rsidRDefault="00742AD4" w:rsidP="00D47BAF">
      <w:pPr>
        <w:pStyle w:val="Bibliography"/>
        <w:jc w:val="both"/>
        <w:rPr>
          <w:rFonts w:ascii="Times New Roman" w:hAnsi="Times New Roman" w:cs="Times New Roman"/>
          <w:sz w:val="20"/>
          <w:szCs w:val="20"/>
        </w:rPr>
      </w:pPr>
      <w:r w:rsidRPr="00D47BAF">
        <w:rPr>
          <w:rFonts w:ascii="Times New Roman" w:hAnsi="Times New Roman" w:cs="Times New Roman"/>
          <w:sz w:val="20"/>
          <w:szCs w:val="20"/>
        </w:rPr>
        <w:t>[2]</w:t>
      </w:r>
      <w:r w:rsidRPr="00D47BAF">
        <w:rPr>
          <w:rFonts w:ascii="Times New Roman" w:hAnsi="Times New Roman" w:cs="Times New Roman"/>
          <w:sz w:val="20"/>
          <w:szCs w:val="20"/>
        </w:rPr>
        <w:tab/>
        <w:t xml:space="preserve">A. T. Qureshi, C. Chen, F. Shah, C. Thomas-Porch, J. M. Gimble, and D. J. Hayes, “Human Adipose-Derived Stromal/Stem Cell Isolation, Culture, and Osteogenic Differentiation,” in </w:t>
      </w:r>
      <w:r w:rsidRPr="00D47BAF">
        <w:rPr>
          <w:rFonts w:ascii="Times New Roman" w:hAnsi="Times New Roman" w:cs="Times New Roman"/>
          <w:i/>
          <w:iCs/>
          <w:sz w:val="20"/>
          <w:szCs w:val="20"/>
        </w:rPr>
        <w:t>Methods in Enzymology</w:t>
      </w:r>
      <w:r w:rsidRPr="00D47BAF">
        <w:rPr>
          <w:rFonts w:ascii="Times New Roman" w:hAnsi="Times New Roman" w:cs="Times New Roman"/>
          <w:sz w:val="20"/>
          <w:szCs w:val="20"/>
        </w:rPr>
        <w:t>, vol. 538, Elsevier, 2014, pp. 67–88. doi: 10.1016/B978-0-12-800280-3.00005-0.</w:t>
      </w:r>
    </w:p>
    <w:p w14:paraId="0070AFBB" w14:textId="77777777" w:rsidR="00742AD4" w:rsidRPr="00D47BAF" w:rsidRDefault="00742AD4" w:rsidP="00D47BAF">
      <w:pPr>
        <w:pStyle w:val="Bibliography"/>
        <w:jc w:val="both"/>
        <w:rPr>
          <w:rFonts w:ascii="Times New Roman" w:hAnsi="Times New Roman" w:cs="Times New Roman"/>
          <w:sz w:val="20"/>
          <w:szCs w:val="20"/>
        </w:rPr>
      </w:pPr>
      <w:r w:rsidRPr="00D47BAF">
        <w:rPr>
          <w:rFonts w:ascii="Times New Roman" w:hAnsi="Times New Roman" w:cs="Times New Roman"/>
          <w:sz w:val="20"/>
          <w:szCs w:val="20"/>
        </w:rPr>
        <w:t>[3]</w:t>
      </w:r>
      <w:r w:rsidRPr="00D47BAF">
        <w:rPr>
          <w:rFonts w:ascii="Times New Roman" w:hAnsi="Times New Roman" w:cs="Times New Roman"/>
          <w:sz w:val="20"/>
          <w:szCs w:val="20"/>
        </w:rPr>
        <w:tab/>
        <w:t xml:space="preserve">N. Yusop, P. Battersby, A. Alraies, A. J. Sloan, R. Moseley, and R. J. Waddington, “Isolation and Characterisation of Mesenchymal Stem Cells from Rat Bone Marrow and the Endosteal Niche: A Comparative Study,” </w:t>
      </w:r>
      <w:r w:rsidRPr="00D47BAF">
        <w:rPr>
          <w:rFonts w:ascii="Times New Roman" w:hAnsi="Times New Roman" w:cs="Times New Roman"/>
          <w:i/>
          <w:iCs/>
          <w:sz w:val="20"/>
          <w:szCs w:val="20"/>
        </w:rPr>
        <w:t>Stem Cells Int.</w:t>
      </w:r>
      <w:r w:rsidRPr="00D47BAF">
        <w:rPr>
          <w:rFonts w:ascii="Times New Roman" w:hAnsi="Times New Roman" w:cs="Times New Roman"/>
          <w:sz w:val="20"/>
          <w:szCs w:val="20"/>
        </w:rPr>
        <w:t>, vol. 2018, pp. 1–14, 2018, doi: 10.1155/2018/6869128.</w:t>
      </w:r>
    </w:p>
    <w:p w14:paraId="7E1252DA" w14:textId="77777777" w:rsidR="00742AD4" w:rsidRPr="00D47BAF" w:rsidRDefault="00742AD4" w:rsidP="00D47BAF">
      <w:pPr>
        <w:pStyle w:val="Bibliography"/>
        <w:jc w:val="both"/>
        <w:rPr>
          <w:rFonts w:ascii="Times New Roman" w:hAnsi="Times New Roman" w:cs="Times New Roman"/>
          <w:sz w:val="20"/>
          <w:szCs w:val="20"/>
        </w:rPr>
      </w:pPr>
      <w:r w:rsidRPr="00D47BAF">
        <w:rPr>
          <w:rFonts w:ascii="Times New Roman" w:hAnsi="Times New Roman" w:cs="Times New Roman"/>
          <w:sz w:val="20"/>
          <w:szCs w:val="20"/>
        </w:rPr>
        <w:lastRenderedPageBreak/>
        <w:t>[4]</w:t>
      </w:r>
      <w:r w:rsidRPr="00D47BAF">
        <w:rPr>
          <w:rFonts w:ascii="Times New Roman" w:hAnsi="Times New Roman" w:cs="Times New Roman"/>
          <w:sz w:val="20"/>
          <w:szCs w:val="20"/>
        </w:rPr>
        <w:tab/>
        <w:t xml:space="preserve">K. Kumar </w:t>
      </w:r>
      <w:r w:rsidRPr="00D47BAF">
        <w:rPr>
          <w:rFonts w:ascii="Times New Roman" w:hAnsi="Times New Roman" w:cs="Times New Roman"/>
          <w:i/>
          <w:iCs/>
          <w:sz w:val="20"/>
          <w:szCs w:val="20"/>
        </w:rPr>
        <w:t>et al.</w:t>
      </w:r>
      <w:r w:rsidRPr="00D47BAF">
        <w:rPr>
          <w:rFonts w:ascii="Times New Roman" w:hAnsi="Times New Roman" w:cs="Times New Roman"/>
          <w:sz w:val="20"/>
          <w:szCs w:val="20"/>
        </w:rPr>
        <w:t>, “Rat bone marrow derived mesenchymal stem cells differentiate to germ cell like cells,” Cell Biology, preprint, Sep. 2018. doi: 10.1101/418962.</w:t>
      </w:r>
    </w:p>
    <w:p w14:paraId="20015EB3" w14:textId="77777777" w:rsidR="00742AD4" w:rsidRPr="00D47BAF" w:rsidRDefault="00742AD4" w:rsidP="00D47BAF">
      <w:pPr>
        <w:pStyle w:val="Bibliography"/>
        <w:jc w:val="both"/>
        <w:rPr>
          <w:rFonts w:ascii="Times New Roman" w:hAnsi="Times New Roman" w:cs="Times New Roman"/>
          <w:sz w:val="20"/>
          <w:szCs w:val="20"/>
        </w:rPr>
      </w:pPr>
      <w:r w:rsidRPr="00D47BAF">
        <w:rPr>
          <w:rFonts w:ascii="Times New Roman" w:hAnsi="Times New Roman" w:cs="Times New Roman"/>
          <w:sz w:val="20"/>
          <w:szCs w:val="20"/>
        </w:rPr>
        <w:t>[5]</w:t>
      </w:r>
      <w:r w:rsidRPr="00D47BAF">
        <w:rPr>
          <w:rFonts w:ascii="Times New Roman" w:hAnsi="Times New Roman" w:cs="Times New Roman"/>
          <w:sz w:val="20"/>
          <w:szCs w:val="20"/>
        </w:rPr>
        <w:tab/>
        <w:t xml:space="preserve">L. Medvecky, M. Giretova, R. Stulajterova, L. Luptakova, and T. Sopcak, “Tetracalcium Phosphate/Monetite/Calcium Sulfate Hemihdrate Biocement Powder Mixtures Prepared by the One-Step Synthesis for Preparation of Nanocrystalline Hydroxyapatite Biocement-Properties and In Vitro Evaluation,” </w:t>
      </w:r>
      <w:r w:rsidRPr="00D47BAF">
        <w:rPr>
          <w:rFonts w:ascii="Times New Roman" w:hAnsi="Times New Roman" w:cs="Times New Roman"/>
          <w:i/>
          <w:iCs/>
          <w:sz w:val="20"/>
          <w:szCs w:val="20"/>
        </w:rPr>
        <w:t>Materials</w:t>
      </w:r>
      <w:r w:rsidRPr="00D47BAF">
        <w:rPr>
          <w:rFonts w:ascii="Times New Roman" w:hAnsi="Times New Roman" w:cs="Times New Roman"/>
          <w:sz w:val="20"/>
          <w:szCs w:val="20"/>
        </w:rPr>
        <w:t>, vol. 14, no. 9, p. 2137, Apr. 2021, doi: 10.3390/ma14092137.</w:t>
      </w:r>
    </w:p>
    <w:p w14:paraId="6F9AAE73" w14:textId="77777777" w:rsidR="00742AD4" w:rsidRPr="00D47BAF" w:rsidRDefault="00742AD4" w:rsidP="00D47BAF">
      <w:pPr>
        <w:pStyle w:val="Bibliography"/>
        <w:jc w:val="both"/>
        <w:rPr>
          <w:rFonts w:ascii="Times New Roman" w:hAnsi="Times New Roman" w:cs="Times New Roman"/>
          <w:sz w:val="20"/>
          <w:szCs w:val="20"/>
        </w:rPr>
      </w:pPr>
      <w:r w:rsidRPr="00D47BAF">
        <w:rPr>
          <w:rFonts w:ascii="Times New Roman" w:hAnsi="Times New Roman" w:cs="Times New Roman"/>
          <w:sz w:val="20"/>
          <w:szCs w:val="20"/>
        </w:rPr>
        <w:t>[6]</w:t>
      </w:r>
      <w:r w:rsidRPr="00D47BAF">
        <w:rPr>
          <w:rFonts w:ascii="Times New Roman" w:hAnsi="Times New Roman" w:cs="Times New Roman"/>
          <w:sz w:val="20"/>
          <w:szCs w:val="20"/>
        </w:rPr>
        <w:tab/>
        <w:t>L. Medvecky, M. Giretova, R. Stulajterova, L. Luptakova, and T. Sopcak, “Tetracalcium Phosphate/Monetite/Calcium Sulfate Hemihdrate Biocement Powder Mixtures Prepared by the One-Step Synthesis for Preparation of Nanocrystalline Hydroxyapatite Biocement-Properties and In Vitro Evaluation,” 2021.</w:t>
      </w:r>
    </w:p>
    <w:p w14:paraId="1C235F2D" w14:textId="77777777" w:rsidR="00742AD4" w:rsidRPr="00D47BAF" w:rsidRDefault="00742AD4" w:rsidP="00D47BAF">
      <w:pPr>
        <w:pStyle w:val="Bibliography"/>
        <w:jc w:val="both"/>
        <w:rPr>
          <w:rFonts w:ascii="Times New Roman" w:hAnsi="Times New Roman" w:cs="Times New Roman"/>
          <w:sz w:val="20"/>
          <w:szCs w:val="20"/>
        </w:rPr>
      </w:pPr>
      <w:r w:rsidRPr="00D47BAF">
        <w:rPr>
          <w:rFonts w:ascii="Times New Roman" w:hAnsi="Times New Roman" w:cs="Times New Roman"/>
          <w:sz w:val="20"/>
          <w:szCs w:val="20"/>
        </w:rPr>
        <w:t>[7]</w:t>
      </w:r>
      <w:r w:rsidRPr="00D47BAF">
        <w:rPr>
          <w:rFonts w:ascii="Times New Roman" w:hAnsi="Times New Roman" w:cs="Times New Roman"/>
          <w:sz w:val="20"/>
          <w:szCs w:val="20"/>
        </w:rPr>
        <w:tab/>
        <w:t xml:space="preserve">T. Paramasivam, “Culture, Characterization and Differentiation Potential of Rat Bone Marrow derived Mesenchymal Stem Cells,” </w:t>
      </w:r>
      <w:r w:rsidRPr="00D47BAF">
        <w:rPr>
          <w:rFonts w:ascii="Times New Roman" w:hAnsi="Times New Roman" w:cs="Times New Roman"/>
          <w:i/>
          <w:iCs/>
          <w:sz w:val="20"/>
          <w:szCs w:val="20"/>
        </w:rPr>
        <w:t>J. Stem Cell Res. Ther.</w:t>
      </w:r>
      <w:r w:rsidRPr="00D47BAF">
        <w:rPr>
          <w:rFonts w:ascii="Times New Roman" w:hAnsi="Times New Roman" w:cs="Times New Roman"/>
          <w:sz w:val="20"/>
          <w:szCs w:val="20"/>
        </w:rPr>
        <w:t>, vol. 1, no. 5, Oct. 2016, doi: 10.15406/jsrt.2016.01.00034.</w:t>
      </w:r>
    </w:p>
    <w:p w14:paraId="1406FC52" w14:textId="77777777" w:rsidR="00742AD4" w:rsidRPr="00D47BAF" w:rsidRDefault="00742AD4" w:rsidP="00D47BAF">
      <w:pPr>
        <w:pStyle w:val="Bibliography"/>
        <w:jc w:val="both"/>
        <w:rPr>
          <w:rFonts w:ascii="Times New Roman" w:hAnsi="Times New Roman" w:cs="Times New Roman"/>
          <w:sz w:val="20"/>
          <w:szCs w:val="20"/>
        </w:rPr>
      </w:pPr>
      <w:r w:rsidRPr="00D47BAF">
        <w:rPr>
          <w:rFonts w:ascii="Times New Roman" w:hAnsi="Times New Roman" w:cs="Times New Roman"/>
          <w:sz w:val="20"/>
          <w:szCs w:val="20"/>
        </w:rPr>
        <w:t>[8]</w:t>
      </w:r>
      <w:r w:rsidRPr="00D47BAF">
        <w:rPr>
          <w:rFonts w:ascii="Times New Roman" w:hAnsi="Times New Roman" w:cs="Times New Roman"/>
          <w:sz w:val="20"/>
          <w:szCs w:val="20"/>
        </w:rPr>
        <w:tab/>
        <w:t xml:space="preserve">A. S. Sari, E. Demi̇Rçay, A. Öztürk, A. Terzi̇, and E. Karaöz, “The promising effects of BMP2 transfected mesenchymal stem cells on human osteosarcoma,” </w:t>
      </w:r>
      <w:r w:rsidRPr="00D47BAF">
        <w:rPr>
          <w:rFonts w:ascii="Times New Roman" w:hAnsi="Times New Roman" w:cs="Times New Roman"/>
          <w:i/>
          <w:iCs/>
          <w:sz w:val="20"/>
          <w:szCs w:val="20"/>
        </w:rPr>
        <w:t>Turk. J. Biol.</w:t>
      </w:r>
      <w:r w:rsidRPr="00D47BAF">
        <w:rPr>
          <w:rFonts w:ascii="Times New Roman" w:hAnsi="Times New Roman" w:cs="Times New Roman"/>
          <w:sz w:val="20"/>
          <w:szCs w:val="20"/>
        </w:rPr>
        <w:t>, vol. 45, no. 3, pp. 301–313, Jun. 2021, doi: 10.3906/biy-2101-50.</w:t>
      </w:r>
    </w:p>
    <w:p w14:paraId="6B0A8764" w14:textId="77777777" w:rsidR="00742AD4" w:rsidRPr="00D47BAF" w:rsidRDefault="00742AD4" w:rsidP="00D47BAF">
      <w:pPr>
        <w:pStyle w:val="Bibliography"/>
        <w:jc w:val="both"/>
        <w:rPr>
          <w:rFonts w:ascii="Times New Roman" w:hAnsi="Times New Roman" w:cs="Times New Roman"/>
          <w:sz w:val="20"/>
          <w:szCs w:val="20"/>
        </w:rPr>
      </w:pPr>
      <w:r w:rsidRPr="00D47BAF">
        <w:rPr>
          <w:rFonts w:ascii="Times New Roman" w:hAnsi="Times New Roman" w:cs="Times New Roman"/>
          <w:sz w:val="20"/>
          <w:szCs w:val="20"/>
        </w:rPr>
        <w:t>[9]</w:t>
      </w:r>
      <w:r w:rsidRPr="00D47BAF">
        <w:rPr>
          <w:rFonts w:ascii="Times New Roman" w:hAnsi="Times New Roman" w:cs="Times New Roman"/>
          <w:sz w:val="20"/>
          <w:szCs w:val="20"/>
        </w:rPr>
        <w:tab/>
        <w:t xml:space="preserve">I. Kim, D. Yang, X. Tang, and J. L. Carroll, “Reference gene validation for qPCR in rat carotid body during postnatal development,” </w:t>
      </w:r>
      <w:r w:rsidRPr="00D47BAF">
        <w:rPr>
          <w:rFonts w:ascii="Times New Roman" w:hAnsi="Times New Roman" w:cs="Times New Roman"/>
          <w:i/>
          <w:iCs/>
          <w:sz w:val="20"/>
          <w:szCs w:val="20"/>
        </w:rPr>
        <w:t>BMC Res. Notes</w:t>
      </w:r>
      <w:r w:rsidRPr="00D47BAF">
        <w:rPr>
          <w:rFonts w:ascii="Times New Roman" w:hAnsi="Times New Roman" w:cs="Times New Roman"/>
          <w:sz w:val="20"/>
          <w:szCs w:val="20"/>
        </w:rPr>
        <w:t>, vol. 4, no. 1, p. 440, Dec. 2011, doi: 10.1186/1756-0500-4-440.</w:t>
      </w:r>
    </w:p>
    <w:p w14:paraId="0DF8EA9D" w14:textId="77777777" w:rsidR="00742AD4" w:rsidRPr="00D47BAF" w:rsidRDefault="00742AD4" w:rsidP="00D47BAF">
      <w:pPr>
        <w:pStyle w:val="Bibliography"/>
        <w:jc w:val="both"/>
        <w:rPr>
          <w:rFonts w:ascii="Times New Roman" w:hAnsi="Times New Roman" w:cs="Times New Roman"/>
          <w:sz w:val="20"/>
          <w:szCs w:val="20"/>
        </w:rPr>
      </w:pPr>
      <w:r w:rsidRPr="00D47BAF">
        <w:rPr>
          <w:rFonts w:ascii="Times New Roman" w:hAnsi="Times New Roman" w:cs="Times New Roman"/>
          <w:sz w:val="20"/>
          <w:szCs w:val="20"/>
        </w:rPr>
        <w:t>[10]</w:t>
      </w:r>
      <w:r w:rsidRPr="00D47BAF">
        <w:rPr>
          <w:rFonts w:ascii="Times New Roman" w:hAnsi="Times New Roman" w:cs="Times New Roman"/>
          <w:sz w:val="20"/>
          <w:szCs w:val="20"/>
        </w:rPr>
        <w:tab/>
        <w:t xml:space="preserve">G. Kaur, Mani. T. Valarmathi, J. D. Potts, E. Jabbari, T. Sabo-Attwood, and Q. Wang, “Regulation of Osteogenic Differentiation of Rat Bone Marrow Stromal Cells on 2D Nanorod Substrates,” </w:t>
      </w:r>
      <w:r w:rsidRPr="00D47BAF">
        <w:rPr>
          <w:rFonts w:ascii="Times New Roman" w:hAnsi="Times New Roman" w:cs="Times New Roman"/>
          <w:i/>
          <w:iCs/>
          <w:sz w:val="20"/>
          <w:szCs w:val="20"/>
        </w:rPr>
        <w:t>Biomaterials</w:t>
      </w:r>
      <w:r w:rsidRPr="00D47BAF">
        <w:rPr>
          <w:rFonts w:ascii="Times New Roman" w:hAnsi="Times New Roman" w:cs="Times New Roman"/>
          <w:sz w:val="20"/>
          <w:szCs w:val="20"/>
        </w:rPr>
        <w:t>, vol. 31, no. 7, pp. 1732–1741, Mar. 2010, doi: 10.1016/j.biomaterials.2009.11.041.</w:t>
      </w:r>
    </w:p>
    <w:p w14:paraId="214D3013" w14:textId="77777777" w:rsidR="00742AD4" w:rsidRPr="00D47BAF" w:rsidRDefault="00742AD4" w:rsidP="00D47BAF">
      <w:pPr>
        <w:pStyle w:val="Bibliography"/>
        <w:jc w:val="both"/>
        <w:rPr>
          <w:rFonts w:ascii="Times New Roman" w:hAnsi="Times New Roman" w:cs="Times New Roman"/>
          <w:sz w:val="20"/>
          <w:szCs w:val="20"/>
        </w:rPr>
      </w:pPr>
      <w:r w:rsidRPr="00D47BAF">
        <w:rPr>
          <w:rFonts w:ascii="Times New Roman" w:hAnsi="Times New Roman" w:cs="Times New Roman"/>
          <w:sz w:val="20"/>
          <w:szCs w:val="20"/>
        </w:rPr>
        <w:t>[11]</w:t>
      </w:r>
      <w:r w:rsidRPr="00D47BAF">
        <w:rPr>
          <w:rFonts w:ascii="Times New Roman" w:hAnsi="Times New Roman" w:cs="Times New Roman"/>
          <w:sz w:val="20"/>
          <w:szCs w:val="20"/>
        </w:rPr>
        <w:tab/>
        <w:t xml:space="preserve">M. Yu </w:t>
      </w:r>
      <w:r w:rsidRPr="00D47BAF">
        <w:rPr>
          <w:rFonts w:ascii="Times New Roman" w:hAnsi="Times New Roman" w:cs="Times New Roman"/>
          <w:i/>
          <w:iCs/>
          <w:sz w:val="20"/>
          <w:szCs w:val="20"/>
        </w:rPr>
        <w:t>et al.</w:t>
      </w:r>
      <w:r w:rsidRPr="00D47BAF">
        <w:rPr>
          <w:rFonts w:ascii="Times New Roman" w:hAnsi="Times New Roman" w:cs="Times New Roman"/>
          <w:sz w:val="20"/>
          <w:szCs w:val="20"/>
        </w:rPr>
        <w:t xml:space="preserve">, “Surface hydroxyl groups regulate the osteogenic differentiation of mesenchymal stem cells on titanium and tantalum metals,” </w:t>
      </w:r>
      <w:r w:rsidRPr="00D47BAF">
        <w:rPr>
          <w:rFonts w:ascii="Times New Roman" w:hAnsi="Times New Roman" w:cs="Times New Roman"/>
          <w:i/>
          <w:iCs/>
          <w:sz w:val="20"/>
          <w:szCs w:val="20"/>
        </w:rPr>
        <w:t>J. Mater. Chem. B</w:t>
      </w:r>
      <w:r w:rsidRPr="00D47BAF">
        <w:rPr>
          <w:rFonts w:ascii="Times New Roman" w:hAnsi="Times New Roman" w:cs="Times New Roman"/>
          <w:sz w:val="20"/>
          <w:szCs w:val="20"/>
        </w:rPr>
        <w:t>, vol. 5, no. 21, pp. 3955–3963, 2017, doi: 10.1039/C7TB00111H.</w:t>
      </w:r>
    </w:p>
    <w:p w14:paraId="293A14BB" w14:textId="77777777" w:rsidR="00742AD4" w:rsidRPr="00D47BAF" w:rsidRDefault="00742AD4" w:rsidP="00D47BAF">
      <w:pPr>
        <w:pStyle w:val="Bibliography"/>
        <w:jc w:val="both"/>
        <w:rPr>
          <w:rFonts w:ascii="Times New Roman" w:hAnsi="Times New Roman" w:cs="Times New Roman"/>
          <w:sz w:val="20"/>
          <w:szCs w:val="20"/>
        </w:rPr>
      </w:pPr>
      <w:r w:rsidRPr="00D47BAF">
        <w:rPr>
          <w:rFonts w:ascii="Times New Roman" w:hAnsi="Times New Roman" w:cs="Times New Roman"/>
          <w:sz w:val="20"/>
          <w:szCs w:val="20"/>
        </w:rPr>
        <w:t>[12]</w:t>
      </w:r>
      <w:r w:rsidRPr="00D47BAF">
        <w:rPr>
          <w:rFonts w:ascii="Times New Roman" w:hAnsi="Times New Roman" w:cs="Times New Roman"/>
          <w:sz w:val="20"/>
          <w:szCs w:val="20"/>
        </w:rPr>
        <w:tab/>
        <w:t xml:space="preserve">E. Fathi and R. Farahzadi, “Enhancement of osteogenic differentiation of rat adipose tissue-derived mesenchymal stem cells by zinc sulphate under electromagnetic field via the PKA, ERK1/2 and Wnt/β-catenin signaling pathways,” </w:t>
      </w:r>
      <w:r w:rsidRPr="00D47BAF">
        <w:rPr>
          <w:rFonts w:ascii="Times New Roman" w:hAnsi="Times New Roman" w:cs="Times New Roman"/>
          <w:i/>
          <w:iCs/>
          <w:sz w:val="20"/>
          <w:szCs w:val="20"/>
        </w:rPr>
        <w:t>PLOS ONE</w:t>
      </w:r>
      <w:r w:rsidRPr="00D47BAF">
        <w:rPr>
          <w:rFonts w:ascii="Times New Roman" w:hAnsi="Times New Roman" w:cs="Times New Roman"/>
          <w:sz w:val="20"/>
          <w:szCs w:val="20"/>
        </w:rPr>
        <w:t>, vol. 12, no. 3, p. e0173877, Mar. 2017, doi: 10.1371/journal.pone.0173877.</w:t>
      </w:r>
    </w:p>
    <w:p w14:paraId="343A1CE1" w14:textId="77777777" w:rsidR="00742AD4" w:rsidRPr="00D47BAF" w:rsidRDefault="00742AD4" w:rsidP="00D47BAF">
      <w:pPr>
        <w:pStyle w:val="Bibliography"/>
        <w:jc w:val="both"/>
        <w:rPr>
          <w:rFonts w:ascii="Times New Roman" w:hAnsi="Times New Roman" w:cs="Times New Roman"/>
          <w:sz w:val="20"/>
          <w:szCs w:val="20"/>
        </w:rPr>
      </w:pPr>
      <w:r w:rsidRPr="00D47BAF">
        <w:rPr>
          <w:rFonts w:ascii="Times New Roman" w:hAnsi="Times New Roman" w:cs="Times New Roman"/>
          <w:sz w:val="20"/>
          <w:szCs w:val="20"/>
        </w:rPr>
        <w:t>[13]</w:t>
      </w:r>
      <w:r w:rsidRPr="00D47BAF">
        <w:rPr>
          <w:rFonts w:ascii="Times New Roman" w:hAnsi="Times New Roman" w:cs="Times New Roman"/>
          <w:sz w:val="20"/>
          <w:szCs w:val="20"/>
        </w:rPr>
        <w:tab/>
        <w:t xml:space="preserve">J. Lu </w:t>
      </w:r>
      <w:r w:rsidRPr="00D47BAF">
        <w:rPr>
          <w:rFonts w:ascii="Times New Roman" w:hAnsi="Times New Roman" w:cs="Times New Roman"/>
          <w:i/>
          <w:iCs/>
          <w:sz w:val="20"/>
          <w:szCs w:val="20"/>
        </w:rPr>
        <w:t>et al.</w:t>
      </w:r>
      <w:r w:rsidRPr="00D47BAF">
        <w:rPr>
          <w:rFonts w:ascii="Times New Roman" w:hAnsi="Times New Roman" w:cs="Times New Roman"/>
          <w:sz w:val="20"/>
          <w:szCs w:val="20"/>
        </w:rPr>
        <w:t xml:space="preserve">, “iRoot BP Plus promotes osteo/odontogenic differentiation of bone marrow mesenchymal stem cells via MAPK pathways and autophagy,” </w:t>
      </w:r>
      <w:r w:rsidRPr="00D47BAF">
        <w:rPr>
          <w:rFonts w:ascii="Times New Roman" w:hAnsi="Times New Roman" w:cs="Times New Roman"/>
          <w:i/>
          <w:iCs/>
          <w:sz w:val="20"/>
          <w:szCs w:val="20"/>
        </w:rPr>
        <w:t>Stem Cell Res. Ther.</w:t>
      </w:r>
      <w:r w:rsidRPr="00D47BAF">
        <w:rPr>
          <w:rFonts w:ascii="Times New Roman" w:hAnsi="Times New Roman" w:cs="Times New Roman"/>
          <w:sz w:val="20"/>
          <w:szCs w:val="20"/>
        </w:rPr>
        <w:t>, vol. 10, no. 1, p. 222, Dec. 2019, doi: 10.1186/s13287-019-1345-3.</w:t>
      </w:r>
    </w:p>
    <w:p w14:paraId="3472C080" w14:textId="77777777" w:rsidR="004E6BB8" w:rsidRDefault="00C6365D" w:rsidP="00D47BAF">
      <w:pPr>
        <w:jc w:val="both"/>
        <w:rPr>
          <w:rFonts w:ascii="Times New Roman" w:hAnsi="Times New Roman" w:cs="Times New Roman"/>
          <w:sz w:val="20"/>
          <w:szCs w:val="20"/>
        </w:rPr>
      </w:pPr>
      <w:r w:rsidRPr="00D47BAF">
        <w:rPr>
          <w:rFonts w:ascii="Times New Roman" w:hAnsi="Times New Roman" w:cs="Times New Roman"/>
          <w:sz w:val="20"/>
          <w:szCs w:val="20"/>
        </w:rPr>
        <w:fldChar w:fldCharType="end"/>
      </w:r>
    </w:p>
    <w:p w14:paraId="065A4AC4" w14:textId="77777777" w:rsidR="00C8760A" w:rsidRDefault="00C8760A" w:rsidP="00D47BAF">
      <w:pPr>
        <w:jc w:val="both"/>
        <w:rPr>
          <w:rFonts w:ascii="Times New Roman" w:hAnsi="Times New Roman" w:cs="Times New Roman"/>
          <w:sz w:val="20"/>
          <w:szCs w:val="20"/>
        </w:rPr>
      </w:pPr>
    </w:p>
    <w:p w14:paraId="6AAF3301" w14:textId="77777777" w:rsidR="00C8760A" w:rsidRDefault="00C8760A" w:rsidP="00D47BAF">
      <w:pPr>
        <w:jc w:val="both"/>
        <w:rPr>
          <w:rFonts w:ascii="Times New Roman" w:hAnsi="Times New Roman" w:cs="Times New Roman"/>
          <w:sz w:val="20"/>
          <w:szCs w:val="20"/>
        </w:rPr>
      </w:pPr>
    </w:p>
    <w:p w14:paraId="08792B3E" w14:textId="77777777" w:rsidR="00C8760A" w:rsidRDefault="00C8760A" w:rsidP="00D47BAF">
      <w:pPr>
        <w:jc w:val="both"/>
        <w:rPr>
          <w:rFonts w:ascii="Times New Roman" w:hAnsi="Times New Roman" w:cs="Times New Roman"/>
          <w:sz w:val="20"/>
          <w:szCs w:val="20"/>
        </w:rPr>
      </w:pPr>
    </w:p>
    <w:p w14:paraId="69491C05" w14:textId="77777777" w:rsidR="00C8760A" w:rsidRDefault="00C8760A" w:rsidP="00D47BAF">
      <w:pPr>
        <w:jc w:val="both"/>
        <w:rPr>
          <w:rFonts w:ascii="Times New Roman" w:hAnsi="Times New Roman" w:cs="Times New Roman"/>
          <w:sz w:val="20"/>
          <w:szCs w:val="20"/>
        </w:rPr>
      </w:pPr>
    </w:p>
    <w:p w14:paraId="7EEA8CA7" w14:textId="77777777" w:rsidR="00C8760A" w:rsidRDefault="00C8760A" w:rsidP="00D47BAF">
      <w:pPr>
        <w:jc w:val="both"/>
        <w:rPr>
          <w:rFonts w:ascii="Times New Roman" w:hAnsi="Times New Roman" w:cs="Times New Roman"/>
          <w:sz w:val="20"/>
          <w:szCs w:val="20"/>
        </w:rPr>
      </w:pPr>
    </w:p>
    <w:p w14:paraId="5FB13ED4" w14:textId="77777777" w:rsidR="00C8760A" w:rsidRDefault="00C8760A" w:rsidP="00D47BAF">
      <w:pPr>
        <w:jc w:val="both"/>
        <w:rPr>
          <w:rFonts w:ascii="Times New Roman" w:hAnsi="Times New Roman" w:cs="Times New Roman"/>
          <w:sz w:val="20"/>
          <w:szCs w:val="20"/>
        </w:rPr>
      </w:pPr>
    </w:p>
    <w:p w14:paraId="5D1F252E" w14:textId="77777777" w:rsidR="00C8760A" w:rsidRDefault="00C8760A" w:rsidP="00D47BAF">
      <w:pPr>
        <w:jc w:val="both"/>
        <w:rPr>
          <w:rFonts w:ascii="Times New Roman" w:hAnsi="Times New Roman" w:cs="Times New Roman"/>
          <w:sz w:val="20"/>
          <w:szCs w:val="20"/>
        </w:rPr>
      </w:pPr>
    </w:p>
    <w:p w14:paraId="18AB4A5A" w14:textId="77777777" w:rsidR="00C8760A" w:rsidRDefault="00C8760A" w:rsidP="00D47BAF">
      <w:pPr>
        <w:jc w:val="both"/>
        <w:rPr>
          <w:rFonts w:ascii="Times New Roman" w:hAnsi="Times New Roman" w:cs="Times New Roman"/>
          <w:sz w:val="20"/>
          <w:szCs w:val="20"/>
        </w:rPr>
      </w:pPr>
    </w:p>
    <w:p w14:paraId="61740C8B" w14:textId="77777777" w:rsidR="00C8760A" w:rsidRDefault="00C8760A" w:rsidP="00D47BAF">
      <w:pPr>
        <w:jc w:val="both"/>
        <w:rPr>
          <w:rFonts w:ascii="Times New Roman" w:hAnsi="Times New Roman" w:cs="Times New Roman"/>
          <w:sz w:val="20"/>
          <w:szCs w:val="20"/>
        </w:rPr>
      </w:pPr>
    </w:p>
    <w:p w14:paraId="1B9C117C" w14:textId="77777777" w:rsidR="00C8760A" w:rsidRDefault="00C8760A" w:rsidP="00D47BAF">
      <w:pPr>
        <w:jc w:val="both"/>
        <w:rPr>
          <w:rFonts w:ascii="Times New Roman" w:hAnsi="Times New Roman" w:cs="Times New Roman"/>
          <w:sz w:val="20"/>
          <w:szCs w:val="20"/>
        </w:rPr>
      </w:pPr>
    </w:p>
    <w:p w14:paraId="3201C7CC" w14:textId="77777777" w:rsidR="00C8760A" w:rsidRDefault="00C8760A" w:rsidP="00D47BAF">
      <w:pPr>
        <w:jc w:val="both"/>
        <w:rPr>
          <w:rFonts w:ascii="Times New Roman" w:hAnsi="Times New Roman" w:cs="Times New Roman"/>
          <w:sz w:val="20"/>
          <w:szCs w:val="20"/>
        </w:rPr>
      </w:pPr>
    </w:p>
    <w:p w14:paraId="76E1A8B0" w14:textId="77777777" w:rsidR="00C8760A" w:rsidRDefault="00C8760A" w:rsidP="00D47BAF">
      <w:pPr>
        <w:jc w:val="both"/>
        <w:rPr>
          <w:rFonts w:ascii="Times New Roman" w:hAnsi="Times New Roman" w:cs="Times New Roman"/>
          <w:sz w:val="20"/>
          <w:szCs w:val="20"/>
        </w:rPr>
      </w:pPr>
    </w:p>
    <w:p w14:paraId="1A2DEF4F" w14:textId="77777777" w:rsidR="00C8760A" w:rsidRDefault="00C8760A" w:rsidP="00D47BAF">
      <w:pPr>
        <w:jc w:val="both"/>
        <w:rPr>
          <w:rFonts w:ascii="Times New Roman" w:hAnsi="Times New Roman" w:cs="Times New Roman"/>
          <w:sz w:val="20"/>
          <w:szCs w:val="20"/>
        </w:rPr>
      </w:pPr>
    </w:p>
    <w:p w14:paraId="1AFEE259" w14:textId="5AB5E7C0" w:rsidR="00C8760A" w:rsidRPr="00C8760A" w:rsidRDefault="00C8760A" w:rsidP="00C8760A">
      <w:pPr>
        <w:jc w:val="center"/>
        <w:rPr>
          <w:rFonts w:ascii="Times New Roman" w:hAnsi="Times New Roman" w:cs="Times New Roman"/>
          <w:b/>
          <w:bCs/>
          <w:sz w:val="24"/>
          <w:szCs w:val="24"/>
        </w:rPr>
      </w:pPr>
      <w:r w:rsidRPr="00C8760A">
        <w:rPr>
          <w:rFonts w:ascii="Times New Roman" w:hAnsi="Times New Roman" w:cs="Times New Roman"/>
          <w:b/>
          <w:bCs/>
          <w:sz w:val="24"/>
          <w:szCs w:val="24"/>
        </w:rPr>
        <w:t>Raw data</w:t>
      </w:r>
    </w:p>
    <w:p w14:paraId="115FC2E1" w14:textId="77777777" w:rsidR="00C8760A" w:rsidRDefault="00C8760A" w:rsidP="00D47BAF">
      <w:pPr>
        <w:jc w:val="both"/>
        <w:rPr>
          <w:rFonts w:ascii="Times New Roman" w:hAnsi="Times New Roman" w:cs="Times New Roman"/>
          <w:sz w:val="20"/>
          <w:szCs w:val="20"/>
        </w:rPr>
      </w:pPr>
    </w:p>
    <w:p w14:paraId="7692FA3D" w14:textId="013743A8" w:rsidR="00C8760A" w:rsidRDefault="00C8760A" w:rsidP="00D47BAF">
      <w:pPr>
        <w:jc w:val="both"/>
        <w:rPr>
          <w:rFonts w:ascii="Times New Roman" w:hAnsi="Times New Roman" w:cs="Times New Roman"/>
          <w:sz w:val="20"/>
          <w:szCs w:val="20"/>
        </w:rPr>
      </w:pPr>
    </w:p>
    <w:p w14:paraId="5DF1BA0B" w14:textId="70817F48" w:rsidR="00C8760A" w:rsidRDefault="001D11CA" w:rsidP="00D47BAF">
      <w:pPr>
        <w:jc w:val="both"/>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32FCEBDC" wp14:editId="6766CB49">
            <wp:extent cx="5731510" cy="7501255"/>
            <wp:effectExtent l="0" t="0" r="2540" b="4445"/>
            <wp:docPr id="1180771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77184" name="Picture 118077184"/>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7501255"/>
                    </a:xfrm>
                    <a:prstGeom prst="rect">
                      <a:avLst/>
                    </a:prstGeom>
                  </pic:spPr>
                </pic:pic>
              </a:graphicData>
            </a:graphic>
          </wp:inline>
        </w:drawing>
      </w:r>
    </w:p>
    <w:p w14:paraId="19A0DFCA" w14:textId="77777777" w:rsidR="00C8760A" w:rsidRDefault="00C8760A" w:rsidP="00D47BAF">
      <w:pPr>
        <w:jc w:val="both"/>
        <w:rPr>
          <w:rFonts w:ascii="Times New Roman" w:hAnsi="Times New Roman" w:cs="Times New Roman"/>
          <w:sz w:val="20"/>
          <w:szCs w:val="20"/>
        </w:rPr>
      </w:pPr>
    </w:p>
    <w:p w14:paraId="22FB9106" w14:textId="05557D14" w:rsidR="00C8760A" w:rsidRDefault="001D11CA" w:rsidP="00D47BAF">
      <w:pPr>
        <w:jc w:val="both"/>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3BAC179F" wp14:editId="0F73C55A">
            <wp:extent cx="5731510" cy="7545070"/>
            <wp:effectExtent l="0" t="0" r="2540" b="0"/>
            <wp:docPr id="3141666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166653" name="Picture 31416665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7545070"/>
                    </a:xfrm>
                    <a:prstGeom prst="rect">
                      <a:avLst/>
                    </a:prstGeom>
                  </pic:spPr>
                </pic:pic>
              </a:graphicData>
            </a:graphic>
          </wp:inline>
        </w:drawing>
      </w:r>
    </w:p>
    <w:p w14:paraId="550AE4F1" w14:textId="77777777" w:rsidR="00C8760A" w:rsidRDefault="00C8760A" w:rsidP="00D47BAF">
      <w:pPr>
        <w:jc w:val="both"/>
        <w:rPr>
          <w:rFonts w:ascii="Times New Roman" w:hAnsi="Times New Roman" w:cs="Times New Roman"/>
          <w:sz w:val="20"/>
          <w:szCs w:val="20"/>
        </w:rPr>
      </w:pPr>
    </w:p>
    <w:p w14:paraId="2F8FA90C" w14:textId="77777777" w:rsidR="00C8760A" w:rsidRDefault="00C8760A" w:rsidP="00D47BAF">
      <w:pPr>
        <w:jc w:val="both"/>
        <w:rPr>
          <w:rFonts w:ascii="Times New Roman" w:hAnsi="Times New Roman" w:cs="Times New Roman"/>
          <w:sz w:val="20"/>
          <w:szCs w:val="20"/>
        </w:rPr>
      </w:pPr>
    </w:p>
    <w:p w14:paraId="1B536CED" w14:textId="77777777" w:rsidR="00C8760A" w:rsidRDefault="00C8760A" w:rsidP="00D47BAF">
      <w:pPr>
        <w:jc w:val="both"/>
        <w:rPr>
          <w:rFonts w:ascii="Times New Roman" w:hAnsi="Times New Roman" w:cs="Times New Roman"/>
          <w:sz w:val="20"/>
          <w:szCs w:val="20"/>
        </w:rPr>
      </w:pPr>
    </w:p>
    <w:p w14:paraId="43B35893" w14:textId="77777777" w:rsidR="00C8760A" w:rsidRDefault="00C8760A" w:rsidP="00D47BAF">
      <w:pPr>
        <w:jc w:val="both"/>
        <w:rPr>
          <w:rFonts w:ascii="Times New Roman" w:hAnsi="Times New Roman" w:cs="Times New Roman"/>
          <w:sz w:val="20"/>
          <w:szCs w:val="20"/>
        </w:rPr>
      </w:pPr>
    </w:p>
    <w:p w14:paraId="5A8B813B" w14:textId="77777777" w:rsidR="00C8760A" w:rsidRDefault="00C8760A" w:rsidP="00D47BAF">
      <w:pPr>
        <w:jc w:val="both"/>
        <w:rPr>
          <w:rFonts w:ascii="Times New Roman" w:hAnsi="Times New Roman" w:cs="Times New Roman"/>
          <w:sz w:val="20"/>
          <w:szCs w:val="20"/>
        </w:rPr>
      </w:pPr>
    </w:p>
    <w:p w14:paraId="00CA10AC" w14:textId="0E6CA696" w:rsidR="00C8760A" w:rsidRDefault="001D11CA" w:rsidP="00D47BAF">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93F8448" wp14:editId="557548B9">
            <wp:extent cx="5731510" cy="7473315"/>
            <wp:effectExtent l="0" t="0" r="2540" b="0"/>
            <wp:docPr id="21068414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841428" name="Picture 210684142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7473315"/>
                    </a:xfrm>
                    <a:prstGeom prst="rect">
                      <a:avLst/>
                    </a:prstGeom>
                  </pic:spPr>
                </pic:pic>
              </a:graphicData>
            </a:graphic>
          </wp:inline>
        </w:drawing>
      </w:r>
    </w:p>
    <w:p w14:paraId="0EBE120A" w14:textId="77777777" w:rsidR="00C8760A" w:rsidRDefault="00C8760A" w:rsidP="00D47BAF">
      <w:pPr>
        <w:jc w:val="both"/>
        <w:rPr>
          <w:rFonts w:ascii="Times New Roman" w:hAnsi="Times New Roman" w:cs="Times New Roman"/>
          <w:sz w:val="24"/>
          <w:szCs w:val="24"/>
        </w:rPr>
      </w:pPr>
    </w:p>
    <w:p w14:paraId="61BE90E8" w14:textId="77777777" w:rsidR="00C8760A" w:rsidRDefault="00C8760A" w:rsidP="00D47BAF">
      <w:pPr>
        <w:jc w:val="both"/>
        <w:rPr>
          <w:rFonts w:ascii="Times New Roman" w:hAnsi="Times New Roman" w:cs="Times New Roman"/>
          <w:sz w:val="24"/>
          <w:szCs w:val="24"/>
        </w:rPr>
      </w:pPr>
    </w:p>
    <w:p w14:paraId="704478F1" w14:textId="77777777" w:rsidR="00C8760A" w:rsidRDefault="00C8760A" w:rsidP="00D47BAF">
      <w:pPr>
        <w:jc w:val="both"/>
        <w:rPr>
          <w:rFonts w:ascii="Times New Roman" w:hAnsi="Times New Roman" w:cs="Times New Roman"/>
          <w:sz w:val="24"/>
          <w:szCs w:val="24"/>
        </w:rPr>
      </w:pPr>
    </w:p>
    <w:p w14:paraId="587E97C3" w14:textId="77777777" w:rsidR="00C8760A" w:rsidRDefault="00C8760A" w:rsidP="00D47BAF">
      <w:pPr>
        <w:jc w:val="both"/>
        <w:rPr>
          <w:rFonts w:ascii="Times New Roman" w:hAnsi="Times New Roman" w:cs="Times New Roman"/>
          <w:sz w:val="24"/>
          <w:szCs w:val="24"/>
        </w:rPr>
      </w:pPr>
    </w:p>
    <w:p w14:paraId="78AB4C6B" w14:textId="553CE8FB" w:rsidR="00C8760A" w:rsidRDefault="001D11CA" w:rsidP="00D47BAF">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CC2BEBA" wp14:editId="0E89BF1C">
            <wp:extent cx="5731510" cy="3707765"/>
            <wp:effectExtent l="0" t="0" r="2540" b="6985"/>
            <wp:docPr id="6092000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200062" name="Picture 60920006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707765"/>
                    </a:xfrm>
                    <a:prstGeom prst="rect">
                      <a:avLst/>
                    </a:prstGeom>
                  </pic:spPr>
                </pic:pic>
              </a:graphicData>
            </a:graphic>
          </wp:inline>
        </w:drawing>
      </w:r>
    </w:p>
    <w:p w14:paraId="67A89F32" w14:textId="77777777" w:rsidR="001D11CA" w:rsidRDefault="001D11CA" w:rsidP="00D47BAF">
      <w:pPr>
        <w:jc w:val="both"/>
        <w:rPr>
          <w:rFonts w:ascii="Times New Roman" w:hAnsi="Times New Roman" w:cs="Times New Roman"/>
          <w:sz w:val="24"/>
          <w:szCs w:val="24"/>
        </w:rPr>
      </w:pPr>
    </w:p>
    <w:p w14:paraId="794B7B65" w14:textId="589DBCF1" w:rsidR="001D11CA" w:rsidRDefault="001D11CA" w:rsidP="00D47BAF">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6665898" wp14:editId="013CA4C5">
            <wp:extent cx="3946525" cy="8863330"/>
            <wp:effectExtent l="0" t="0" r="0" b="0"/>
            <wp:docPr id="9957166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716674" name="Picture 99571667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46525" cy="8863330"/>
                    </a:xfrm>
                    <a:prstGeom prst="rect">
                      <a:avLst/>
                    </a:prstGeom>
                  </pic:spPr>
                </pic:pic>
              </a:graphicData>
            </a:graphic>
          </wp:inline>
        </w:drawing>
      </w:r>
    </w:p>
    <w:sectPr w:rsidR="001D11C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7FDC"/>
    <w:rsid w:val="000A48E4"/>
    <w:rsid w:val="000A6407"/>
    <w:rsid w:val="000D395A"/>
    <w:rsid w:val="001D11CA"/>
    <w:rsid w:val="001D41BD"/>
    <w:rsid w:val="002C2C50"/>
    <w:rsid w:val="002D7100"/>
    <w:rsid w:val="00301ED6"/>
    <w:rsid w:val="00321AC3"/>
    <w:rsid w:val="00391B92"/>
    <w:rsid w:val="003A443F"/>
    <w:rsid w:val="00426D30"/>
    <w:rsid w:val="004E6BB8"/>
    <w:rsid w:val="005036B9"/>
    <w:rsid w:val="00507279"/>
    <w:rsid w:val="005337EF"/>
    <w:rsid w:val="006F22D4"/>
    <w:rsid w:val="00742AD4"/>
    <w:rsid w:val="009811C4"/>
    <w:rsid w:val="00A16964"/>
    <w:rsid w:val="00A268F9"/>
    <w:rsid w:val="00A90697"/>
    <w:rsid w:val="00A97C37"/>
    <w:rsid w:val="00B22E2F"/>
    <w:rsid w:val="00BA3FDE"/>
    <w:rsid w:val="00BE1F91"/>
    <w:rsid w:val="00C6365D"/>
    <w:rsid w:val="00C8760A"/>
    <w:rsid w:val="00D47BAF"/>
    <w:rsid w:val="00DB68B2"/>
    <w:rsid w:val="00E62A8D"/>
    <w:rsid w:val="00ED2188"/>
    <w:rsid w:val="00EE2547"/>
    <w:rsid w:val="00FB7FDC"/>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D320A9F"/>
  <w15:chartTrackingRefBased/>
  <w15:docId w15:val="{B13C68ED-6F13-4BAE-9B22-C2E34E7ECC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B7FD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B7FDC"/>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4E6B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6051150">
      <w:bodyDiv w:val="1"/>
      <w:marLeft w:val="0"/>
      <w:marRight w:val="0"/>
      <w:marTop w:val="0"/>
      <w:marBottom w:val="0"/>
      <w:divBdr>
        <w:top w:val="none" w:sz="0" w:space="0" w:color="auto"/>
        <w:left w:val="none" w:sz="0" w:space="0" w:color="auto"/>
        <w:bottom w:val="none" w:sz="0" w:space="0" w:color="auto"/>
        <w:right w:val="none" w:sz="0" w:space="0" w:color="auto"/>
      </w:divBdr>
    </w:div>
    <w:div w:id="880827541">
      <w:bodyDiv w:val="1"/>
      <w:marLeft w:val="0"/>
      <w:marRight w:val="0"/>
      <w:marTop w:val="0"/>
      <w:marBottom w:val="0"/>
      <w:divBdr>
        <w:top w:val="none" w:sz="0" w:space="0" w:color="auto"/>
        <w:left w:val="none" w:sz="0" w:space="0" w:color="auto"/>
        <w:bottom w:val="none" w:sz="0" w:space="0" w:color="auto"/>
        <w:right w:val="none" w:sz="0" w:space="0" w:color="auto"/>
      </w:divBdr>
    </w:div>
    <w:div w:id="1291740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image" Target="media/image10.tiff"/><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image" Target="media/image9.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tiff"/><Relationship Id="rId5" Type="http://schemas.openxmlformats.org/officeDocument/2006/relationships/image" Target="media/image2.tiff"/><Relationship Id="rId15" Type="http://schemas.openxmlformats.org/officeDocument/2006/relationships/theme" Target="theme/theme1.xml"/><Relationship Id="rId10" Type="http://schemas.openxmlformats.org/officeDocument/2006/relationships/image" Target="media/image7.tiff"/><Relationship Id="rId4" Type="http://schemas.openxmlformats.org/officeDocument/2006/relationships/image" Target="media/image1.tiff"/><Relationship Id="rId9" Type="http://schemas.openxmlformats.org/officeDocument/2006/relationships/image" Target="media/image6.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13</Pages>
  <Words>1412</Words>
  <Characters>8605</Characters>
  <Application>Microsoft Office Word</Application>
  <DocSecurity>0</DocSecurity>
  <Lines>232</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GANGA</dc:creator>
  <cp:keywords/>
  <dc:description/>
  <cp:lastModifiedBy>Madhusoodanan UK</cp:lastModifiedBy>
  <cp:revision>4</cp:revision>
  <dcterms:created xsi:type="dcterms:W3CDTF">2024-12-31T08:46:00Z</dcterms:created>
  <dcterms:modified xsi:type="dcterms:W3CDTF">2024-12-31T09:46:00Z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id="KCMqfPqb"/&gt;&lt;style id="http://www.zotero.org/styles/ieee" locale="en-US" hasBibliography="1" bibliographyStyleHasBeenSet="1"/&gt;&lt;prefs&gt;&lt;pref name="fieldType" value="Field"/&gt;&lt;pref name="automaticJour</vt:lpwstr>
  </property>
  <property fmtid="{D5CDD505-2E9C-101B-9397-08002B2CF9AE}" pid="3" name="ZOTERO_PREF_2">
    <vt:lpwstr>nalAbbreviations" value="true"/&gt;&lt;/prefs&gt;&lt;/data&gt;</vt:lpwstr>
  </property>
  <property fmtid="{D5CDD505-2E9C-101B-9397-08002B2CF9AE}" pid="4" name="GrammarlyDocumentId">
    <vt:lpwstr>65cefff7e1f1df507b1106a54f5d09f3ec799317e87cb6aa9b68f8c1e115cd42</vt:lpwstr>
  </property>
</Properties>
</file>