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AFEDF" w14:textId="72EE4BE5" w:rsidR="00281274" w:rsidRDefault="00281274" w:rsidP="004E1792">
      <w:pPr>
        <w:spacing w:after="0" w:line="360" w:lineRule="auto"/>
        <w:rPr>
          <w:rFonts w:ascii="AvenirNext LT Pro Regular" w:hAnsi="AvenirNext LT Pro Regular"/>
          <w:b/>
          <w:bCs/>
          <w:sz w:val="24"/>
          <w:szCs w:val="24"/>
          <w:lang w:val="en-US"/>
        </w:rPr>
      </w:pPr>
      <w:r w:rsidRPr="00260D4F">
        <w:rPr>
          <w:rFonts w:ascii="AvenirNext LT Pro Regular" w:hAnsi="AvenirNext LT Pro Regular"/>
          <w:b/>
          <w:bCs/>
          <w:sz w:val="24"/>
          <w:szCs w:val="24"/>
          <w:lang w:val="en-US"/>
        </w:rPr>
        <w:t>Supplementary File #1</w:t>
      </w:r>
    </w:p>
    <w:p w14:paraId="2F0C5B8E" w14:textId="4061DF76" w:rsidR="00281274" w:rsidRDefault="000353B8" w:rsidP="004E1792">
      <w:pPr>
        <w:spacing w:after="0" w:line="360" w:lineRule="auto"/>
        <w:rPr>
          <w:rFonts w:ascii="AvenirNext LT Pro Regular" w:hAnsi="AvenirNext LT Pro Regular"/>
          <w:b/>
          <w:bCs/>
          <w:sz w:val="24"/>
          <w:szCs w:val="24"/>
          <w:lang w:val="en-US"/>
        </w:rPr>
      </w:pPr>
      <w:r>
        <w:rPr>
          <w:rFonts w:ascii="AvenirNext LT Pro Regular" w:hAnsi="AvenirNext LT Pro Regular"/>
          <w:b/>
          <w:bCs/>
          <w:sz w:val="24"/>
          <w:szCs w:val="24"/>
          <w:lang w:val="en-US"/>
        </w:rPr>
        <w:t>States'</w:t>
      </w:r>
      <w:r w:rsidR="005D10EC">
        <w:rPr>
          <w:rFonts w:ascii="AvenirNext LT Pro Regular" w:hAnsi="AvenirNext LT Pro Regular"/>
          <w:b/>
          <w:bCs/>
          <w:sz w:val="24"/>
          <w:szCs w:val="24"/>
          <w:lang w:val="en-US"/>
        </w:rPr>
        <w:t xml:space="preserve"> </w:t>
      </w:r>
      <w:r w:rsidR="00281274" w:rsidRPr="00260D4F">
        <w:rPr>
          <w:rFonts w:ascii="AvenirNext LT Pro Regular" w:hAnsi="AvenirNext LT Pro Regular"/>
          <w:b/>
          <w:bCs/>
          <w:sz w:val="24"/>
          <w:szCs w:val="24"/>
          <w:lang w:val="en-US"/>
        </w:rPr>
        <w:t>description</w:t>
      </w:r>
    </w:p>
    <w:p w14:paraId="182A56AC" w14:textId="1E9ED360" w:rsidR="00281274" w:rsidRDefault="00281274" w:rsidP="004E1792">
      <w:pPr>
        <w:spacing w:after="0" w:line="360" w:lineRule="auto"/>
        <w:ind w:firstLine="708"/>
        <w:jc w:val="both"/>
        <w:rPr>
          <w:rFonts w:ascii="AvenirNext LT Pro Regular" w:hAnsi="AvenirNext LT Pro Regular"/>
          <w:sz w:val="24"/>
          <w:szCs w:val="24"/>
          <w:lang w:val="en-US"/>
        </w:rPr>
      </w:pPr>
      <w:r w:rsidRPr="00260D4F">
        <w:rPr>
          <w:rFonts w:ascii="AvenirNext LT Pro Regular" w:hAnsi="AvenirNext LT Pro Regular"/>
          <w:sz w:val="24"/>
          <w:szCs w:val="24"/>
          <w:lang w:val="en-US"/>
        </w:rPr>
        <w:t>Brazil is a country of continental size located in South America, with large livable</w:t>
      </w:r>
      <w:r w:rsidR="000353B8">
        <w:rPr>
          <w:rFonts w:ascii="AvenirNext LT Pro Regular" w:hAnsi="AvenirNext LT Pro Regular"/>
          <w:sz w:val="24"/>
          <w:szCs w:val="24"/>
          <w:lang w:val="en-US"/>
        </w:rPr>
        <w:t>,</w:t>
      </w:r>
      <w:r w:rsidRPr="00260D4F">
        <w:rPr>
          <w:rFonts w:ascii="AvenirNext LT Pro Regular" w:hAnsi="AvenirNext LT Pro Regular"/>
          <w:sz w:val="24"/>
          <w:szCs w:val="24"/>
          <w:lang w:val="en-US"/>
        </w:rPr>
        <w:t xml:space="preserve"> and productive areas. For this reason, productive activities are widely spread across geographical space. The country has five major regions: north, northeast, </w:t>
      </w:r>
      <w:proofErr w:type="spellStart"/>
      <w:r w:rsidRPr="00260D4F">
        <w:rPr>
          <w:rFonts w:ascii="AvenirNext LT Pro Regular" w:hAnsi="AvenirNext LT Pro Regular"/>
          <w:sz w:val="24"/>
          <w:szCs w:val="24"/>
          <w:lang w:val="en-US"/>
        </w:rPr>
        <w:t>midwest</w:t>
      </w:r>
      <w:proofErr w:type="spellEnd"/>
      <w:r w:rsidRPr="00260D4F">
        <w:rPr>
          <w:rFonts w:ascii="AvenirNext LT Pro Regular" w:hAnsi="AvenirNext LT Pro Regular"/>
          <w:sz w:val="24"/>
          <w:szCs w:val="24"/>
          <w:lang w:val="en-US"/>
        </w:rPr>
        <w:t>, southeast, and south. It develops in its territory activities of the primary, secondary, and tertiary sectors. One of the drivers of Brazilian economic development, the tertiary sector</w:t>
      </w:r>
      <w:r w:rsidR="000353B8">
        <w:rPr>
          <w:rFonts w:ascii="AvenirNext LT Pro Regular" w:hAnsi="AvenirNext LT Pro Regular"/>
          <w:sz w:val="24"/>
          <w:szCs w:val="24"/>
          <w:lang w:val="en-US"/>
        </w:rPr>
        <w:t>,</w:t>
      </w:r>
      <w:r w:rsidRPr="00260D4F">
        <w:rPr>
          <w:rFonts w:ascii="AvenirNext LT Pro Regular" w:hAnsi="AvenirNext LT Pro Regular"/>
          <w:sz w:val="24"/>
          <w:szCs w:val="24"/>
          <w:lang w:val="en-US"/>
        </w:rPr>
        <w:t xml:space="preserve"> is the </w:t>
      </w:r>
      <w:r w:rsidR="000353B8">
        <w:rPr>
          <w:rFonts w:ascii="AvenirNext LT Pro Regular" w:hAnsi="AvenirNext LT Pro Regular"/>
          <w:sz w:val="24"/>
          <w:szCs w:val="24"/>
          <w:lang w:val="en-US"/>
        </w:rPr>
        <w:t>country's</w:t>
      </w:r>
      <w:r w:rsidRPr="00260D4F">
        <w:rPr>
          <w:rFonts w:ascii="AvenirNext LT Pro Regular" w:hAnsi="AvenirNext LT Pro Regular"/>
          <w:sz w:val="24"/>
          <w:szCs w:val="24"/>
          <w:lang w:val="en-US"/>
        </w:rPr>
        <w:t xml:space="preserve"> highlight, accounting for more than half of its Gross Domestic Product and the generation of 75% of its jobs. Industry, part of the secondary sector, is also </w:t>
      </w:r>
      <w:r w:rsidR="000353B8">
        <w:rPr>
          <w:rFonts w:ascii="AvenirNext LT Pro Regular" w:hAnsi="AvenirNext LT Pro Regular"/>
          <w:sz w:val="24"/>
          <w:szCs w:val="24"/>
          <w:lang w:val="en-US"/>
        </w:rPr>
        <w:t>essential</w:t>
      </w:r>
      <w:r w:rsidRPr="00260D4F">
        <w:rPr>
          <w:rFonts w:ascii="AvenirNext LT Pro Regular" w:hAnsi="AvenirNext LT Pro Regular"/>
          <w:sz w:val="24"/>
          <w:szCs w:val="24"/>
          <w:lang w:val="en-US"/>
        </w:rPr>
        <w:t xml:space="preserve"> in forming national wealth and highlighting capital goods production. Its largest concentration is in the South and Southeast regions, especially the São Paulo Metropolitan Region. Finally,</w:t>
      </w:r>
      <w:r w:rsidR="005D10EC">
        <w:rPr>
          <w:rFonts w:ascii="AvenirNext LT Pro Regular" w:hAnsi="AvenirNext LT Pro Regular"/>
          <w:sz w:val="24"/>
          <w:szCs w:val="24"/>
          <w:lang w:val="en-US"/>
        </w:rPr>
        <w:t xml:space="preserve"> </w:t>
      </w:r>
      <w:r w:rsidR="000353B8">
        <w:rPr>
          <w:rFonts w:ascii="AvenirNext LT Pro Regular" w:hAnsi="AvenirNext LT Pro Regular"/>
          <w:sz w:val="24"/>
          <w:szCs w:val="24"/>
          <w:lang w:val="en-US"/>
        </w:rPr>
        <w:t>Brazil's</w:t>
      </w:r>
      <w:r w:rsidRPr="00260D4F">
        <w:rPr>
          <w:rFonts w:ascii="AvenirNext LT Pro Regular" w:hAnsi="AvenirNext LT Pro Regular"/>
          <w:sz w:val="24"/>
          <w:szCs w:val="24"/>
          <w:lang w:val="en-US"/>
        </w:rPr>
        <w:t xml:space="preserve"> primary sector is agriculture, livestock, plant extractives, hunting, fishing, and mining. Agriculture uses soil </w:t>
      </w:r>
      <w:r w:rsidR="000353B8">
        <w:rPr>
          <w:rFonts w:ascii="AvenirNext LT Pro Regular" w:hAnsi="AvenirNext LT Pro Regular"/>
          <w:sz w:val="24"/>
          <w:szCs w:val="24"/>
          <w:lang w:val="en-US"/>
        </w:rPr>
        <w:t>to grow crops and raise animals, accounting</w:t>
      </w:r>
      <w:r w:rsidRPr="00260D4F">
        <w:rPr>
          <w:rFonts w:ascii="AvenirNext LT Pro Regular" w:hAnsi="AvenirNext LT Pro Regular"/>
          <w:sz w:val="24"/>
          <w:szCs w:val="24"/>
          <w:lang w:val="en-US"/>
        </w:rPr>
        <w:t xml:space="preserve"> for about 27% of its GDP. Brazil has coffee, soy, sugar, alcohol (from sugar cane), and orange juice, some of its main productions and exports in several sectors. Noteworthy in this area is the Midwest </w:t>
      </w:r>
      <w:r w:rsidR="000353B8">
        <w:rPr>
          <w:rFonts w:ascii="AvenirNext LT Pro Regular" w:hAnsi="AvenirNext LT Pro Regular"/>
          <w:sz w:val="24"/>
          <w:szCs w:val="24"/>
          <w:lang w:val="en-US"/>
        </w:rPr>
        <w:t>region</w:t>
      </w:r>
      <w:r w:rsidRPr="00260D4F">
        <w:rPr>
          <w:rFonts w:ascii="AvenirNext LT Pro Regular" w:hAnsi="AvenirNext LT Pro Regular"/>
          <w:sz w:val="24"/>
          <w:szCs w:val="24"/>
          <w:lang w:val="en-US"/>
        </w:rPr>
        <w:t>, with a more qualified standard in agriculture; the North, with plant and mineral extraction; and the Northeast, with a pattern of monoculture agricultural production and low technological mining.</w:t>
      </w:r>
    </w:p>
    <w:p w14:paraId="0546F742" w14:textId="034032A7" w:rsidR="005D10EC" w:rsidRDefault="005D10EC" w:rsidP="005D10EC">
      <w:pPr>
        <w:spacing w:after="0" w:line="360" w:lineRule="auto"/>
        <w:jc w:val="both"/>
        <w:rPr>
          <w:rFonts w:ascii="AvenirNext LT Pro Regular" w:hAnsi="AvenirNext LT Pro Regular"/>
          <w:sz w:val="24"/>
          <w:szCs w:val="24"/>
          <w:lang w:val="en-US"/>
        </w:rPr>
      </w:pPr>
    </w:p>
    <w:p w14:paraId="28EA5980" w14:textId="1C3197BD" w:rsidR="005D10EC" w:rsidRDefault="005D10EC" w:rsidP="005D10EC">
      <w:pPr>
        <w:spacing w:after="0" w:line="360" w:lineRule="auto"/>
        <w:rPr>
          <w:rFonts w:ascii="AvenirNext LT Pro Regular" w:hAnsi="AvenirNext LT Pro Regular"/>
          <w:b/>
          <w:bCs/>
          <w:sz w:val="24"/>
          <w:szCs w:val="24"/>
          <w:lang w:val="en-US"/>
        </w:rPr>
      </w:pPr>
      <w:r>
        <w:rPr>
          <w:rFonts w:ascii="AvenirNext LT Pro Regular" w:hAnsi="AvenirNext LT Pro Regular"/>
          <w:b/>
          <w:bCs/>
          <w:sz w:val="24"/>
          <w:szCs w:val="24"/>
          <w:lang w:val="en-US"/>
        </w:rPr>
        <w:t>Social development</w:t>
      </w:r>
      <w:r w:rsidR="00BC43FB">
        <w:rPr>
          <w:rFonts w:ascii="AvenirNext LT Pro Regular" w:hAnsi="AvenirNext LT Pro Regular"/>
          <w:b/>
          <w:bCs/>
          <w:sz w:val="24"/>
          <w:szCs w:val="24"/>
          <w:lang w:val="en-US"/>
        </w:rPr>
        <w:t xml:space="preserve"> and </w:t>
      </w:r>
      <w:r w:rsidR="00BC43FB" w:rsidRPr="00BC43FB">
        <w:rPr>
          <w:rFonts w:ascii="AvenirNext LT Pro Regular" w:hAnsi="AvenirNext LT Pro Regular"/>
          <w:b/>
          <w:bCs/>
          <w:sz w:val="24"/>
          <w:szCs w:val="24"/>
          <w:lang w:val="en-US"/>
        </w:rPr>
        <w:t>health indicators of primary care</w:t>
      </w:r>
    </w:p>
    <w:p w14:paraId="48CD042B" w14:textId="42C3850D" w:rsidR="00BC43FB" w:rsidRDefault="00BC43FB" w:rsidP="00BC43FB">
      <w:pPr>
        <w:spacing w:after="0" w:line="360" w:lineRule="auto"/>
        <w:jc w:val="both"/>
        <w:rPr>
          <w:rFonts w:ascii="AvenirNext LT Pro Regular" w:hAnsi="AvenirNext LT Pro Regular"/>
          <w:sz w:val="24"/>
          <w:szCs w:val="24"/>
          <w:lang w:val="en-US"/>
        </w:rPr>
      </w:pPr>
      <w:r>
        <w:rPr>
          <w:rFonts w:ascii="AvenirNext LT Pro Regular" w:hAnsi="AvenirNext LT Pro Regular"/>
          <w:sz w:val="24"/>
          <w:szCs w:val="24"/>
          <w:lang w:val="en-US"/>
        </w:rPr>
        <w:tab/>
      </w:r>
      <w:r w:rsidRPr="00BC43FB">
        <w:rPr>
          <w:rFonts w:ascii="AvenirNext LT Pro Regular" w:hAnsi="AvenirNext LT Pro Regular"/>
          <w:sz w:val="24"/>
          <w:szCs w:val="24"/>
          <w:lang w:val="en-US"/>
        </w:rPr>
        <w:t>Brazilian social development is quite heterogeneous at the state level, which is also reflected in the health indicators of primary care. Brazil ha</w:t>
      </w:r>
      <w:r>
        <w:rPr>
          <w:rFonts w:ascii="AvenirNext LT Pro Regular" w:hAnsi="AvenirNext LT Pro Regular"/>
          <w:sz w:val="24"/>
          <w:szCs w:val="24"/>
          <w:lang w:val="en-US"/>
        </w:rPr>
        <w:t>d</w:t>
      </w:r>
      <w:r w:rsidRPr="00BC43FB">
        <w:rPr>
          <w:rFonts w:ascii="AvenirNext LT Pro Regular" w:hAnsi="AvenirNext LT Pro Regular"/>
          <w:sz w:val="24"/>
          <w:szCs w:val="24"/>
          <w:lang w:val="en-US"/>
        </w:rPr>
        <w:t xml:space="preserve"> 2.28% cases of diseases related to inadequate environmental sanitation (DRSAI) in the year 2021, while the state of Maranhão (10.38%) </w:t>
      </w:r>
      <w:r w:rsidR="000353B8">
        <w:rPr>
          <w:rFonts w:ascii="AvenirNext LT Pro Regular" w:hAnsi="AvenirNext LT Pro Regular"/>
          <w:sz w:val="24"/>
          <w:szCs w:val="24"/>
          <w:lang w:val="en-US"/>
        </w:rPr>
        <w:t>had</w:t>
      </w:r>
      <w:r w:rsidRPr="00BC43FB">
        <w:rPr>
          <w:rFonts w:ascii="AvenirNext LT Pro Regular" w:hAnsi="AvenirNext LT Pro Regular"/>
          <w:sz w:val="24"/>
          <w:szCs w:val="24"/>
          <w:lang w:val="en-US"/>
        </w:rPr>
        <w:t xml:space="preserve"> 17.59 times more cases than the state of Rio de Janeiro (0.59%). The same </w:t>
      </w:r>
      <w:r>
        <w:rPr>
          <w:rFonts w:ascii="AvenirNext LT Pro Regular" w:hAnsi="AvenirNext LT Pro Regular"/>
          <w:sz w:val="24"/>
          <w:szCs w:val="24"/>
          <w:lang w:val="en-US"/>
        </w:rPr>
        <w:t>tendency</w:t>
      </w:r>
      <w:r w:rsidRPr="00BC43FB">
        <w:rPr>
          <w:rFonts w:ascii="AvenirNext LT Pro Regular" w:hAnsi="AvenirNext LT Pro Regular"/>
          <w:sz w:val="24"/>
          <w:szCs w:val="24"/>
          <w:lang w:val="en-US"/>
        </w:rPr>
        <w:t xml:space="preserve"> also applies to other indicators.</w:t>
      </w:r>
      <w:r>
        <w:rPr>
          <w:rFonts w:ascii="AvenirNext LT Pro Regular" w:hAnsi="AvenirNext LT Pro Regular"/>
          <w:sz w:val="24"/>
          <w:szCs w:val="24"/>
          <w:lang w:val="en-US"/>
        </w:rPr>
        <w:t xml:space="preserve"> </w:t>
      </w:r>
      <w:r w:rsidRPr="00BC43FB">
        <w:rPr>
          <w:rFonts w:ascii="AvenirNext LT Pro Regular" w:hAnsi="AvenirNext LT Pro Regular"/>
          <w:sz w:val="24"/>
          <w:szCs w:val="24"/>
          <w:lang w:val="en-US"/>
        </w:rPr>
        <w:t xml:space="preserve">Hospitalizations for conditions sensitive to primary care (CSPC) in Brazil represent 21.13% of the total cases in this </w:t>
      </w:r>
      <w:r w:rsidR="000353B8">
        <w:rPr>
          <w:rFonts w:ascii="AvenirNext LT Pro Regular" w:hAnsi="AvenirNext LT Pro Regular"/>
          <w:sz w:val="24"/>
          <w:szCs w:val="24"/>
          <w:lang w:val="en-US"/>
        </w:rPr>
        <w:t>coverage area. However,</w:t>
      </w:r>
      <w:r w:rsidRPr="00BC43FB">
        <w:rPr>
          <w:rFonts w:ascii="AvenirNext LT Pro Regular" w:hAnsi="AvenirNext LT Pro Regular"/>
          <w:sz w:val="24"/>
          <w:szCs w:val="24"/>
          <w:lang w:val="en-US"/>
        </w:rPr>
        <w:t xml:space="preserve"> the state of Maranhão (32.39%) has more than twice as many hospitalizations as the Federal District (15.79%), </w:t>
      </w:r>
      <w:r w:rsidR="000353B8">
        <w:rPr>
          <w:rFonts w:ascii="AvenirNext LT Pro Regular" w:hAnsi="AvenirNext LT Pro Regular"/>
          <w:sz w:val="24"/>
          <w:szCs w:val="24"/>
          <w:lang w:val="en-US"/>
        </w:rPr>
        <w:t xml:space="preserve">a </w:t>
      </w:r>
      <w:r w:rsidRPr="00BC43FB">
        <w:rPr>
          <w:rFonts w:ascii="AvenirNext LT Pro Regular" w:hAnsi="AvenirNext LT Pro Regular"/>
          <w:sz w:val="24"/>
          <w:szCs w:val="24"/>
          <w:lang w:val="en-US"/>
        </w:rPr>
        <w:t xml:space="preserve">state in another region </w:t>
      </w:r>
      <w:r w:rsidRPr="00BC43FB">
        <w:rPr>
          <w:rFonts w:ascii="AvenirNext LT Pro Regular" w:hAnsi="AvenirNext LT Pro Regular"/>
          <w:sz w:val="24"/>
          <w:szCs w:val="24"/>
          <w:lang w:val="en-US"/>
        </w:rPr>
        <w:lastRenderedPageBreak/>
        <w:t>(</w:t>
      </w:r>
      <w:proofErr w:type="spellStart"/>
      <w:r w:rsidRPr="00BC43FB">
        <w:rPr>
          <w:rFonts w:ascii="AvenirNext LT Pro Regular" w:hAnsi="AvenirNext LT Pro Regular"/>
          <w:sz w:val="24"/>
          <w:szCs w:val="24"/>
          <w:lang w:val="en-US"/>
        </w:rPr>
        <w:t>midwest</w:t>
      </w:r>
      <w:proofErr w:type="spellEnd"/>
      <w:r w:rsidRPr="00BC43FB">
        <w:rPr>
          <w:rFonts w:ascii="AvenirNext LT Pro Regular" w:hAnsi="AvenirNext LT Pro Regular"/>
          <w:sz w:val="24"/>
          <w:szCs w:val="24"/>
          <w:lang w:val="en-US"/>
        </w:rPr>
        <w:t xml:space="preserve">), and Rio Grande do Norte (15.85%), </w:t>
      </w:r>
      <w:r w:rsidR="000353B8">
        <w:rPr>
          <w:rFonts w:ascii="AvenirNext LT Pro Regular" w:hAnsi="AvenirNext LT Pro Regular"/>
          <w:sz w:val="24"/>
          <w:szCs w:val="24"/>
          <w:lang w:val="en-US"/>
        </w:rPr>
        <w:t xml:space="preserve">a </w:t>
      </w:r>
      <w:r w:rsidRPr="00BC43FB">
        <w:rPr>
          <w:rFonts w:ascii="AvenirNext LT Pro Regular" w:hAnsi="AvenirNext LT Pro Regular"/>
          <w:sz w:val="24"/>
          <w:szCs w:val="24"/>
          <w:lang w:val="en-US"/>
        </w:rPr>
        <w:t>state in the same region (northeas</w:t>
      </w:r>
      <w:r>
        <w:rPr>
          <w:rFonts w:ascii="AvenirNext LT Pro Regular" w:hAnsi="AvenirNext LT Pro Regular"/>
          <w:sz w:val="24"/>
          <w:szCs w:val="24"/>
          <w:lang w:val="en-US"/>
        </w:rPr>
        <w:t>t).</w:t>
      </w:r>
    </w:p>
    <w:p w14:paraId="76AC2490" w14:textId="251F8616" w:rsidR="00BC43FB" w:rsidRPr="00BC43FB" w:rsidRDefault="00BC43FB" w:rsidP="00BC43FB">
      <w:pPr>
        <w:spacing w:after="0" w:line="360" w:lineRule="auto"/>
        <w:ind w:firstLine="708"/>
        <w:jc w:val="both"/>
        <w:rPr>
          <w:rFonts w:ascii="AvenirNext LT Pro Regular" w:hAnsi="AvenirNext LT Pro Regular"/>
          <w:sz w:val="24"/>
          <w:szCs w:val="24"/>
          <w:lang w:val="en-US"/>
        </w:rPr>
      </w:pPr>
      <w:r w:rsidRPr="00BC43FB">
        <w:rPr>
          <w:rFonts w:ascii="AvenirNext LT Pro Regular" w:hAnsi="AvenirNext LT Pro Regular"/>
          <w:sz w:val="24"/>
          <w:szCs w:val="24"/>
          <w:lang w:val="en-US"/>
        </w:rPr>
        <w:t xml:space="preserve">Regarding life expectancy </w:t>
      </w:r>
      <w:r>
        <w:rPr>
          <w:rFonts w:ascii="AvenirNext LT Pro Regular" w:hAnsi="AvenirNext LT Pro Regular"/>
          <w:sz w:val="24"/>
          <w:szCs w:val="24"/>
          <w:lang w:val="en-US"/>
        </w:rPr>
        <w:t>at birth</w:t>
      </w:r>
      <w:r w:rsidRPr="00BC43FB">
        <w:rPr>
          <w:rFonts w:ascii="AvenirNext LT Pro Regular" w:hAnsi="AvenirNext LT Pro Regular"/>
          <w:sz w:val="24"/>
          <w:szCs w:val="24"/>
          <w:lang w:val="en-US"/>
        </w:rPr>
        <w:t>, Brazil presents a more homogeneous indicator (75.99 years)</w:t>
      </w:r>
      <w:r w:rsidR="000353B8">
        <w:rPr>
          <w:rFonts w:ascii="AvenirNext LT Pro Regular" w:hAnsi="AvenirNext LT Pro Regular"/>
          <w:sz w:val="24"/>
          <w:szCs w:val="24"/>
          <w:lang w:val="en-US"/>
        </w:rPr>
        <w:t>,</w:t>
      </w:r>
      <w:r w:rsidRPr="00BC43FB">
        <w:rPr>
          <w:rFonts w:ascii="AvenirNext LT Pro Regular" w:hAnsi="AvenirNext LT Pro Regular"/>
          <w:sz w:val="24"/>
          <w:szCs w:val="24"/>
          <w:lang w:val="en-US"/>
        </w:rPr>
        <w:t xml:space="preserve"> and that does not have so many distortions at the state level. Infant mortality, on the other hand, is quite irregular in Brazil. The states of Amapá (north) and Maranhão (northeast) present rates of 23.03 and 20.32, respectively. While the states of the southern region (Paraná, Santa Catarina</w:t>
      </w:r>
      <w:r w:rsidR="000353B8">
        <w:rPr>
          <w:rFonts w:ascii="AvenirNext LT Pro Regular" w:hAnsi="AvenirNext LT Pro Regular"/>
          <w:sz w:val="24"/>
          <w:szCs w:val="24"/>
          <w:lang w:val="en-US"/>
        </w:rPr>
        <w:t>,</w:t>
      </w:r>
      <w:r w:rsidRPr="00BC43FB">
        <w:rPr>
          <w:rFonts w:ascii="AvenirNext LT Pro Regular" w:hAnsi="AvenirNext LT Pro Regular"/>
          <w:sz w:val="24"/>
          <w:szCs w:val="24"/>
          <w:lang w:val="en-US"/>
        </w:rPr>
        <w:t xml:space="preserve"> and Rio Grande do Sul) present more than half with values between 8 and 10. The inverse behavior applies to the aging rate, with the states of the southern region with values greater than twice the presented in the North and Northeast regions.</w:t>
      </w:r>
    </w:p>
    <w:p w14:paraId="53B715B8" w14:textId="086D0749" w:rsidR="00BC43FB" w:rsidRDefault="00E06EDE" w:rsidP="00E06EDE">
      <w:pPr>
        <w:spacing w:after="0" w:line="360" w:lineRule="auto"/>
        <w:ind w:firstLine="708"/>
        <w:jc w:val="both"/>
        <w:rPr>
          <w:rFonts w:ascii="AvenirNext LT Pro Regular" w:hAnsi="AvenirNext LT Pro Regular"/>
          <w:sz w:val="24"/>
          <w:szCs w:val="24"/>
          <w:lang w:val="en-US"/>
        </w:rPr>
      </w:pPr>
      <w:r w:rsidRPr="00E06EDE">
        <w:rPr>
          <w:rFonts w:ascii="AvenirNext LT Pro Regular" w:hAnsi="AvenirNext LT Pro Regular"/>
          <w:sz w:val="24"/>
          <w:szCs w:val="24"/>
          <w:lang w:val="en-US"/>
        </w:rPr>
        <w:t>Thus, the division by regions does not represent a faithful portrait of the structural differences between the Brazilian states in most social indicators, which is why the individual analysis of each federative unit becomes more appropriate. This analysis is also justified by observing the human development ind</w:t>
      </w:r>
      <w:r>
        <w:rPr>
          <w:rFonts w:ascii="AvenirNext LT Pro Regular" w:hAnsi="AvenirNext LT Pro Regular"/>
          <w:sz w:val="24"/>
          <w:szCs w:val="24"/>
          <w:lang w:val="en-US"/>
        </w:rPr>
        <w:t>ex</w:t>
      </w:r>
      <w:r w:rsidRPr="00E06EDE">
        <w:rPr>
          <w:rFonts w:ascii="AvenirNext LT Pro Regular" w:hAnsi="AvenirNext LT Pro Regular"/>
          <w:sz w:val="24"/>
          <w:szCs w:val="24"/>
          <w:lang w:val="en-US"/>
        </w:rPr>
        <w:t xml:space="preserve">, which </w:t>
      </w:r>
      <w:r w:rsidR="000353B8">
        <w:rPr>
          <w:rFonts w:ascii="AvenirNext LT Pro Regular" w:hAnsi="AvenirNext LT Pro Regular"/>
          <w:sz w:val="24"/>
          <w:szCs w:val="24"/>
          <w:lang w:val="en-US"/>
        </w:rPr>
        <w:t>points</w:t>
      </w:r>
      <w:r w:rsidRPr="00E06EDE">
        <w:rPr>
          <w:rFonts w:ascii="AvenirNext LT Pro Regular" w:hAnsi="AvenirNext LT Pro Regular"/>
          <w:sz w:val="24"/>
          <w:szCs w:val="24"/>
          <w:lang w:val="en-US"/>
        </w:rPr>
        <w:t xml:space="preserve"> to a high quality of life in some states in the south, </w:t>
      </w:r>
      <w:proofErr w:type="spellStart"/>
      <w:r>
        <w:rPr>
          <w:rFonts w:ascii="AvenirNext LT Pro Regular" w:hAnsi="AvenirNext LT Pro Regular"/>
          <w:sz w:val="24"/>
          <w:szCs w:val="24"/>
          <w:lang w:val="en-US"/>
        </w:rPr>
        <w:t>mid</w:t>
      </w:r>
      <w:r w:rsidRPr="00E06EDE">
        <w:rPr>
          <w:rFonts w:ascii="AvenirNext LT Pro Regular" w:hAnsi="AvenirNext LT Pro Regular"/>
          <w:sz w:val="24"/>
          <w:szCs w:val="24"/>
          <w:lang w:val="en-US"/>
        </w:rPr>
        <w:t>west</w:t>
      </w:r>
      <w:proofErr w:type="spellEnd"/>
      <w:r w:rsidR="000353B8">
        <w:rPr>
          <w:rFonts w:ascii="AvenirNext LT Pro Regular" w:hAnsi="AvenirNext LT Pro Regular"/>
          <w:sz w:val="24"/>
          <w:szCs w:val="24"/>
          <w:lang w:val="en-US"/>
        </w:rPr>
        <w:t>,</w:t>
      </w:r>
      <w:r w:rsidRPr="00E06EDE">
        <w:rPr>
          <w:rFonts w:ascii="AvenirNext LT Pro Regular" w:hAnsi="AvenirNext LT Pro Regular"/>
          <w:sz w:val="24"/>
          <w:szCs w:val="24"/>
          <w:lang w:val="en-US"/>
        </w:rPr>
        <w:t xml:space="preserve"> and southeast regions but also </w:t>
      </w:r>
      <w:r w:rsidR="000353B8">
        <w:rPr>
          <w:rFonts w:ascii="AvenirNext LT Pro Regular" w:hAnsi="AvenirNext LT Pro Regular"/>
          <w:sz w:val="24"/>
          <w:szCs w:val="24"/>
          <w:lang w:val="en-US"/>
        </w:rPr>
        <w:t>indicates</w:t>
      </w:r>
      <w:r w:rsidRPr="00E06EDE">
        <w:rPr>
          <w:rFonts w:ascii="AvenirNext LT Pro Regular" w:hAnsi="AvenirNext LT Pro Regular"/>
          <w:sz w:val="24"/>
          <w:szCs w:val="24"/>
          <w:lang w:val="en-US"/>
        </w:rPr>
        <w:t xml:space="preserve"> other states in the same regions with </w:t>
      </w:r>
      <w:r>
        <w:rPr>
          <w:rFonts w:ascii="AvenirNext LT Pro Regular" w:hAnsi="AvenirNext LT Pro Regular"/>
          <w:sz w:val="24"/>
          <w:szCs w:val="24"/>
          <w:lang w:val="en-US"/>
        </w:rPr>
        <w:t>medium</w:t>
      </w:r>
      <w:r w:rsidRPr="00E06EDE">
        <w:rPr>
          <w:rFonts w:ascii="AvenirNext LT Pro Regular" w:hAnsi="AvenirNext LT Pro Regular"/>
          <w:sz w:val="24"/>
          <w:szCs w:val="24"/>
          <w:lang w:val="en-US"/>
        </w:rPr>
        <w:t xml:space="preserve"> quality of life. Similarly, the </w:t>
      </w:r>
      <w:r w:rsidR="00A319EE">
        <w:rPr>
          <w:rFonts w:ascii="AvenirNext LT Pro Regular" w:hAnsi="AvenirNext LT Pro Regular"/>
          <w:sz w:val="24"/>
          <w:szCs w:val="24"/>
          <w:lang w:val="en-US"/>
        </w:rPr>
        <w:t>n</w:t>
      </w:r>
      <w:r w:rsidRPr="00E06EDE">
        <w:rPr>
          <w:rFonts w:ascii="AvenirNext LT Pro Regular" w:hAnsi="AvenirNext LT Pro Regular"/>
          <w:sz w:val="24"/>
          <w:szCs w:val="24"/>
          <w:lang w:val="en-US"/>
        </w:rPr>
        <w:t xml:space="preserve">orth and </w:t>
      </w:r>
      <w:r w:rsidR="00A319EE">
        <w:rPr>
          <w:rFonts w:ascii="AvenirNext LT Pro Regular" w:hAnsi="AvenirNext LT Pro Regular"/>
          <w:sz w:val="24"/>
          <w:szCs w:val="24"/>
          <w:lang w:val="en-US"/>
        </w:rPr>
        <w:t>n</w:t>
      </w:r>
      <w:r w:rsidRPr="00E06EDE">
        <w:rPr>
          <w:rFonts w:ascii="AvenirNext LT Pro Regular" w:hAnsi="AvenirNext LT Pro Regular"/>
          <w:sz w:val="24"/>
          <w:szCs w:val="24"/>
          <w:lang w:val="en-US"/>
        </w:rPr>
        <w:t xml:space="preserve">ortheast regions contain states with </w:t>
      </w:r>
      <w:r>
        <w:rPr>
          <w:rFonts w:ascii="AvenirNext LT Pro Regular" w:hAnsi="AvenirNext LT Pro Regular"/>
          <w:sz w:val="24"/>
          <w:szCs w:val="24"/>
          <w:lang w:val="en-US"/>
        </w:rPr>
        <w:t>medium</w:t>
      </w:r>
      <w:r w:rsidRPr="00E06EDE">
        <w:rPr>
          <w:rFonts w:ascii="AvenirNext LT Pro Regular" w:hAnsi="AvenirNext LT Pro Regular"/>
          <w:sz w:val="24"/>
          <w:szCs w:val="24"/>
          <w:lang w:val="en-US"/>
        </w:rPr>
        <w:t xml:space="preserve"> quality of life but with significant variations within the category.</w:t>
      </w:r>
    </w:p>
    <w:p w14:paraId="2A7B1FA7" w14:textId="77777777" w:rsidR="00E06EDE" w:rsidRDefault="00E06EDE" w:rsidP="00E06EDE">
      <w:pPr>
        <w:spacing w:after="0" w:line="360" w:lineRule="auto"/>
        <w:ind w:firstLine="708"/>
        <w:jc w:val="both"/>
        <w:rPr>
          <w:rFonts w:ascii="AvenirNext LT Pro Regular" w:hAnsi="AvenirNext LT Pro Regular"/>
          <w:sz w:val="24"/>
          <w:szCs w:val="24"/>
          <w:lang w:val="en-US"/>
        </w:rPr>
      </w:pPr>
    </w:p>
    <w:p w14:paraId="0A88F3F4" w14:textId="07B801AC" w:rsidR="00BC43FB" w:rsidRPr="00BC43FB" w:rsidRDefault="00BC43FB" w:rsidP="00BC43FB">
      <w:pPr>
        <w:spacing w:after="0" w:line="360" w:lineRule="auto"/>
        <w:jc w:val="both"/>
        <w:rPr>
          <w:rFonts w:ascii="AvenirNext LT Pro Regular" w:hAnsi="AvenirNext LT Pro Regular"/>
          <w:sz w:val="24"/>
          <w:szCs w:val="24"/>
          <w:lang w:val="en-US"/>
        </w:rPr>
      </w:pPr>
      <w:r>
        <w:rPr>
          <w:rFonts w:ascii="AvenirNext LT Pro Regular" w:hAnsi="AvenirNext LT Pro Regular"/>
          <w:b/>
          <w:bCs/>
          <w:sz w:val="24"/>
          <w:szCs w:val="24"/>
          <w:lang w:val="en-US"/>
        </w:rPr>
        <w:t>E</w:t>
      </w:r>
      <w:r w:rsidRPr="00BC43FB">
        <w:rPr>
          <w:rFonts w:ascii="AvenirNext LT Pro Regular" w:hAnsi="AvenirNext LT Pro Regular"/>
          <w:b/>
          <w:bCs/>
          <w:sz w:val="24"/>
          <w:szCs w:val="24"/>
          <w:lang w:val="en-US"/>
        </w:rPr>
        <w:t>ducation indicators</w:t>
      </w:r>
    </w:p>
    <w:p w14:paraId="7A8320C5" w14:textId="70D65A31" w:rsidR="00BC43FB" w:rsidRDefault="00BC43FB" w:rsidP="00BC43FB">
      <w:pPr>
        <w:spacing w:after="0" w:line="360" w:lineRule="auto"/>
        <w:ind w:firstLine="708"/>
        <w:jc w:val="both"/>
        <w:rPr>
          <w:rFonts w:ascii="AvenirNext LT Pro Regular" w:hAnsi="AvenirNext LT Pro Regular"/>
          <w:sz w:val="24"/>
          <w:szCs w:val="24"/>
          <w:lang w:val="en-US"/>
        </w:rPr>
      </w:pPr>
      <w:r w:rsidRPr="00BC43FB">
        <w:rPr>
          <w:rFonts w:ascii="AvenirNext LT Pro Regular" w:hAnsi="AvenirNext LT Pro Regular"/>
          <w:sz w:val="24"/>
          <w:szCs w:val="24"/>
          <w:lang w:val="en-US"/>
        </w:rPr>
        <w:t>About education indicators, state discrepancies become even more visible. The Brazilian illiteracy rate corresponds to 7.52</w:t>
      </w:r>
      <w:r w:rsidR="00AF52EA">
        <w:rPr>
          <w:rFonts w:ascii="AvenirNext LT Pro Regular" w:hAnsi="AvenirNext LT Pro Regular"/>
          <w:sz w:val="24"/>
          <w:szCs w:val="24"/>
          <w:lang w:val="en-US"/>
        </w:rPr>
        <w:t>. However,</w:t>
      </w:r>
      <w:r w:rsidRPr="00BC43FB">
        <w:rPr>
          <w:rFonts w:ascii="AvenirNext LT Pro Regular" w:hAnsi="AvenirNext LT Pro Regular"/>
          <w:sz w:val="24"/>
          <w:szCs w:val="24"/>
          <w:lang w:val="en-US"/>
        </w:rPr>
        <w:t xml:space="preserve"> the state of Alagoas (19.47)</w:t>
      </w:r>
      <w:r w:rsidR="00AF52EA">
        <w:rPr>
          <w:rFonts w:ascii="AvenirNext LT Pro Regular" w:hAnsi="AvenirNext LT Pro Regular"/>
          <w:sz w:val="24"/>
          <w:szCs w:val="24"/>
          <w:lang w:val="en-US"/>
        </w:rPr>
        <w:t xml:space="preserve">, </w:t>
      </w:r>
      <w:r w:rsidRPr="00BC43FB">
        <w:rPr>
          <w:rFonts w:ascii="AvenirNext LT Pro Regular" w:hAnsi="AvenirNext LT Pro Regular"/>
          <w:sz w:val="24"/>
          <w:szCs w:val="24"/>
          <w:lang w:val="en-US"/>
        </w:rPr>
        <w:t xml:space="preserve">in the northeast region, has an indicator seven times higher than Rio de </w:t>
      </w:r>
      <w:r w:rsidR="000353B8">
        <w:rPr>
          <w:rFonts w:ascii="AvenirNext LT Pro Regular" w:hAnsi="AvenirNext LT Pro Regular"/>
          <w:sz w:val="24"/>
          <w:szCs w:val="24"/>
          <w:lang w:val="en-US"/>
        </w:rPr>
        <w:t>Janeiro's</w:t>
      </w:r>
      <w:r w:rsidRPr="00BC43FB">
        <w:rPr>
          <w:rFonts w:ascii="AvenirNext LT Pro Regular" w:hAnsi="AvenirNext LT Pro Regular"/>
          <w:sz w:val="24"/>
          <w:szCs w:val="24"/>
          <w:lang w:val="en-US"/>
        </w:rPr>
        <w:t xml:space="preserve"> </w:t>
      </w:r>
      <w:r>
        <w:rPr>
          <w:rFonts w:ascii="AvenirNext LT Pro Regular" w:hAnsi="AvenirNext LT Pro Regular"/>
          <w:sz w:val="24"/>
          <w:szCs w:val="24"/>
          <w:lang w:val="en-US"/>
        </w:rPr>
        <w:t xml:space="preserve">rate </w:t>
      </w:r>
      <w:r w:rsidRPr="00BC43FB">
        <w:rPr>
          <w:rFonts w:ascii="AvenirNext LT Pro Regular" w:hAnsi="AvenirNext LT Pro Regular"/>
          <w:sz w:val="24"/>
          <w:szCs w:val="24"/>
          <w:lang w:val="en-US"/>
        </w:rPr>
        <w:t xml:space="preserve">(2.74), a state in the southeast region. </w:t>
      </w:r>
      <w:r w:rsidR="00A319EE" w:rsidRPr="00A319EE">
        <w:rPr>
          <w:rFonts w:ascii="AvenirNext LT Pro Regular" w:hAnsi="AvenirNext LT Pro Regular"/>
          <w:sz w:val="24"/>
          <w:szCs w:val="24"/>
          <w:lang w:val="en-US"/>
        </w:rPr>
        <w:t xml:space="preserve">The same occurs with the age-grade delay, </w:t>
      </w:r>
      <w:r w:rsidR="000353B8">
        <w:rPr>
          <w:rFonts w:ascii="AvenirNext LT Pro Regular" w:hAnsi="AvenirNext LT Pro Regular"/>
          <w:sz w:val="24"/>
          <w:szCs w:val="24"/>
          <w:lang w:val="en-US"/>
        </w:rPr>
        <w:t xml:space="preserve">in </w:t>
      </w:r>
      <w:r w:rsidR="00A319EE" w:rsidRPr="00A319EE">
        <w:rPr>
          <w:rFonts w:ascii="AvenirNext LT Pro Regular" w:hAnsi="AvenirNext LT Pro Regular"/>
          <w:sz w:val="24"/>
          <w:szCs w:val="24"/>
          <w:lang w:val="en-US"/>
        </w:rPr>
        <w:t xml:space="preserve">which Alagoas presents a delay (17.34%) four times higher than that </w:t>
      </w:r>
      <w:r w:rsidR="000353B8">
        <w:rPr>
          <w:rFonts w:ascii="AvenirNext LT Pro Regular" w:hAnsi="AvenirNext LT Pro Regular"/>
          <w:sz w:val="24"/>
          <w:szCs w:val="24"/>
          <w:lang w:val="en-US"/>
        </w:rPr>
        <w:t>shown</w:t>
      </w:r>
      <w:r w:rsidR="00A319EE" w:rsidRPr="00A319EE">
        <w:rPr>
          <w:rFonts w:ascii="AvenirNext LT Pro Regular" w:hAnsi="AvenirNext LT Pro Regular"/>
          <w:sz w:val="24"/>
          <w:szCs w:val="24"/>
          <w:lang w:val="en-US"/>
        </w:rPr>
        <w:t xml:space="preserve"> in Rio de Janeiro (4.1%).</w:t>
      </w:r>
    </w:p>
    <w:p w14:paraId="27E35831" w14:textId="77777777" w:rsidR="000353B8" w:rsidRPr="00A319EE" w:rsidRDefault="000353B8" w:rsidP="00BC43FB">
      <w:pPr>
        <w:spacing w:after="0" w:line="360" w:lineRule="auto"/>
        <w:ind w:firstLine="708"/>
        <w:jc w:val="both"/>
        <w:rPr>
          <w:rFonts w:ascii="AvenirNext LT Pro Regular" w:hAnsi="AvenirNext LT Pro Regular"/>
          <w:sz w:val="24"/>
          <w:szCs w:val="24"/>
          <w:lang w:val="en-US"/>
        </w:rPr>
      </w:pPr>
    </w:p>
    <w:p w14:paraId="2E5CDA05" w14:textId="7A50487A" w:rsidR="00A319EE" w:rsidRDefault="00A319EE" w:rsidP="00A319EE">
      <w:pPr>
        <w:spacing w:after="0" w:line="360" w:lineRule="auto"/>
        <w:jc w:val="both"/>
        <w:rPr>
          <w:rFonts w:ascii="AvenirNext LT Pro Regular" w:hAnsi="AvenirNext LT Pro Regular"/>
          <w:b/>
          <w:bCs/>
          <w:sz w:val="24"/>
          <w:szCs w:val="24"/>
          <w:lang w:val="en-US"/>
        </w:rPr>
      </w:pPr>
      <w:r>
        <w:rPr>
          <w:rFonts w:ascii="AvenirNext LT Pro Regular" w:hAnsi="AvenirNext LT Pro Regular"/>
          <w:b/>
          <w:bCs/>
          <w:sz w:val="24"/>
          <w:szCs w:val="24"/>
          <w:lang w:val="en-US"/>
        </w:rPr>
        <w:t>Economic development</w:t>
      </w:r>
    </w:p>
    <w:p w14:paraId="69C440D3" w14:textId="7993F52A" w:rsidR="00A319EE" w:rsidRPr="000353B8" w:rsidRDefault="00A319EE" w:rsidP="000353B8">
      <w:pPr>
        <w:spacing w:after="0" w:line="360" w:lineRule="auto"/>
        <w:ind w:firstLine="708"/>
        <w:jc w:val="both"/>
        <w:rPr>
          <w:rFonts w:ascii="AvenirNext LT Pro Regular" w:hAnsi="AvenirNext LT Pro Regular"/>
          <w:sz w:val="24"/>
          <w:szCs w:val="24"/>
          <w:lang w:val="en-US"/>
        </w:rPr>
      </w:pPr>
      <w:r w:rsidRPr="00A319EE">
        <w:rPr>
          <w:rFonts w:ascii="AvenirNext LT Pro Regular" w:hAnsi="AvenirNext LT Pro Regular"/>
          <w:sz w:val="24"/>
          <w:szCs w:val="24"/>
          <w:lang w:val="en-US"/>
        </w:rPr>
        <w:t>Brazil has a very heterogeneous behavior</w:t>
      </w:r>
      <w:r>
        <w:rPr>
          <w:rFonts w:ascii="AvenirNext LT Pro Regular" w:hAnsi="AvenirNext LT Pro Regular"/>
          <w:sz w:val="24"/>
          <w:szCs w:val="24"/>
          <w:lang w:val="en-US"/>
        </w:rPr>
        <w:t xml:space="preserve"> in</w:t>
      </w:r>
      <w:r w:rsidRPr="00A319EE">
        <w:rPr>
          <w:rFonts w:ascii="AvenirNext LT Pro Regular" w:hAnsi="AvenirNext LT Pro Regular"/>
          <w:sz w:val="24"/>
          <w:szCs w:val="24"/>
          <w:lang w:val="en-US"/>
        </w:rPr>
        <w:t xml:space="preserve"> economic indicators, as shown in the descriptions of the states. For this reason, the dependency ratio </w:t>
      </w:r>
      <w:r w:rsidRPr="00A319EE">
        <w:rPr>
          <w:rFonts w:ascii="AvenirNext LT Pro Regular" w:hAnsi="AvenirNext LT Pro Regular"/>
          <w:sz w:val="24"/>
          <w:szCs w:val="24"/>
          <w:lang w:val="en-US"/>
        </w:rPr>
        <w:lastRenderedPageBreak/>
        <w:t>is higher in states with lower per capita income, such as Maranhão (52.18 and 387.3, respectively)</w:t>
      </w:r>
      <w:r w:rsidR="000353B8">
        <w:rPr>
          <w:rFonts w:ascii="AvenirNext LT Pro Regular" w:hAnsi="AvenirNext LT Pro Regular"/>
          <w:sz w:val="24"/>
          <w:szCs w:val="24"/>
          <w:lang w:val="en-US"/>
        </w:rPr>
        <w:t>,</w:t>
      </w:r>
      <w:r w:rsidRPr="00A319EE">
        <w:rPr>
          <w:rFonts w:ascii="AvenirNext LT Pro Regular" w:hAnsi="AvenirNext LT Pro Regular"/>
          <w:sz w:val="24"/>
          <w:szCs w:val="24"/>
          <w:lang w:val="en-US"/>
        </w:rPr>
        <w:t xml:space="preserve"> which has a dependency ratio 33% higher and a per capita income twice as low compared to Santa Catarina (39.09 and 1044, respectively), a state with opposite characteristics. </w:t>
      </w:r>
      <w:r w:rsidR="000353B8" w:rsidRPr="00A319EE">
        <w:rPr>
          <w:rFonts w:ascii="AvenirNext LT Pro Regular" w:hAnsi="AvenirNext LT Pro Regular"/>
          <w:sz w:val="24"/>
          <w:szCs w:val="24"/>
          <w:lang w:val="en-US"/>
        </w:rPr>
        <w:t>Specifically,</w:t>
      </w:r>
      <w:r>
        <w:rPr>
          <w:rFonts w:ascii="AvenirNext LT Pro Regular" w:hAnsi="AvenirNext LT Pro Regular"/>
          <w:sz w:val="24"/>
          <w:szCs w:val="24"/>
          <w:lang w:val="en-US"/>
        </w:rPr>
        <w:t xml:space="preserve"> </w:t>
      </w:r>
      <w:r w:rsidR="000353B8">
        <w:rPr>
          <w:rFonts w:ascii="AvenirNext LT Pro Regular" w:hAnsi="AvenirNext LT Pro Regular"/>
          <w:sz w:val="24"/>
          <w:szCs w:val="24"/>
          <w:lang w:val="en-US"/>
        </w:rPr>
        <w:t>regarding</w:t>
      </w:r>
      <w:r>
        <w:rPr>
          <w:rFonts w:ascii="AvenirNext LT Pro Regular" w:hAnsi="AvenirNext LT Pro Regular"/>
          <w:sz w:val="24"/>
          <w:szCs w:val="24"/>
          <w:lang w:val="en-US"/>
        </w:rPr>
        <w:t xml:space="preserve"> </w:t>
      </w:r>
      <w:r w:rsidRPr="00A319EE">
        <w:rPr>
          <w:rFonts w:ascii="AvenirNext LT Pro Regular" w:hAnsi="AvenirNext LT Pro Regular"/>
          <w:sz w:val="24"/>
          <w:szCs w:val="24"/>
          <w:lang w:val="en-US"/>
        </w:rPr>
        <w:t xml:space="preserve">poverty and income inequality, the </w:t>
      </w:r>
      <w:r w:rsidR="000353B8">
        <w:rPr>
          <w:rFonts w:ascii="AvenirNext LT Pro Regular" w:hAnsi="AvenirNext LT Pro Regular"/>
          <w:sz w:val="24"/>
          <w:szCs w:val="24"/>
          <w:lang w:val="en-US"/>
        </w:rPr>
        <w:t>north and northeast states</w:t>
      </w:r>
      <w:r w:rsidRPr="00A319EE">
        <w:rPr>
          <w:rFonts w:ascii="AvenirNext LT Pro Regular" w:hAnsi="AvenirNext LT Pro Regular"/>
          <w:sz w:val="24"/>
          <w:szCs w:val="24"/>
          <w:lang w:val="en-US"/>
        </w:rPr>
        <w:t xml:space="preserve"> have higher poverty indicators than the other regions with similar behavior to the economic data, only with greater magnitude. </w:t>
      </w:r>
      <w:r w:rsidR="000353B8">
        <w:rPr>
          <w:rFonts w:ascii="AvenirNext LT Pro Regular" w:hAnsi="AvenirNext LT Pro Regular"/>
          <w:sz w:val="24"/>
          <w:szCs w:val="24"/>
          <w:lang w:val="en-US"/>
        </w:rPr>
        <w:t>For</w:t>
      </w:r>
      <w:r>
        <w:rPr>
          <w:rFonts w:ascii="AvenirNext LT Pro Regular" w:hAnsi="AvenirNext LT Pro Regular"/>
          <w:sz w:val="24"/>
          <w:szCs w:val="24"/>
          <w:lang w:val="en-US"/>
        </w:rPr>
        <w:t xml:space="preserve"> example, </w:t>
      </w:r>
      <w:r w:rsidRPr="00A319EE">
        <w:rPr>
          <w:rFonts w:ascii="AvenirNext LT Pro Regular" w:hAnsi="AvenirNext LT Pro Regular"/>
          <w:sz w:val="24"/>
          <w:szCs w:val="24"/>
          <w:lang w:val="en-US"/>
        </w:rPr>
        <w:t xml:space="preserve">Acre (27.11%) has </w:t>
      </w:r>
      <w:r w:rsidR="000353B8">
        <w:rPr>
          <w:rFonts w:ascii="AvenirNext LT Pro Regular" w:hAnsi="AvenirNext LT Pro Regular"/>
          <w:sz w:val="24"/>
          <w:szCs w:val="24"/>
          <w:lang w:val="en-US"/>
        </w:rPr>
        <w:t>a ten</w:t>
      </w:r>
      <w:r w:rsidRPr="00A319EE">
        <w:rPr>
          <w:rFonts w:ascii="AvenirNext LT Pro Regular" w:hAnsi="AvenirNext LT Pro Regular"/>
          <w:sz w:val="24"/>
          <w:szCs w:val="24"/>
          <w:lang w:val="en-US"/>
        </w:rPr>
        <w:t xml:space="preserve"> times more poor population than Santa Catarina (2.83%). However, the 10/40 ratio points to a different picture </w:t>
      </w:r>
      <w:r w:rsidR="000353B8">
        <w:rPr>
          <w:rFonts w:ascii="AvenirNext LT Pro Regular" w:hAnsi="AvenirNext LT Pro Regular"/>
          <w:sz w:val="24"/>
          <w:szCs w:val="24"/>
          <w:lang w:val="en-US"/>
        </w:rPr>
        <w:t>concerning</w:t>
      </w:r>
      <w:r w:rsidRPr="00A319EE">
        <w:rPr>
          <w:rFonts w:ascii="AvenirNext LT Pro Regular" w:hAnsi="AvenirNext LT Pro Regular"/>
          <w:sz w:val="24"/>
          <w:szCs w:val="24"/>
          <w:lang w:val="en-US"/>
        </w:rPr>
        <w:t xml:space="preserve"> the Southeast region, which has data close to states </w:t>
      </w:r>
      <w:r w:rsidR="000353B8">
        <w:rPr>
          <w:rFonts w:ascii="AvenirNext LT Pro Regular" w:hAnsi="AvenirNext LT Pro Regular"/>
          <w:sz w:val="24"/>
          <w:szCs w:val="24"/>
          <w:lang w:val="en-US"/>
        </w:rPr>
        <w:t>with</w:t>
      </w:r>
      <w:r w:rsidRPr="00A319EE">
        <w:rPr>
          <w:rFonts w:ascii="AvenirNext LT Pro Regular" w:hAnsi="AvenirNext LT Pro Regular"/>
          <w:sz w:val="24"/>
          <w:szCs w:val="24"/>
          <w:lang w:val="en-US"/>
        </w:rPr>
        <w:t xml:space="preserve"> a considered degree of poverty, showing income inequality in this region even with low poverty rates.</w:t>
      </w:r>
      <w:r w:rsidR="000353B8">
        <w:rPr>
          <w:rFonts w:ascii="AvenirNext LT Pro Regular" w:hAnsi="AvenirNext LT Pro Regular"/>
          <w:sz w:val="24"/>
          <w:szCs w:val="24"/>
          <w:lang w:val="en-US"/>
        </w:rPr>
        <w:t xml:space="preserve"> It</w:t>
      </w:r>
      <w:r w:rsidRPr="00A319EE">
        <w:rPr>
          <w:rFonts w:ascii="AvenirNext LT Pro Regular" w:hAnsi="AvenirNext LT Pro Regular"/>
          <w:sz w:val="24"/>
          <w:szCs w:val="24"/>
          <w:lang w:val="en-US"/>
        </w:rPr>
        <w:t xml:space="preserve"> is also reflected in the Gini </w:t>
      </w:r>
      <w:r w:rsidR="00AF52EA">
        <w:rPr>
          <w:rFonts w:ascii="AvenirNext LT Pro Regular" w:hAnsi="AvenirNext LT Pro Regular"/>
          <w:sz w:val="24"/>
          <w:szCs w:val="24"/>
          <w:lang w:val="en-US"/>
        </w:rPr>
        <w:t xml:space="preserve">index </w:t>
      </w:r>
      <w:r w:rsidRPr="00A319EE">
        <w:rPr>
          <w:rFonts w:ascii="AvenirNext LT Pro Regular" w:hAnsi="AvenirNext LT Pro Regular"/>
          <w:sz w:val="24"/>
          <w:szCs w:val="24"/>
          <w:lang w:val="en-US"/>
        </w:rPr>
        <w:t>and Theil-L ind</w:t>
      </w:r>
      <w:r w:rsidR="00AF52EA">
        <w:rPr>
          <w:rFonts w:ascii="AvenirNext LT Pro Regular" w:hAnsi="AvenirNext LT Pro Regular"/>
          <w:sz w:val="24"/>
          <w:szCs w:val="24"/>
          <w:lang w:val="en-US"/>
        </w:rPr>
        <w:t>ex</w:t>
      </w:r>
      <w:r w:rsidRPr="00A319EE">
        <w:rPr>
          <w:rFonts w:ascii="AvenirNext LT Pro Regular" w:hAnsi="AvenirNext LT Pro Regular"/>
          <w:sz w:val="24"/>
          <w:szCs w:val="24"/>
          <w:lang w:val="en-US"/>
        </w:rPr>
        <w:t xml:space="preserve">, with states in the </w:t>
      </w:r>
      <w:r w:rsidR="00AF52EA">
        <w:rPr>
          <w:rFonts w:ascii="AvenirNext LT Pro Regular" w:hAnsi="AvenirNext LT Pro Regular"/>
          <w:sz w:val="24"/>
          <w:szCs w:val="24"/>
          <w:lang w:val="en-US"/>
        </w:rPr>
        <w:t>s</w:t>
      </w:r>
      <w:r w:rsidRPr="00A319EE">
        <w:rPr>
          <w:rFonts w:ascii="AvenirNext LT Pro Regular" w:hAnsi="AvenirNext LT Pro Regular"/>
          <w:sz w:val="24"/>
          <w:szCs w:val="24"/>
          <w:lang w:val="en-US"/>
        </w:rPr>
        <w:t xml:space="preserve">outheast region having higher levels of income concentration than states in the </w:t>
      </w:r>
      <w:proofErr w:type="spellStart"/>
      <w:r w:rsidR="00AF52EA">
        <w:rPr>
          <w:rFonts w:ascii="AvenirNext LT Pro Regular" w:hAnsi="AvenirNext LT Pro Regular"/>
          <w:sz w:val="24"/>
          <w:szCs w:val="24"/>
          <w:lang w:val="en-US"/>
        </w:rPr>
        <w:t>m</w:t>
      </w:r>
      <w:r w:rsidRPr="00A319EE">
        <w:rPr>
          <w:rFonts w:ascii="AvenirNext LT Pro Regular" w:hAnsi="AvenirNext LT Pro Regular"/>
          <w:sz w:val="24"/>
          <w:szCs w:val="24"/>
          <w:lang w:val="en-US"/>
        </w:rPr>
        <w:t>idwest</w:t>
      </w:r>
      <w:proofErr w:type="spellEnd"/>
      <w:r w:rsidRPr="00A319EE">
        <w:rPr>
          <w:rFonts w:ascii="AvenirNext LT Pro Regular" w:hAnsi="AvenirNext LT Pro Regular"/>
          <w:sz w:val="24"/>
          <w:szCs w:val="24"/>
          <w:lang w:val="en-US"/>
        </w:rPr>
        <w:t xml:space="preserve"> region, a behavior different from that shown in other indicators.</w:t>
      </w:r>
    </w:p>
    <w:p w14:paraId="26F22952" w14:textId="256D362E" w:rsidR="00A319EE" w:rsidRPr="00A319EE" w:rsidRDefault="00A319EE" w:rsidP="004D17A7">
      <w:pPr>
        <w:spacing w:after="0" w:line="360" w:lineRule="auto"/>
        <w:jc w:val="center"/>
        <w:rPr>
          <w:rFonts w:ascii="AvenirNext LT Pro Regular" w:hAnsi="AvenirNext LT Pro Regular"/>
          <w:b/>
          <w:bCs/>
          <w:sz w:val="24"/>
          <w:szCs w:val="24"/>
          <w:lang w:val="en-US"/>
        </w:rPr>
        <w:sectPr w:rsidR="00A319EE" w:rsidRPr="00A319EE" w:rsidSect="00B7714B">
          <w:pgSz w:w="11906" w:h="16838"/>
          <w:pgMar w:top="1417" w:right="1701" w:bottom="1417" w:left="1701" w:header="708" w:footer="708" w:gutter="0"/>
          <w:cols w:space="708"/>
          <w:docGrid w:linePitch="360"/>
        </w:sectPr>
      </w:pPr>
    </w:p>
    <w:tbl>
      <w:tblPr>
        <w:tblW w:w="13347" w:type="dxa"/>
        <w:jc w:val="center"/>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555"/>
        <w:gridCol w:w="2551"/>
        <w:gridCol w:w="708"/>
        <w:gridCol w:w="708"/>
        <w:gridCol w:w="708"/>
        <w:gridCol w:w="730"/>
        <w:gridCol w:w="715"/>
        <w:gridCol w:w="708"/>
        <w:gridCol w:w="708"/>
        <w:gridCol w:w="708"/>
        <w:gridCol w:w="708"/>
        <w:gridCol w:w="735"/>
        <w:gridCol w:w="689"/>
        <w:gridCol w:w="708"/>
        <w:gridCol w:w="708"/>
      </w:tblGrid>
      <w:tr w:rsidR="000353B8" w:rsidRPr="00260D4F" w14:paraId="5B3DD6AE" w14:textId="77777777" w:rsidTr="000353B8">
        <w:trPr>
          <w:cantSplit/>
          <w:trHeight w:val="2124"/>
          <w:jc w:val="center"/>
        </w:trPr>
        <w:tc>
          <w:tcPr>
            <w:tcW w:w="1555" w:type="dxa"/>
            <w:tcBorders>
              <w:top w:val="single" w:sz="4" w:space="0" w:color="auto"/>
              <w:bottom w:val="single" w:sz="4" w:space="0" w:color="auto"/>
              <w:right w:val="single" w:sz="4" w:space="0" w:color="auto"/>
            </w:tcBorders>
            <w:shd w:val="clear" w:color="auto" w:fill="auto"/>
            <w:noWrap/>
            <w:vAlign w:val="bottom"/>
            <w:hideMark/>
          </w:tcPr>
          <w:p w14:paraId="36F67142" w14:textId="5FB7CEDF" w:rsidR="000353B8" w:rsidRPr="00260D4F" w:rsidRDefault="000353B8" w:rsidP="00834548">
            <w:pPr>
              <w:spacing w:after="0" w:line="240" w:lineRule="auto"/>
              <w:rPr>
                <w:rFonts w:ascii="AvenirNext LT Pro Regular" w:eastAsia="Times New Roman" w:hAnsi="AvenirNext LT Pro Regular" w:cs="Calibri"/>
                <w:b/>
                <w:bCs/>
                <w:color w:val="000000"/>
                <w:sz w:val="20"/>
                <w:szCs w:val="20"/>
                <w:lang w:eastAsia="pt-BR"/>
              </w:rPr>
            </w:pPr>
            <w:proofErr w:type="spellStart"/>
            <w:r w:rsidRPr="00260D4F">
              <w:rPr>
                <w:rFonts w:ascii="AvenirNext LT Pro Regular" w:eastAsia="Times New Roman" w:hAnsi="AvenirNext LT Pro Regular" w:cs="Calibri"/>
                <w:b/>
                <w:bCs/>
                <w:color w:val="000000"/>
                <w:sz w:val="20"/>
                <w:szCs w:val="20"/>
                <w:lang w:eastAsia="pt-BR"/>
              </w:rPr>
              <w:lastRenderedPageBreak/>
              <w:t>Region</w:t>
            </w:r>
            <w:proofErr w:type="spellEnd"/>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63C0C7" w14:textId="77777777" w:rsidR="000353B8" w:rsidRPr="00260D4F" w:rsidRDefault="000353B8" w:rsidP="00834548">
            <w:pPr>
              <w:spacing w:after="0" w:line="240" w:lineRule="auto"/>
              <w:jc w:val="center"/>
              <w:rPr>
                <w:rFonts w:ascii="AvenirNext LT Pro Regular" w:eastAsia="Times New Roman" w:hAnsi="AvenirNext LT Pro Regular" w:cs="Calibri"/>
                <w:b/>
                <w:bCs/>
                <w:color w:val="000000"/>
                <w:sz w:val="20"/>
                <w:szCs w:val="20"/>
                <w:lang w:eastAsia="pt-BR"/>
              </w:rPr>
            </w:pPr>
            <w:r w:rsidRPr="00260D4F">
              <w:rPr>
                <w:rFonts w:ascii="AvenirNext LT Pro Regular" w:eastAsia="Times New Roman" w:hAnsi="AvenirNext LT Pro Regular" w:cs="Calibri"/>
                <w:b/>
                <w:bCs/>
                <w:color w:val="000000"/>
                <w:sz w:val="20"/>
                <w:szCs w:val="20"/>
                <w:lang w:eastAsia="pt-BR"/>
              </w:rPr>
              <w:t>States</w:t>
            </w: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14:paraId="2ECC8DF8" w14:textId="17907987" w:rsidR="000353B8" w:rsidRPr="00260D4F" w:rsidRDefault="000353B8" w:rsidP="00834548">
            <w:pPr>
              <w:spacing w:after="0" w:line="240" w:lineRule="auto"/>
              <w:jc w:val="center"/>
              <w:rPr>
                <w:rFonts w:ascii="AvenirNext LT Pro Regular" w:hAnsi="AvenirNext LT Pro Regular"/>
                <w:b/>
                <w:bCs/>
                <w:sz w:val="20"/>
                <w:szCs w:val="20"/>
              </w:rPr>
            </w:pPr>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of</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hospitalizations</w:t>
            </w:r>
            <w:proofErr w:type="spellEnd"/>
            <w:r w:rsidRPr="00260D4F">
              <w:rPr>
                <w:rFonts w:ascii="AvenirNext LT Pro Regular" w:hAnsi="AvenirNext LT Pro Regular"/>
                <w:b/>
                <w:bCs/>
                <w:sz w:val="20"/>
                <w:szCs w:val="20"/>
              </w:rPr>
              <w:t xml:space="preserve"> for DRSAI</w:t>
            </w:r>
          </w:p>
          <w:p w14:paraId="38E756EE" w14:textId="1998A44F"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14:paraId="078E223B" w14:textId="1C92E8B1" w:rsidR="000353B8" w:rsidRPr="00260D4F" w:rsidRDefault="000353B8" w:rsidP="00834548">
            <w:pPr>
              <w:spacing w:after="0" w:line="240" w:lineRule="auto"/>
              <w:jc w:val="center"/>
              <w:rPr>
                <w:rFonts w:ascii="AvenirNext LT Pro Regular" w:hAnsi="AvenirNext LT Pro Regular"/>
                <w:b/>
                <w:bCs/>
                <w:sz w:val="20"/>
                <w:szCs w:val="20"/>
              </w:rPr>
            </w:pPr>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of</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hospitalizations</w:t>
            </w:r>
            <w:proofErr w:type="spellEnd"/>
            <w:r w:rsidRPr="00260D4F">
              <w:rPr>
                <w:rFonts w:ascii="AvenirNext LT Pro Regular" w:hAnsi="AvenirNext LT Pro Regular"/>
                <w:b/>
                <w:bCs/>
                <w:sz w:val="20"/>
                <w:szCs w:val="20"/>
              </w:rPr>
              <w:t xml:space="preserve"> for CSPC</w:t>
            </w:r>
          </w:p>
          <w:p w14:paraId="1DFEAAA0" w14:textId="7282A8F5"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14:paraId="600C31FF" w14:textId="4AF58E10" w:rsidR="000353B8" w:rsidRPr="00260D4F" w:rsidRDefault="000353B8" w:rsidP="00834548">
            <w:pPr>
              <w:spacing w:after="0" w:line="240" w:lineRule="auto"/>
              <w:jc w:val="center"/>
              <w:rPr>
                <w:rFonts w:ascii="AvenirNext LT Pro Regular" w:hAnsi="AvenirNext LT Pro Regular"/>
                <w:b/>
                <w:bCs/>
                <w:sz w:val="20"/>
                <w:szCs w:val="20"/>
              </w:rPr>
            </w:pPr>
            <w:r w:rsidRPr="00260D4F">
              <w:rPr>
                <w:rFonts w:ascii="AvenirNext LT Pro Regular" w:hAnsi="AvenirNext LT Pro Regular"/>
                <w:b/>
                <w:bCs/>
                <w:sz w:val="20"/>
                <w:szCs w:val="20"/>
              </w:rPr>
              <w:t xml:space="preserve">Life </w:t>
            </w:r>
            <w:proofErr w:type="spellStart"/>
            <w:r w:rsidRPr="00260D4F">
              <w:rPr>
                <w:rFonts w:ascii="AvenirNext LT Pro Regular" w:hAnsi="AvenirNext LT Pro Regular"/>
                <w:b/>
                <w:bCs/>
                <w:sz w:val="20"/>
                <w:szCs w:val="20"/>
              </w:rPr>
              <w:t>expectancy</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at</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birth</w:t>
            </w:r>
            <w:proofErr w:type="spellEnd"/>
          </w:p>
          <w:p w14:paraId="4DE47E83" w14:textId="27D6B24B"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30" w:type="dxa"/>
            <w:tcBorders>
              <w:top w:val="single" w:sz="4" w:space="0" w:color="auto"/>
              <w:left w:val="single" w:sz="4" w:space="0" w:color="auto"/>
              <w:bottom w:val="single" w:sz="4" w:space="0" w:color="auto"/>
              <w:right w:val="single" w:sz="4" w:space="0" w:color="auto"/>
            </w:tcBorders>
            <w:shd w:val="clear" w:color="auto" w:fill="auto"/>
            <w:textDirection w:val="btLr"/>
          </w:tcPr>
          <w:p w14:paraId="0C048964" w14:textId="4957EBC1" w:rsidR="000353B8" w:rsidRPr="00260D4F" w:rsidRDefault="000353B8" w:rsidP="00834548">
            <w:pPr>
              <w:spacing w:after="0" w:line="240" w:lineRule="auto"/>
              <w:jc w:val="center"/>
              <w:rPr>
                <w:rFonts w:ascii="AvenirNext LT Pro Regular" w:hAnsi="AvenirNext LT Pro Regular"/>
                <w:b/>
                <w:bCs/>
                <w:sz w:val="20"/>
                <w:szCs w:val="20"/>
              </w:rPr>
            </w:pPr>
            <w:proofErr w:type="spellStart"/>
            <w:r w:rsidRPr="00260D4F">
              <w:rPr>
                <w:rFonts w:ascii="AvenirNext LT Pro Regular" w:hAnsi="AvenirNext LT Pro Regular"/>
                <w:b/>
                <w:bCs/>
                <w:sz w:val="20"/>
                <w:szCs w:val="20"/>
              </w:rPr>
              <w:t>Infant</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mortality</w:t>
            </w:r>
            <w:proofErr w:type="spellEnd"/>
          </w:p>
          <w:p w14:paraId="51D63EE1" w14:textId="1516D42E"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15" w:type="dxa"/>
            <w:tcBorders>
              <w:top w:val="single" w:sz="4" w:space="0" w:color="auto"/>
              <w:left w:val="single" w:sz="4" w:space="0" w:color="auto"/>
              <w:bottom w:val="single" w:sz="4" w:space="0" w:color="auto"/>
              <w:right w:val="single" w:sz="4" w:space="0" w:color="auto"/>
            </w:tcBorders>
            <w:shd w:val="clear" w:color="auto" w:fill="auto"/>
            <w:textDirection w:val="btLr"/>
          </w:tcPr>
          <w:p w14:paraId="0E4AE722" w14:textId="4CFC3330" w:rsidR="000353B8" w:rsidRPr="00260D4F" w:rsidRDefault="000353B8" w:rsidP="00834548">
            <w:pPr>
              <w:spacing w:after="0" w:line="240" w:lineRule="auto"/>
              <w:jc w:val="center"/>
              <w:rPr>
                <w:rFonts w:ascii="AvenirNext LT Pro Regular" w:hAnsi="AvenirNext LT Pro Regular"/>
                <w:b/>
                <w:bCs/>
                <w:sz w:val="20"/>
                <w:szCs w:val="20"/>
              </w:rPr>
            </w:pPr>
            <w:proofErr w:type="spellStart"/>
            <w:r w:rsidRPr="00260D4F">
              <w:rPr>
                <w:rFonts w:ascii="AvenirNext LT Pro Regular" w:hAnsi="AvenirNext LT Pro Regular"/>
                <w:b/>
                <w:bCs/>
                <w:sz w:val="20"/>
                <w:szCs w:val="20"/>
              </w:rPr>
              <w:t>Aging</w:t>
            </w:r>
            <w:proofErr w:type="spellEnd"/>
            <w:r w:rsidRPr="00260D4F">
              <w:rPr>
                <w:rFonts w:ascii="AvenirNext LT Pro Regular" w:hAnsi="AvenirNext LT Pro Regular"/>
                <w:b/>
                <w:bCs/>
                <w:sz w:val="20"/>
                <w:szCs w:val="20"/>
              </w:rPr>
              <w:t xml:space="preserve"> rate</w:t>
            </w:r>
          </w:p>
          <w:p w14:paraId="23372F08" w14:textId="4E6F0B71"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14:paraId="75C0566C" w14:textId="02449DBF" w:rsidR="000353B8" w:rsidRPr="00260D4F" w:rsidRDefault="000353B8" w:rsidP="00834548">
            <w:pPr>
              <w:spacing w:after="0" w:line="240" w:lineRule="auto"/>
              <w:jc w:val="center"/>
              <w:rPr>
                <w:rFonts w:ascii="AvenirNext LT Pro Regular" w:hAnsi="AvenirNext LT Pro Regular"/>
                <w:b/>
                <w:bCs/>
                <w:sz w:val="20"/>
                <w:szCs w:val="20"/>
              </w:rPr>
            </w:pPr>
            <w:proofErr w:type="spellStart"/>
            <w:r w:rsidRPr="00260D4F">
              <w:rPr>
                <w:rFonts w:ascii="AvenirNext LT Pro Regular" w:hAnsi="AvenirNext LT Pro Regular"/>
                <w:b/>
                <w:bCs/>
                <w:sz w:val="20"/>
                <w:szCs w:val="20"/>
              </w:rPr>
              <w:t>Dependency</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ratio</w:t>
            </w:r>
            <w:proofErr w:type="spellEnd"/>
          </w:p>
          <w:p w14:paraId="171411F6" w14:textId="77DF593A"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14:paraId="6658BD43" w14:textId="1D644BAE" w:rsidR="000353B8" w:rsidRPr="00260D4F" w:rsidRDefault="000353B8" w:rsidP="00834548">
            <w:pPr>
              <w:spacing w:after="0" w:line="240" w:lineRule="auto"/>
              <w:jc w:val="center"/>
              <w:rPr>
                <w:rFonts w:ascii="AvenirNext LT Pro Regular" w:hAnsi="AvenirNext LT Pro Regular"/>
                <w:b/>
                <w:bCs/>
                <w:sz w:val="20"/>
                <w:szCs w:val="20"/>
              </w:rPr>
            </w:pPr>
            <w:proofErr w:type="spellStart"/>
            <w:r w:rsidRPr="00260D4F">
              <w:rPr>
                <w:rFonts w:ascii="AvenirNext LT Pro Regular" w:hAnsi="AvenirNext LT Pro Regular"/>
                <w:b/>
                <w:bCs/>
                <w:sz w:val="20"/>
                <w:szCs w:val="20"/>
              </w:rPr>
              <w:t>Illiteracy</w:t>
            </w:r>
            <w:proofErr w:type="spellEnd"/>
            <w:r w:rsidRPr="00260D4F">
              <w:rPr>
                <w:rFonts w:ascii="AvenirNext LT Pro Regular" w:hAnsi="AvenirNext LT Pro Regular"/>
                <w:b/>
                <w:bCs/>
                <w:sz w:val="20"/>
                <w:szCs w:val="20"/>
              </w:rPr>
              <w:t xml:space="preserve"> rate - 18 </w:t>
            </w:r>
            <w:proofErr w:type="spellStart"/>
            <w:r w:rsidRPr="00260D4F">
              <w:rPr>
                <w:rFonts w:ascii="AvenirNext LT Pro Regular" w:hAnsi="AvenirNext LT Pro Regular"/>
                <w:b/>
                <w:bCs/>
                <w:sz w:val="20"/>
                <w:szCs w:val="20"/>
              </w:rPr>
              <w:t>years</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or</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older</w:t>
            </w:r>
            <w:proofErr w:type="spellEnd"/>
          </w:p>
          <w:p w14:paraId="7801CBDA" w14:textId="637AC4DE"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14:paraId="2527FB0B" w14:textId="77777777" w:rsidR="000353B8" w:rsidRPr="00260D4F" w:rsidRDefault="000353B8" w:rsidP="00834548">
            <w:pPr>
              <w:spacing w:after="0" w:line="240" w:lineRule="auto"/>
              <w:jc w:val="center"/>
              <w:rPr>
                <w:rFonts w:ascii="AvenirNext LT Pro Regular" w:hAnsi="AvenirNext LT Pro Regular"/>
                <w:b/>
                <w:bCs/>
                <w:sz w:val="20"/>
                <w:szCs w:val="20"/>
              </w:rPr>
            </w:pPr>
            <w:r w:rsidRPr="00260D4F">
              <w:rPr>
                <w:rFonts w:ascii="AvenirNext LT Pro Regular" w:hAnsi="AvenirNext LT Pro Regular"/>
                <w:b/>
                <w:bCs/>
                <w:sz w:val="20"/>
                <w:szCs w:val="20"/>
              </w:rPr>
              <w:t xml:space="preserve">10/40 </w:t>
            </w:r>
            <w:proofErr w:type="spellStart"/>
            <w:r w:rsidRPr="00260D4F">
              <w:rPr>
                <w:rFonts w:ascii="AvenirNext LT Pro Regular" w:hAnsi="AvenirNext LT Pro Regular"/>
                <w:b/>
                <w:bCs/>
                <w:sz w:val="20"/>
                <w:szCs w:val="20"/>
              </w:rPr>
              <w:t>ratio</w:t>
            </w:r>
            <w:proofErr w:type="spellEnd"/>
          </w:p>
          <w:p w14:paraId="0C5026AF" w14:textId="0F0AB150"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14:paraId="08C2DD24" w14:textId="50EC9503" w:rsidR="000353B8" w:rsidRPr="00260D4F" w:rsidRDefault="000353B8" w:rsidP="00834548">
            <w:pPr>
              <w:spacing w:after="0" w:line="240" w:lineRule="auto"/>
              <w:jc w:val="center"/>
              <w:rPr>
                <w:rFonts w:ascii="AvenirNext LT Pro Regular" w:hAnsi="AvenirNext LT Pro Regular"/>
                <w:b/>
                <w:bCs/>
                <w:sz w:val="20"/>
                <w:szCs w:val="20"/>
              </w:rPr>
            </w:pPr>
            <w:r w:rsidRPr="00260D4F">
              <w:rPr>
                <w:rFonts w:ascii="AvenirNext LT Pro Regular" w:hAnsi="AvenirNext LT Pro Regular"/>
                <w:b/>
                <w:bCs/>
                <w:sz w:val="20"/>
                <w:szCs w:val="20"/>
              </w:rPr>
              <w:t>Per capita income</w:t>
            </w:r>
          </w:p>
          <w:p w14:paraId="79E8CFCD" w14:textId="214C8157"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35" w:type="dxa"/>
            <w:tcBorders>
              <w:top w:val="single" w:sz="4" w:space="0" w:color="auto"/>
              <w:left w:val="single" w:sz="4" w:space="0" w:color="auto"/>
              <w:bottom w:val="single" w:sz="4" w:space="0" w:color="auto"/>
              <w:right w:val="single" w:sz="4" w:space="0" w:color="auto"/>
            </w:tcBorders>
            <w:shd w:val="clear" w:color="auto" w:fill="auto"/>
            <w:textDirection w:val="btLr"/>
          </w:tcPr>
          <w:p w14:paraId="3F1D30E6" w14:textId="77777777" w:rsidR="000353B8" w:rsidRPr="00260D4F" w:rsidRDefault="000353B8" w:rsidP="00834548">
            <w:pPr>
              <w:spacing w:after="0" w:line="240" w:lineRule="auto"/>
              <w:jc w:val="center"/>
              <w:rPr>
                <w:rFonts w:ascii="AvenirNext LT Pro Regular" w:hAnsi="AvenirNext LT Pro Regular"/>
                <w:b/>
                <w:bCs/>
                <w:sz w:val="20"/>
                <w:szCs w:val="20"/>
              </w:rPr>
            </w:pPr>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of</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poor</w:t>
            </w:r>
            <w:proofErr w:type="spellEnd"/>
            <w:r w:rsidRPr="00260D4F">
              <w:rPr>
                <w:rFonts w:ascii="AvenirNext LT Pro Regular" w:hAnsi="AvenirNext LT Pro Regular"/>
                <w:b/>
                <w:bCs/>
                <w:sz w:val="20"/>
                <w:szCs w:val="20"/>
              </w:rPr>
              <w:t xml:space="preserve"> </w:t>
            </w:r>
            <w:proofErr w:type="spellStart"/>
            <w:r w:rsidRPr="00260D4F">
              <w:rPr>
                <w:rFonts w:ascii="AvenirNext LT Pro Regular" w:hAnsi="AvenirNext LT Pro Regular"/>
                <w:b/>
                <w:bCs/>
                <w:sz w:val="20"/>
                <w:szCs w:val="20"/>
              </w:rPr>
              <w:t>population</w:t>
            </w:r>
            <w:proofErr w:type="spellEnd"/>
          </w:p>
          <w:p w14:paraId="7378EF92" w14:textId="5FC846AF"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689" w:type="dxa"/>
            <w:tcBorders>
              <w:top w:val="single" w:sz="4" w:space="0" w:color="auto"/>
              <w:left w:val="single" w:sz="4" w:space="0" w:color="auto"/>
              <w:bottom w:val="single" w:sz="4" w:space="0" w:color="auto"/>
              <w:right w:val="single" w:sz="4" w:space="0" w:color="auto"/>
            </w:tcBorders>
            <w:shd w:val="clear" w:color="auto" w:fill="auto"/>
            <w:textDirection w:val="btLr"/>
          </w:tcPr>
          <w:p w14:paraId="6C59899A" w14:textId="1F1D7B6B" w:rsidR="000353B8" w:rsidRPr="00260D4F" w:rsidRDefault="000353B8" w:rsidP="00834548">
            <w:pPr>
              <w:spacing w:after="0" w:line="240" w:lineRule="auto"/>
              <w:jc w:val="center"/>
              <w:rPr>
                <w:rFonts w:ascii="AvenirNext LT Pro Regular" w:hAnsi="AvenirNext LT Pro Regular"/>
                <w:b/>
                <w:bCs/>
                <w:sz w:val="20"/>
                <w:szCs w:val="20"/>
              </w:rPr>
            </w:pPr>
            <w:r w:rsidRPr="00260D4F">
              <w:rPr>
                <w:rFonts w:ascii="AvenirNext LT Pro Regular" w:hAnsi="AvenirNext LT Pro Regular"/>
                <w:b/>
                <w:bCs/>
                <w:sz w:val="20"/>
                <w:szCs w:val="20"/>
              </w:rPr>
              <w:t>Gini Index</w:t>
            </w:r>
          </w:p>
          <w:p w14:paraId="018B96E0" w14:textId="1BDF478A"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08" w:type="dxa"/>
            <w:tcBorders>
              <w:top w:val="single" w:sz="4" w:space="0" w:color="auto"/>
              <w:left w:val="single" w:sz="4" w:space="0" w:color="auto"/>
              <w:bottom w:val="single" w:sz="4" w:space="0" w:color="auto"/>
              <w:right w:val="single" w:sz="4" w:space="0" w:color="auto"/>
            </w:tcBorders>
            <w:shd w:val="clear" w:color="auto" w:fill="auto"/>
            <w:textDirection w:val="btLr"/>
          </w:tcPr>
          <w:p w14:paraId="32F6B6D1" w14:textId="49147DDB" w:rsidR="000353B8" w:rsidRPr="00260D4F" w:rsidRDefault="000353B8" w:rsidP="00834548">
            <w:pPr>
              <w:spacing w:after="0" w:line="240" w:lineRule="auto"/>
              <w:jc w:val="center"/>
              <w:rPr>
                <w:rFonts w:ascii="AvenirNext LT Pro Regular" w:hAnsi="AvenirNext LT Pro Regular"/>
                <w:b/>
                <w:bCs/>
                <w:sz w:val="20"/>
                <w:szCs w:val="20"/>
              </w:rPr>
            </w:pPr>
            <w:proofErr w:type="spellStart"/>
            <w:r w:rsidRPr="00260D4F">
              <w:rPr>
                <w:rFonts w:ascii="AvenirNext LT Pro Regular" w:hAnsi="AvenirNext LT Pro Regular"/>
                <w:b/>
                <w:bCs/>
                <w:sz w:val="20"/>
                <w:szCs w:val="20"/>
              </w:rPr>
              <w:t>Theil</w:t>
            </w:r>
            <w:proofErr w:type="spellEnd"/>
            <w:r w:rsidRPr="00260D4F">
              <w:rPr>
                <w:rFonts w:ascii="AvenirNext LT Pro Regular" w:hAnsi="AvenirNext LT Pro Regular"/>
                <w:b/>
                <w:bCs/>
                <w:sz w:val="20"/>
                <w:szCs w:val="20"/>
              </w:rPr>
              <w:t>-L Index</w:t>
            </w:r>
          </w:p>
          <w:p w14:paraId="6327B2F7" w14:textId="5766BFF7"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p>
        </w:tc>
        <w:tc>
          <w:tcPr>
            <w:tcW w:w="708" w:type="dxa"/>
            <w:tcBorders>
              <w:top w:val="single" w:sz="4" w:space="0" w:color="auto"/>
              <w:left w:val="single" w:sz="4" w:space="0" w:color="auto"/>
              <w:bottom w:val="single" w:sz="4" w:space="0" w:color="auto"/>
            </w:tcBorders>
            <w:shd w:val="clear" w:color="auto" w:fill="auto"/>
            <w:textDirection w:val="btLr"/>
          </w:tcPr>
          <w:p w14:paraId="0509924A" w14:textId="6B523B73" w:rsidR="000353B8" w:rsidRPr="00260D4F" w:rsidRDefault="000353B8" w:rsidP="00834548">
            <w:pPr>
              <w:spacing w:after="0" w:line="240" w:lineRule="auto"/>
              <w:ind w:left="113" w:right="113"/>
              <w:jc w:val="center"/>
              <w:rPr>
                <w:rFonts w:ascii="AvenirNext LT Pro Regular" w:eastAsia="Times New Roman" w:hAnsi="AvenirNext LT Pro Regular" w:cs="Calibri"/>
                <w:b/>
                <w:bCs/>
                <w:color w:val="000000"/>
                <w:sz w:val="20"/>
                <w:szCs w:val="20"/>
                <w:lang w:eastAsia="pt-BR"/>
              </w:rPr>
            </w:pPr>
            <w:r w:rsidRPr="00260D4F">
              <w:rPr>
                <w:rFonts w:ascii="AvenirNext LT Pro Regular" w:eastAsia="Times New Roman" w:hAnsi="AvenirNext LT Pro Regular" w:cs="Calibri"/>
                <w:b/>
                <w:bCs/>
                <w:color w:val="000000"/>
                <w:sz w:val="20"/>
                <w:szCs w:val="20"/>
                <w:lang w:eastAsia="pt-BR"/>
              </w:rPr>
              <w:t>HDI</w:t>
            </w:r>
          </w:p>
        </w:tc>
      </w:tr>
      <w:tr w:rsidR="000353B8" w:rsidRPr="00260D4F" w14:paraId="59930C03" w14:textId="77777777" w:rsidTr="000353B8">
        <w:trPr>
          <w:trHeight w:val="227"/>
          <w:jc w:val="center"/>
        </w:trPr>
        <w:tc>
          <w:tcPr>
            <w:tcW w:w="1555" w:type="dxa"/>
            <w:tcBorders>
              <w:top w:val="single" w:sz="4" w:space="0" w:color="auto"/>
            </w:tcBorders>
            <w:shd w:val="clear" w:color="auto" w:fill="auto"/>
            <w:noWrap/>
            <w:vAlign w:val="bottom"/>
            <w:hideMark/>
          </w:tcPr>
          <w:p w14:paraId="6E61BB15"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 xml:space="preserve">North </w:t>
            </w:r>
          </w:p>
        </w:tc>
        <w:tc>
          <w:tcPr>
            <w:tcW w:w="2551" w:type="dxa"/>
            <w:tcBorders>
              <w:top w:val="single" w:sz="4" w:space="0" w:color="auto"/>
            </w:tcBorders>
            <w:shd w:val="clear" w:color="auto" w:fill="auto"/>
            <w:noWrap/>
            <w:vAlign w:val="bottom"/>
            <w:hideMark/>
          </w:tcPr>
          <w:p w14:paraId="365307B8"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Acre</w:t>
            </w:r>
          </w:p>
        </w:tc>
        <w:tc>
          <w:tcPr>
            <w:tcW w:w="708" w:type="dxa"/>
            <w:tcBorders>
              <w:top w:val="single" w:sz="4" w:space="0" w:color="auto"/>
            </w:tcBorders>
            <w:shd w:val="clear" w:color="auto" w:fill="auto"/>
            <w:noWrap/>
            <w:vAlign w:val="bottom"/>
            <w:hideMark/>
          </w:tcPr>
          <w:p w14:paraId="2A5BF7A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2.76</w:t>
            </w:r>
          </w:p>
        </w:tc>
        <w:tc>
          <w:tcPr>
            <w:tcW w:w="708" w:type="dxa"/>
            <w:tcBorders>
              <w:top w:val="single" w:sz="4" w:space="0" w:color="auto"/>
            </w:tcBorders>
            <w:shd w:val="clear" w:color="auto" w:fill="auto"/>
            <w:noWrap/>
            <w:vAlign w:val="bottom"/>
            <w:hideMark/>
          </w:tcPr>
          <w:p w14:paraId="2539C63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20.99</w:t>
            </w:r>
          </w:p>
        </w:tc>
        <w:tc>
          <w:tcPr>
            <w:tcW w:w="708" w:type="dxa"/>
            <w:tcBorders>
              <w:top w:val="single" w:sz="4" w:space="0" w:color="auto"/>
            </w:tcBorders>
            <w:shd w:val="clear" w:color="auto" w:fill="auto"/>
            <w:noWrap/>
            <w:vAlign w:val="bottom"/>
            <w:hideMark/>
          </w:tcPr>
          <w:p w14:paraId="3477384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74.25</w:t>
            </w:r>
          </w:p>
        </w:tc>
        <w:tc>
          <w:tcPr>
            <w:tcW w:w="730" w:type="dxa"/>
            <w:tcBorders>
              <w:top w:val="single" w:sz="4" w:space="0" w:color="auto"/>
            </w:tcBorders>
            <w:shd w:val="clear" w:color="auto" w:fill="auto"/>
            <w:noWrap/>
            <w:vAlign w:val="bottom"/>
            <w:hideMark/>
          </w:tcPr>
          <w:p w14:paraId="5CB6CA0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16.34</w:t>
            </w:r>
          </w:p>
        </w:tc>
        <w:tc>
          <w:tcPr>
            <w:tcW w:w="715" w:type="dxa"/>
            <w:tcBorders>
              <w:top w:val="single" w:sz="4" w:space="0" w:color="auto"/>
            </w:tcBorders>
            <w:shd w:val="clear" w:color="auto" w:fill="auto"/>
            <w:noWrap/>
            <w:vAlign w:val="bottom"/>
            <w:hideMark/>
          </w:tcPr>
          <w:p w14:paraId="6B70ED9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5.91</w:t>
            </w:r>
          </w:p>
        </w:tc>
        <w:tc>
          <w:tcPr>
            <w:tcW w:w="708" w:type="dxa"/>
            <w:tcBorders>
              <w:top w:val="single" w:sz="4" w:space="0" w:color="auto"/>
            </w:tcBorders>
            <w:shd w:val="clear" w:color="auto" w:fill="auto"/>
            <w:noWrap/>
            <w:vAlign w:val="bottom"/>
            <w:hideMark/>
          </w:tcPr>
          <w:p w14:paraId="6656C60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51.22</w:t>
            </w:r>
          </w:p>
        </w:tc>
        <w:tc>
          <w:tcPr>
            <w:tcW w:w="708" w:type="dxa"/>
            <w:tcBorders>
              <w:top w:val="single" w:sz="4" w:space="0" w:color="auto"/>
            </w:tcBorders>
            <w:shd w:val="clear" w:color="auto" w:fill="auto"/>
            <w:noWrap/>
            <w:vAlign w:val="bottom"/>
            <w:hideMark/>
          </w:tcPr>
          <w:p w14:paraId="29F7687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13.81</w:t>
            </w:r>
          </w:p>
        </w:tc>
        <w:tc>
          <w:tcPr>
            <w:tcW w:w="708" w:type="dxa"/>
            <w:tcBorders>
              <w:top w:val="single" w:sz="4" w:space="0" w:color="auto"/>
            </w:tcBorders>
            <w:shd w:val="clear" w:color="auto" w:fill="auto"/>
            <w:noWrap/>
            <w:vAlign w:val="bottom"/>
            <w:hideMark/>
          </w:tcPr>
          <w:p w14:paraId="5D73CD8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20.33</w:t>
            </w:r>
          </w:p>
        </w:tc>
        <w:tc>
          <w:tcPr>
            <w:tcW w:w="708" w:type="dxa"/>
            <w:tcBorders>
              <w:top w:val="single" w:sz="4" w:space="0" w:color="auto"/>
            </w:tcBorders>
            <w:shd w:val="clear" w:color="auto" w:fill="auto"/>
            <w:noWrap/>
            <w:vAlign w:val="bottom"/>
            <w:hideMark/>
          </w:tcPr>
          <w:p w14:paraId="3EA0AD5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497.3</w:t>
            </w:r>
          </w:p>
        </w:tc>
        <w:tc>
          <w:tcPr>
            <w:tcW w:w="735" w:type="dxa"/>
            <w:tcBorders>
              <w:top w:val="single" w:sz="4" w:space="0" w:color="auto"/>
            </w:tcBorders>
            <w:shd w:val="clear" w:color="auto" w:fill="auto"/>
            <w:noWrap/>
            <w:vAlign w:val="bottom"/>
            <w:hideMark/>
          </w:tcPr>
          <w:p w14:paraId="3527327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27.11</w:t>
            </w:r>
          </w:p>
        </w:tc>
        <w:tc>
          <w:tcPr>
            <w:tcW w:w="689" w:type="dxa"/>
            <w:tcBorders>
              <w:top w:val="single" w:sz="4" w:space="0" w:color="auto"/>
            </w:tcBorders>
            <w:shd w:val="clear" w:color="auto" w:fill="auto"/>
            <w:noWrap/>
            <w:vAlign w:val="bottom"/>
            <w:hideMark/>
          </w:tcPr>
          <w:p w14:paraId="3BC7876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0.57</w:t>
            </w:r>
          </w:p>
        </w:tc>
        <w:tc>
          <w:tcPr>
            <w:tcW w:w="708" w:type="dxa"/>
            <w:tcBorders>
              <w:top w:val="single" w:sz="4" w:space="0" w:color="auto"/>
            </w:tcBorders>
            <w:shd w:val="clear" w:color="auto" w:fill="auto"/>
            <w:noWrap/>
            <w:vAlign w:val="bottom"/>
            <w:hideMark/>
          </w:tcPr>
          <w:p w14:paraId="70A2262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w:t>
            </w:r>
          </w:p>
        </w:tc>
        <w:tc>
          <w:tcPr>
            <w:tcW w:w="708" w:type="dxa"/>
            <w:tcBorders>
              <w:top w:val="single" w:sz="4" w:space="0" w:color="auto"/>
            </w:tcBorders>
            <w:shd w:val="clear" w:color="auto" w:fill="auto"/>
            <w:noWrap/>
            <w:vAlign w:val="bottom"/>
            <w:hideMark/>
          </w:tcPr>
          <w:p w14:paraId="179F693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0.719</w:t>
            </w:r>
          </w:p>
        </w:tc>
      </w:tr>
      <w:tr w:rsidR="000353B8" w:rsidRPr="00260D4F" w14:paraId="546BC462" w14:textId="77777777" w:rsidTr="000353B8">
        <w:trPr>
          <w:trHeight w:val="227"/>
          <w:jc w:val="center"/>
        </w:trPr>
        <w:tc>
          <w:tcPr>
            <w:tcW w:w="1555" w:type="dxa"/>
            <w:shd w:val="clear" w:color="auto" w:fill="auto"/>
            <w:noWrap/>
            <w:vAlign w:val="bottom"/>
            <w:hideMark/>
          </w:tcPr>
          <w:p w14:paraId="7940A40E"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Northeast</w:t>
            </w:r>
            <w:proofErr w:type="spellEnd"/>
          </w:p>
        </w:tc>
        <w:tc>
          <w:tcPr>
            <w:tcW w:w="2551" w:type="dxa"/>
            <w:shd w:val="clear" w:color="auto" w:fill="auto"/>
            <w:noWrap/>
            <w:vAlign w:val="bottom"/>
            <w:hideMark/>
          </w:tcPr>
          <w:p w14:paraId="3FE2AC8A"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Alagoas</w:t>
            </w:r>
          </w:p>
        </w:tc>
        <w:tc>
          <w:tcPr>
            <w:tcW w:w="708" w:type="dxa"/>
            <w:shd w:val="clear" w:color="auto" w:fill="auto"/>
            <w:noWrap/>
            <w:vAlign w:val="bottom"/>
            <w:hideMark/>
          </w:tcPr>
          <w:p w14:paraId="760202E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3.01</w:t>
            </w:r>
          </w:p>
        </w:tc>
        <w:tc>
          <w:tcPr>
            <w:tcW w:w="708" w:type="dxa"/>
            <w:shd w:val="clear" w:color="auto" w:fill="auto"/>
            <w:noWrap/>
            <w:vAlign w:val="bottom"/>
            <w:hideMark/>
          </w:tcPr>
          <w:p w14:paraId="4636FAF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17.77</w:t>
            </w:r>
          </w:p>
        </w:tc>
        <w:tc>
          <w:tcPr>
            <w:tcW w:w="708" w:type="dxa"/>
            <w:shd w:val="clear" w:color="auto" w:fill="auto"/>
            <w:noWrap/>
            <w:vAlign w:val="bottom"/>
            <w:hideMark/>
          </w:tcPr>
          <w:p w14:paraId="4645B5E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71.97</w:t>
            </w:r>
          </w:p>
        </w:tc>
        <w:tc>
          <w:tcPr>
            <w:tcW w:w="730" w:type="dxa"/>
            <w:shd w:val="clear" w:color="auto" w:fill="auto"/>
            <w:noWrap/>
            <w:vAlign w:val="bottom"/>
            <w:hideMark/>
          </w:tcPr>
          <w:p w14:paraId="7B60749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18.34</w:t>
            </w:r>
          </w:p>
        </w:tc>
        <w:tc>
          <w:tcPr>
            <w:tcW w:w="715" w:type="dxa"/>
            <w:shd w:val="clear" w:color="auto" w:fill="auto"/>
            <w:noWrap/>
            <w:vAlign w:val="bottom"/>
            <w:hideMark/>
          </w:tcPr>
          <w:p w14:paraId="3E66F4D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9.27</w:t>
            </w:r>
          </w:p>
        </w:tc>
        <w:tc>
          <w:tcPr>
            <w:tcW w:w="708" w:type="dxa"/>
            <w:shd w:val="clear" w:color="auto" w:fill="auto"/>
            <w:noWrap/>
            <w:vAlign w:val="bottom"/>
            <w:hideMark/>
          </w:tcPr>
          <w:p w14:paraId="0ECAD5E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47.08</w:t>
            </w:r>
          </w:p>
        </w:tc>
        <w:tc>
          <w:tcPr>
            <w:tcW w:w="708" w:type="dxa"/>
            <w:shd w:val="clear" w:color="auto" w:fill="auto"/>
            <w:noWrap/>
            <w:vAlign w:val="bottom"/>
            <w:hideMark/>
          </w:tcPr>
          <w:p w14:paraId="167D194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19.47</w:t>
            </w:r>
          </w:p>
        </w:tc>
        <w:tc>
          <w:tcPr>
            <w:tcW w:w="708" w:type="dxa"/>
            <w:shd w:val="clear" w:color="auto" w:fill="auto"/>
            <w:noWrap/>
            <w:vAlign w:val="bottom"/>
            <w:hideMark/>
          </w:tcPr>
          <w:p w14:paraId="2784C5F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15.9</w:t>
            </w:r>
          </w:p>
        </w:tc>
        <w:tc>
          <w:tcPr>
            <w:tcW w:w="708" w:type="dxa"/>
            <w:shd w:val="clear" w:color="auto" w:fill="auto"/>
            <w:noWrap/>
            <w:vAlign w:val="bottom"/>
            <w:hideMark/>
          </w:tcPr>
          <w:p w14:paraId="2BABABC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426.1</w:t>
            </w:r>
          </w:p>
        </w:tc>
        <w:tc>
          <w:tcPr>
            <w:tcW w:w="735" w:type="dxa"/>
            <w:shd w:val="clear" w:color="auto" w:fill="auto"/>
            <w:noWrap/>
            <w:vAlign w:val="bottom"/>
            <w:hideMark/>
          </w:tcPr>
          <w:p w14:paraId="73EA1F0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25.25</w:t>
            </w:r>
          </w:p>
        </w:tc>
        <w:tc>
          <w:tcPr>
            <w:tcW w:w="689" w:type="dxa"/>
            <w:shd w:val="clear" w:color="auto" w:fill="auto"/>
            <w:noWrap/>
            <w:vAlign w:val="bottom"/>
            <w:hideMark/>
          </w:tcPr>
          <w:p w14:paraId="77B6182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0.53</w:t>
            </w:r>
          </w:p>
        </w:tc>
        <w:tc>
          <w:tcPr>
            <w:tcW w:w="708" w:type="dxa"/>
            <w:shd w:val="clear" w:color="auto" w:fill="auto"/>
            <w:noWrap/>
            <w:vAlign w:val="bottom"/>
            <w:hideMark/>
          </w:tcPr>
          <w:p w14:paraId="1FCA6A4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0.52</w:t>
            </w:r>
          </w:p>
        </w:tc>
        <w:tc>
          <w:tcPr>
            <w:tcW w:w="708" w:type="dxa"/>
            <w:shd w:val="clear" w:color="auto" w:fill="auto"/>
            <w:noWrap/>
            <w:vAlign w:val="bottom"/>
            <w:hideMark/>
          </w:tcPr>
          <w:p w14:paraId="335B662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0.683</w:t>
            </w:r>
          </w:p>
        </w:tc>
      </w:tr>
      <w:tr w:rsidR="000353B8" w:rsidRPr="00260D4F" w14:paraId="7B485C84" w14:textId="77777777" w:rsidTr="000353B8">
        <w:trPr>
          <w:trHeight w:val="227"/>
          <w:jc w:val="center"/>
        </w:trPr>
        <w:tc>
          <w:tcPr>
            <w:tcW w:w="1555" w:type="dxa"/>
            <w:shd w:val="clear" w:color="auto" w:fill="auto"/>
            <w:noWrap/>
            <w:vAlign w:val="bottom"/>
            <w:hideMark/>
          </w:tcPr>
          <w:p w14:paraId="4559BCFE"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 xml:space="preserve">North </w:t>
            </w:r>
          </w:p>
        </w:tc>
        <w:tc>
          <w:tcPr>
            <w:tcW w:w="2551" w:type="dxa"/>
            <w:shd w:val="clear" w:color="auto" w:fill="auto"/>
            <w:noWrap/>
            <w:vAlign w:val="bottom"/>
            <w:hideMark/>
          </w:tcPr>
          <w:p w14:paraId="1EB42A80"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Amapá</w:t>
            </w:r>
          </w:p>
        </w:tc>
        <w:tc>
          <w:tcPr>
            <w:tcW w:w="708" w:type="dxa"/>
            <w:shd w:val="clear" w:color="auto" w:fill="auto"/>
            <w:noWrap/>
            <w:vAlign w:val="bottom"/>
            <w:hideMark/>
          </w:tcPr>
          <w:p w14:paraId="00CF3C4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2.11</w:t>
            </w:r>
          </w:p>
        </w:tc>
        <w:tc>
          <w:tcPr>
            <w:tcW w:w="708" w:type="dxa"/>
            <w:shd w:val="clear" w:color="auto" w:fill="auto"/>
            <w:noWrap/>
            <w:vAlign w:val="bottom"/>
            <w:hideMark/>
          </w:tcPr>
          <w:p w14:paraId="2947559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21.66</w:t>
            </w:r>
          </w:p>
        </w:tc>
        <w:tc>
          <w:tcPr>
            <w:tcW w:w="708" w:type="dxa"/>
            <w:shd w:val="clear" w:color="auto" w:fill="auto"/>
            <w:noWrap/>
            <w:vAlign w:val="bottom"/>
            <w:hideMark/>
          </w:tcPr>
          <w:p w14:paraId="30AB62B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74.19</w:t>
            </w:r>
          </w:p>
        </w:tc>
        <w:tc>
          <w:tcPr>
            <w:tcW w:w="730" w:type="dxa"/>
            <w:shd w:val="clear" w:color="auto" w:fill="auto"/>
            <w:noWrap/>
            <w:vAlign w:val="bottom"/>
            <w:hideMark/>
          </w:tcPr>
          <w:p w14:paraId="39F7CCA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23.03</w:t>
            </w:r>
          </w:p>
        </w:tc>
        <w:tc>
          <w:tcPr>
            <w:tcW w:w="715" w:type="dxa"/>
            <w:shd w:val="clear" w:color="auto" w:fill="auto"/>
            <w:noWrap/>
            <w:vAlign w:val="bottom"/>
            <w:hideMark/>
          </w:tcPr>
          <w:p w14:paraId="7274138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4.65</w:t>
            </w:r>
          </w:p>
        </w:tc>
        <w:tc>
          <w:tcPr>
            <w:tcW w:w="708" w:type="dxa"/>
            <w:shd w:val="clear" w:color="auto" w:fill="auto"/>
            <w:noWrap/>
            <w:vAlign w:val="bottom"/>
            <w:hideMark/>
          </w:tcPr>
          <w:p w14:paraId="6A1D076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46.73</w:t>
            </w:r>
          </w:p>
        </w:tc>
        <w:tc>
          <w:tcPr>
            <w:tcW w:w="708" w:type="dxa"/>
            <w:shd w:val="clear" w:color="auto" w:fill="auto"/>
            <w:noWrap/>
            <w:vAlign w:val="bottom"/>
            <w:hideMark/>
          </w:tcPr>
          <w:p w14:paraId="76B164C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6.09</w:t>
            </w:r>
          </w:p>
        </w:tc>
        <w:tc>
          <w:tcPr>
            <w:tcW w:w="708" w:type="dxa"/>
            <w:shd w:val="clear" w:color="auto" w:fill="auto"/>
            <w:noWrap/>
            <w:vAlign w:val="bottom"/>
            <w:hideMark/>
          </w:tcPr>
          <w:p w14:paraId="745382E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21.57</w:t>
            </w:r>
          </w:p>
        </w:tc>
        <w:tc>
          <w:tcPr>
            <w:tcW w:w="708" w:type="dxa"/>
            <w:shd w:val="clear" w:color="auto" w:fill="auto"/>
            <w:noWrap/>
            <w:vAlign w:val="bottom"/>
            <w:hideMark/>
          </w:tcPr>
          <w:p w14:paraId="42D2257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605.5</w:t>
            </w:r>
          </w:p>
        </w:tc>
        <w:tc>
          <w:tcPr>
            <w:tcW w:w="735" w:type="dxa"/>
            <w:shd w:val="clear" w:color="auto" w:fill="auto"/>
            <w:noWrap/>
            <w:vAlign w:val="bottom"/>
            <w:hideMark/>
          </w:tcPr>
          <w:p w14:paraId="12F3698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19.82</w:t>
            </w:r>
          </w:p>
        </w:tc>
        <w:tc>
          <w:tcPr>
            <w:tcW w:w="689" w:type="dxa"/>
            <w:shd w:val="clear" w:color="auto" w:fill="auto"/>
            <w:noWrap/>
            <w:vAlign w:val="bottom"/>
            <w:hideMark/>
          </w:tcPr>
          <w:p w14:paraId="1F24DF4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0.59</w:t>
            </w:r>
          </w:p>
        </w:tc>
        <w:tc>
          <w:tcPr>
            <w:tcW w:w="708" w:type="dxa"/>
            <w:shd w:val="clear" w:color="auto" w:fill="auto"/>
            <w:noWrap/>
            <w:vAlign w:val="bottom"/>
            <w:hideMark/>
          </w:tcPr>
          <w:p w14:paraId="6495675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0.63</w:t>
            </w:r>
          </w:p>
        </w:tc>
        <w:tc>
          <w:tcPr>
            <w:tcW w:w="708" w:type="dxa"/>
            <w:shd w:val="clear" w:color="auto" w:fill="auto"/>
            <w:noWrap/>
            <w:vAlign w:val="bottom"/>
            <w:hideMark/>
          </w:tcPr>
          <w:p w14:paraId="52AABE0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0.74</w:t>
            </w:r>
          </w:p>
        </w:tc>
      </w:tr>
      <w:tr w:rsidR="000353B8" w:rsidRPr="00260D4F" w14:paraId="77F143C8" w14:textId="77777777" w:rsidTr="000353B8">
        <w:trPr>
          <w:trHeight w:val="227"/>
          <w:jc w:val="center"/>
        </w:trPr>
        <w:tc>
          <w:tcPr>
            <w:tcW w:w="1555" w:type="dxa"/>
            <w:shd w:val="clear" w:color="auto" w:fill="auto"/>
            <w:noWrap/>
            <w:vAlign w:val="bottom"/>
            <w:hideMark/>
          </w:tcPr>
          <w:p w14:paraId="22123595"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 xml:space="preserve">North </w:t>
            </w:r>
          </w:p>
        </w:tc>
        <w:tc>
          <w:tcPr>
            <w:tcW w:w="2551" w:type="dxa"/>
            <w:shd w:val="clear" w:color="auto" w:fill="auto"/>
            <w:noWrap/>
            <w:vAlign w:val="bottom"/>
            <w:hideMark/>
          </w:tcPr>
          <w:p w14:paraId="2F9E51E6"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Amazonas</w:t>
            </w:r>
          </w:p>
        </w:tc>
        <w:tc>
          <w:tcPr>
            <w:tcW w:w="708" w:type="dxa"/>
            <w:shd w:val="clear" w:color="auto" w:fill="auto"/>
            <w:noWrap/>
            <w:vAlign w:val="bottom"/>
            <w:hideMark/>
          </w:tcPr>
          <w:p w14:paraId="67B8A3F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2.33</w:t>
            </w:r>
          </w:p>
        </w:tc>
        <w:tc>
          <w:tcPr>
            <w:tcW w:w="708" w:type="dxa"/>
            <w:shd w:val="clear" w:color="auto" w:fill="auto"/>
            <w:noWrap/>
            <w:vAlign w:val="bottom"/>
            <w:hideMark/>
          </w:tcPr>
          <w:p w14:paraId="3176480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25.62</w:t>
            </w:r>
          </w:p>
        </w:tc>
        <w:tc>
          <w:tcPr>
            <w:tcW w:w="708" w:type="dxa"/>
            <w:shd w:val="clear" w:color="auto" w:fill="auto"/>
            <w:noWrap/>
            <w:vAlign w:val="bottom"/>
            <w:hideMark/>
          </w:tcPr>
          <w:p w14:paraId="21B597C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72.14</w:t>
            </w:r>
          </w:p>
        </w:tc>
        <w:tc>
          <w:tcPr>
            <w:tcW w:w="730" w:type="dxa"/>
            <w:shd w:val="clear" w:color="auto" w:fill="auto"/>
            <w:noWrap/>
            <w:vAlign w:val="bottom"/>
            <w:hideMark/>
          </w:tcPr>
          <w:p w14:paraId="4E8C43F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17.67</w:t>
            </w:r>
          </w:p>
        </w:tc>
        <w:tc>
          <w:tcPr>
            <w:tcW w:w="715" w:type="dxa"/>
            <w:shd w:val="clear" w:color="auto" w:fill="auto"/>
            <w:noWrap/>
            <w:vAlign w:val="bottom"/>
            <w:hideMark/>
          </w:tcPr>
          <w:p w14:paraId="761968E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5.76</w:t>
            </w:r>
          </w:p>
        </w:tc>
        <w:tc>
          <w:tcPr>
            <w:tcW w:w="708" w:type="dxa"/>
            <w:shd w:val="clear" w:color="auto" w:fill="auto"/>
            <w:noWrap/>
            <w:vAlign w:val="bottom"/>
            <w:hideMark/>
          </w:tcPr>
          <w:p w14:paraId="47DA228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49.31</w:t>
            </w:r>
          </w:p>
        </w:tc>
        <w:tc>
          <w:tcPr>
            <w:tcW w:w="708" w:type="dxa"/>
            <w:shd w:val="clear" w:color="auto" w:fill="auto"/>
            <w:noWrap/>
            <w:vAlign w:val="bottom"/>
            <w:hideMark/>
          </w:tcPr>
          <w:p w14:paraId="166BB9A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7.19</w:t>
            </w:r>
          </w:p>
        </w:tc>
        <w:tc>
          <w:tcPr>
            <w:tcW w:w="708" w:type="dxa"/>
            <w:shd w:val="clear" w:color="auto" w:fill="auto"/>
            <w:noWrap/>
            <w:vAlign w:val="bottom"/>
            <w:hideMark/>
          </w:tcPr>
          <w:p w14:paraId="0CADA06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23.41</w:t>
            </w:r>
          </w:p>
        </w:tc>
        <w:tc>
          <w:tcPr>
            <w:tcW w:w="708" w:type="dxa"/>
            <w:shd w:val="clear" w:color="auto" w:fill="auto"/>
            <w:noWrap/>
            <w:vAlign w:val="bottom"/>
            <w:hideMark/>
          </w:tcPr>
          <w:p w14:paraId="7BEE5D7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556.3</w:t>
            </w:r>
          </w:p>
        </w:tc>
        <w:tc>
          <w:tcPr>
            <w:tcW w:w="735" w:type="dxa"/>
            <w:shd w:val="clear" w:color="auto" w:fill="auto"/>
            <w:noWrap/>
            <w:vAlign w:val="bottom"/>
            <w:hideMark/>
          </w:tcPr>
          <w:p w14:paraId="028468D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23.87</w:t>
            </w:r>
          </w:p>
        </w:tc>
        <w:tc>
          <w:tcPr>
            <w:tcW w:w="689" w:type="dxa"/>
            <w:shd w:val="clear" w:color="auto" w:fill="auto"/>
            <w:noWrap/>
            <w:vAlign w:val="bottom"/>
            <w:hideMark/>
          </w:tcPr>
          <w:p w14:paraId="2CB7967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w:t>
            </w:r>
          </w:p>
        </w:tc>
        <w:tc>
          <w:tcPr>
            <w:tcW w:w="708" w:type="dxa"/>
            <w:shd w:val="clear" w:color="auto" w:fill="auto"/>
            <w:noWrap/>
            <w:vAlign w:val="bottom"/>
            <w:hideMark/>
          </w:tcPr>
          <w:p w14:paraId="1A14253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0.66</w:t>
            </w:r>
          </w:p>
        </w:tc>
        <w:tc>
          <w:tcPr>
            <w:tcW w:w="708" w:type="dxa"/>
            <w:shd w:val="clear" w:color="auto" w:fill="auto"/>
            <w:noWrap/>
            <w:vAlign w:val="bottom"/>
            <w:hideMark/>
          </w:tcPr>
          <w:p w14:paraId="11E421C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0.733</w:t>
            </w:r>
          </w:p>
        </w:tc>
      </w:tr>
      <w:tr w:rsidR="000353B8" w:rsidRPr="00260D4F" w14:paraId="52A5D00F" w14:textId="77777777" w:rsidTr="000353B8">
        <w:trPr>
          <w:trHeight w:val="227"/>
          <w:jc w:val="center"/>
        </w:trPr>
        <w:tc>
          <w:tcPr>
            <w:tcW w:w="1555" w:type="dxa"/>
            <w:shd w:val="clear" w:color="auto" w:fill="auto"/>
            <w:noWrap/>
            <w:vAlign w:val="bottom"/>
            <w:hideMark/>
          </w:tcPr>
          <w:p w14:paraId="7DC24417"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Northeast</w:t>
            </w:r>
            <w:proofErr w:type="spellEnd"/>
          </w:p>
        </w:tc>
        <w:tc>
          <w:tcPr>
            <w:tcW w:w="2551" w:type="dxa"/>
            <w:shd w:val="clear" w:color="auto" w:fill="auto"/>
            <w:noWrap/>
            <w:vAlign w:val="bottom"/>
            <w:hideMark/>
          </w:tcPr>
          <w:p w14:paraId="20BB310D"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Bahia</w:t>
            </w:r>
          </w:p>
        </w:tc>
        <w:tc>
          <w:tcPr>
            <w:tcW w:w="708" w:type="dxa"/>
            <w:shd w:val="clear" w:color="auto" w:fill="auto"/>
            <w:noWrap/>
            <w:vAlign w:val="bottom"/>
            <w:hideMark/>
          </w:tcPr>
          <w:p w14:paraId="48557B9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w:t>
            </w:r>
          </w:p>
        </w:tc>
        <w:tc>
          <w:tcPr>
            <w:tcW w:w="708" w:type="dxa"/>
            <w:shd w:val="clear" w:color="auto" w:fill="auto"/>
            <w:noWrap/>
            <w:vAlign w:val="bottom"/>
            <w:hideMark/>
          </w:tcPr>
          <w:p w14:paraId="12732EB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24.61</w:t>
            </w:r>
          </w:p>
        </w:tc>
        <w:tc>
          <w:tcPr>
            <w:tcW w:w="708" w:type="dxa"/>
            <w:shd w:val="clear" w:color="auto" w:fill="auto"/>
            <w:noWrap/>
            <w:vAlign w:val="bottom"/>
            <w:hideMark/>
          </w:tcPr>
          <w:p w14:paraId="67D3FAA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73.71</w:t>
            </w:r>
          </w:p>
        </w:tc>
        <w:tc>
          <w:tcPr>
            <w:tcW w:w="730" w:type="dxa"/>
            <w:shd w:val="clear" w:color="auto" w:fill="auto"/>
            <w:noWrap/>
            <w:vAlign w:val="bottom"/>
            <w:hideMark/>
          </w:tcPr>
          <w:p w14:paraId="4A446A4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16.64</w:t>
            </w:r>
          </w:p>
        </w:tc>
        <w:tc>
          <w:tcPr>
            <w:tcW w:w="715" w:type="dxa"/>
            <w:shd w:val="clear" w:color="auto" w:fill="auto"/>
            <w:noWrap/>
            <w:vAlign w:val="bottom"/>
            <w:hideMark/>
          </w:tcPr>
          <w:p w14:paraId="3DAF19A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9.36</w:t>
            </w:r>
          </w:p>
        </w:tc>
        <w:tc>
          <w:tcPr>
            <w:tcW w:w="708" w:type="dxa"/>
            <w:shd w:val="clear" w:color="auto" w:fill="auto"/>
            <w:noWrap/>
            <w:vAlign w:val="bottom"/>
            <w:hideMark/>
          </w:tcPr>
          <w:p w14:paraId="017854B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45.33</w:t>
            </w:r>
          </w:p>
        </w:tc>
        <w:tc>
          <w:tcPr>
            <w:tcW w:w="708" w:type="dxa"/>
            <w:shd w:val="clear" w:color="auto" w:fill="auto"/>
            <w:noWrap/>
            <w:vAlign w:val="bottom"/>
            <w:hideMark/>
          </w:tcPr>
          <w:p w14:paraId="0057C98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13.62</w:t>
            </w:r>
          </w:p>
        </w:tc>
        <w:tc>
          <w:tcPr>
            <w:tcW w:w="708" w:type="dxa"/>
            <w:shd w:val="clear" w:color="auto" w:fill="auto"/>
            <w:noWrap/>
            <w:vAlign w:val="bottom"/>
            <w:hideMark/>
          </w:tcPr>
          <w:p w14:paraId="229179D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23.8</w:t>
            </w:r>
          </w:p>
        </w:tc>
        <w:tc>
          <w:tcPr>
            <w:tcW w:w="708" w:type="dxa"/>
            <w:shd w:val="clear" w:color="auto" w:fill="auto"/>
            <w:noWrap/>
            <w:vAlign w:val="bottom"/>
            <w:hideMark/>
          </w:tcPr>
          <w:p w14:paraId="41FC956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566.3</w:t>
            </w:r>
          </w:p>
        </w:tc>
        <w:tc>
          <w:tcPr>
            <w:tcW w:w="735" w:type="dxa"/>
            <w:shd w:val="clear" w:color="auto" w:fill="auto"/>
            <w:noWrap/>
            <w:vAlign w:val="bottom"/>
            <w:hideMark/>
          </w:tcPr>
          <w:p w14:paraId="11FBADB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23.6</w:t>
            </w:r>
          </w:p>
        </w:tc>
        <w:tc>
          <w:tcPr>
            <w:tcW w:w="689" w:type="dxa"/>
            <w:shd w:val="clear" w:color="auto" w:fill="auto"/>
            <w:noWrap/>
            <w:vAlign w:val="bottom"/>
            <w:hideMark/>
          </w:tcPr>
          <w:p w14:paraId="7F44FD0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w:t>
            </w:r>
          </w:p>
        </w:tc>
        <w:tc>
          <w:tcPr>
            <w:tcW w:w="708" w:type="dxa"/>
            <w:shd w:val="clear" w:color="auto" w:fill="auto"/>
            <w:noWrap/>
            <w:vAlign w:val="bottom"/>
            <w:hideMark/>
          </w:tcPr>
          <w:p w14:paraId="14ABFFC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0.67</w:t>
            </w:r>
          </w:p>
        </w:tc>
        <w:tc>
          <w:tcPr>
            <w:tcW w:w="708" w:type="dxa"/>
            <w:shd w:val="clear" w:color="auto" w:fill="auto"/>
            <w:noWrap/>
            <w:vAlign w:val="bottom"/>
            <w:hideMark/>
          </w:tcPr>
          <w:p w14:paraId="2580A0C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0.714</w:t>
            </w:r>
          </w:p>
        </w:tc>
      </w:tr>
      <w:tr w:rsidR="000353B8" w:rsidRPr="00260D4F" w14:paraId="45474992" w14:textId="77777777" w:rsidTr="000353B8">
        <w:trPr>
          <w:trHeight w:val="227"/>
          <w:jc w:val="center"/>
        </w:trPr>
        <w:tc>
          <w:tcPr>
            <w:tcW w:w="1555" w:type="dxa"/>
            <w:shd w:val="clear" w:color="auto" w:fill="auto"/>
            <w:noWrap/>
            <w:vAlign w:val="bottom"/>
            <w:hideMark/>
          </w:tcPr>
          <w:p w14:paraId="3E2BA564"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Northeast</w:t>
            </w:r>
            <w:proofErr w:type="spellEnd"/>
          </w:p>
        </w:tc>
        <w:tc>
          <w:tcPr>
            <w:tcW w:w="2551" w:type="dxa"/>
            <w:shd w:val="clear" w:color="auto" w:fill="auto"/>
            <w:noWrap/>
            <w:vAlign w:val="bottom"/>
            <w:hideMark/>
          </w:tcPr>
          <w:p w14:paraId="2B74D448"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Ceará</w:t>
            </w:r>
          </w:p>
        </w:tc>
        <w:tc>
          <w:tcPr>
            <w:tcW w:w="708" w:type="dxa"/>
            <w:shd w:val="clear" w:color="auto" w:fill="auto"/>
            <w:noWrap/>
            <w:vAlign w:val="bottom"/>
            <w:hideMark/>
          </w:tcPr>
          <w:p w14:paraId="3C0097A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3.41</w:t>
            </w:r>
          </w:p>
        </w:tc>
        <w:tc>
          <w:tcPr>
            <w:tcW w:w="708" w:type="dxa"/>
            <w:shd w:val="clear" w:color="auto" w:fill="auto"/>
            <w:noWrap/>
            <w:vAlign w:val="bottom"/>
            <w:hideMark/>
          </w:tcPr>
          <w:p w14:paraId="7DC70F8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22.63</w:t>
            </w:r>
          </w:p>
        </w:tc>
        <w:tc>
          <w:tcPr>
            <w:tcW w:w="708" w:type="dxa"/>
            <w:shd w:val="clear" w:color="auto" w:fill="auto"/>
            <w:noWrap/>
            <w:vAlign w:val="bottom"/>
            <w:hideMark/>
          </w:tcPr>
          <w:p w14:paraId="58AA8AE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74.07</w:t>
            </w:r>
          </w:p>
        </w:tc>
        <w:tc>
          <w:tcPr>
            <w:tcW w:w="730" w:type="dxa"/>
            <w:shd w:val="clear" w:color="auto" w:fill="auto"/>
            <w:noWrap/>
            <w:vAlign w:val="bottom"/>
            <w:hideMark/>
          </w:tcPr>
          <w:p w14:paraId="21A06F7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13.79</w:t>
            </w:r>
          </w:p>
        </w:tc>
        <w:tc>
          <w:tcPr>
            <w:tcW w:w="715" w:type="dxa"/>
            <w:shd w:val="clear" w:color="auto" w:fill="auto"/>
            <w:noWrap/>
            <w:vAlign w:val="bottom"/>
            <w:hideMark/>
          </w:tcPr>
          <w:p w14:paraId="22E0885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10.24</w:t>
            </w:r>
          </w:p>
        </w:tc>
        <w:tc>
          <w:tcPr>
            <w:tcW w:w="708" w:type="dxa"/>
            <w:shd w:val="clear" w:color="auto" w:fill="auto"/>
            <w:noWrap/>
            <w:vAlign w:val="bottom"/>
            <w:hideMark/>
          </w:tcPr>
          <w:p w14:paraId="1ADA305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46.46</w:t>
            </w:r>
          </w:p>
        </w:tc>
        <w:tc>
          <w:tcPr>
            <w:tcW w:w="708" w:type="dxa"/>
            <w:shd w:val="clear" w:color="auto" w:fill="auto"/>
            <w:noWrap/>
            <w:vAlign w:val="bottom"/>
            <w:hideMark/>
          </w:tcPr>
          <w:p w14:paraId="3F7E4EA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14.83</w:t>
            </w:r>
          </w:p>
        </w:tc>
        <w:tc>
          <w:tcPr>
            <w:tcW w:w="708" w:type="dxa"/>
            <w:shd w:val="clear" w:color="auto" w:fill="auto"/>
            <w:noWrap/>
            <w:vAlign w:val="bottom"/>
            <w:hideMark/>
          </w:tcPr>
          <w:p w14:paraId="4E4D64D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18.59</w:t>
            </w:r>
          </w:p>
        </w:tc>
        <w:tc>
          <w:tcPr>
            <w:tcW w:w="708" w:type="dxa"/>
            <w:shd w:val="clear" w:color="auto" w:fill="auto"/>
            <w:noWrap/>
            <w:vAlign w:val="bottom"/>
            <w:hideMark/>
          </w:tcPr>
          <w:p w14:paraId="0A22E0C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537.9</w:t>
            </w:r>
          </w:p>
        </w:tc>
        <w:tc>
          <w:tcPr>
            <w:tcW w:w="735" w:type="dxa"/>
            <w:shd w:val="clear" w:color="auto" w:fill="auto"/>
            <w:noWrap/>
            <w:vAlign w:val="bottom"/>
            <w:hideMark/>
          </w:tcPr>
          <w:p w14:paraId="7715129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21.11</w:t>
            </w:r>
          </w:p>
        </w:tc>
        <w:tc>
          <w:tcPr>
            <w:tcW w:w="689" w:type="dxa"/>
            <w:shd w:val="clear" w:color="auto" w:fill="auto"/>
            <w:noWrap/>
            <w:vAlign w:val="bottom"/>
            <w:hideMark/>
          </w:tcPr>
          <w:p w14:paraId="7E7834A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0.56</w:t>
            </w:r>
          </w:p>
        </w:tc>
        <w:tc>
          <w:tcPr>
            <w:tcW w:w="708" w:type="dxa"/>
            <w:shd w:val="clear" w:color="auto" w:fill="auto"/>
            <w:noWrap/>
            <w:vAlign w:val="bottom"/>
            <w:hideMark/>
          </w:tcPr>
          <w:p w14:paraId="6489C5A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0.58</w:t>
            </w:r>
          </w:p>
        </w:tc>
        <w:tc>
          <w:tcPr>
            <w:tcW w:w="708" w:type="dxa"/>
            <w:shd w:val="clear" w:color="auto" w:fill="auto"/>
            <w:noWrap/>
            <w:vAlign w:val="bottom"/>
            <w:hideMark/>
          </w:tcPr>
          <w:p w14:paraId="1470C52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0.735</w:t>
            </w:r>
          </w:p>
        </w:tc>
      </w:tr>
      <w:tr w:rsidR="000353B8" w:rsidRPr="00260D4F" w14:paraId="799F392E" w14:textId="77777777" w:rsidTr="000353B8">
        <w:trPr>
          <w:trHeight w:val="227"/>
          <w:jc w:val="center"/>
        </w:trPr>
        <w:tc>
          <w:tcPr>
            <w:tcW w:w="1555" w:type="dxa"/>
            <w:shd w:val="clear" w:color="auto" w:fill="auto"/>
            <w:noWrap/>
            <w:vAlign w:val="bottom"/>
            <w:hideMark/>
          </w:tcPr>
          <w:p w14:paraId="5ADE43EC"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Midwest</w:t>
            </w:r>
            <w:proofErr w:type="spellEnd"/>
          </w:p>
        </w:tc>
        <w:tc>
          <w:tcPr>
            <w:tcW w:w="2551" w:type="dxa"/>
            <w:shd w:val="clear" w:color="auto" w:fill="auto"/>
            <w:noWrap/>
            <w:vAlign w:val="bottom"/>
            <w:hideMark/>
          </w:tcPr>
          <w:p w14:paraId="1BE0A56E"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Distrito Federal</w:t>
            </w:r>
          </w:p>
        </w:tc>
        <w:tc>
          <w:tcPr>
            <w:tcW w:w="708" w:type="dxa"/>
            <w:shd w:val="clear" w:color="auto" w:fill="auto"/>
            <w:noWrap/>
            <w:vAlign w:val="bottom"/>
            <w:hideMark/>
          </w:tcPr>
          <w:p w14:paraId="143727A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0.83</w:t>
            </w:r>
          </w:p>
        </w:tc>
        <w:tc>
          <w:tcPr>
            <w:tcW w:w="708" w:type="dxa"/>
            <w:shd w:val="clear" w:color="auto" w:fill="auto"/>
            <w:noWrap/>
            <w:vAlign w:val="bottom"/>
            <w:hideMark/>
          </w:tcPr>
          <w:p w14:paraId="22F82DF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15.79</w:t>
            </w:r>
          </w:p>
        </w:tc>
        <w:tc>
          <w:tcPr>
            <w:tcW w:w="708" w:type="dxa"/>
            <w:shd w:val="clear" w:color="auto" w:fill="auto"/>
            <w:noWrap/>
            <w:vAlign w:val="bottom"/>
            <w:hideMark/>
          </w:tcPr>
          <w:p w14:paraId="26076A5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78.37</w:t>
            </w:r>
          </w:p>
        </w:tc>
        <w:tc>
          <w:tcPr>
            <w:tcW w:w="730" w:type="dxa"/>
            <w:shd w:val="clear" w:color="auto" w:fill="auto"/>
            <w:noWrap/>
            <w:vAlign w:val="bottom"/>
            <w:hideMark/>
          </w:tcPr>
          <w:p w14:paraId="0586714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10.32</w:t>
            </w:r>
          </w:p>
        </w:tc>
        <w:tc>
          <w:tcPr>
            <w:tcW w:w="715" w:type="dxa"/>
            <w:shd w:val="clear" w:color="auto" w:fill="auto"/>
            <w:noWrap/>
            <w:vAlign w:val="bottom"/>
            <w:hideMark/>
          </w:tcPr>
          <w:p w14:paraId="11B39D9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8.09</w:t>
            </w:r>
          </w:p>
        </w:tc>
        <w:tc>
          <w:tcPr>
            <w:tcW w:w="708" w:type="dxa"/>
            <w:shd w:val="clear" w:color="auto" w:fill="auto"/>
            <w:noWrap/>
            <w:vAlign w:val="bottom"/>
            <w:hideMark/>
          </w:tcPr>
          <w:p w14:paraId="32B053B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37.49</w:t>
            </w:r>
          </w:p>
        </w:tc>
        <w:tc>
          <w:tcPr>
            <w:tcW w:w="708" w:type="dxa"/>
            <w:shd w:val="clear" w:color="auto" w:fill="auto"/>
            <w:noWrap/>
            <w:vAlign w:val="bottom"/>
            <w:hideMark/>
          </w:tcPr>
          <w:p w14:paraId="3188420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3.13</w:t>
            </w:r>
          </w:p>
        </w:tc>
        <w:tc>
          <w:tcPr>
            <w:tcW w:w="708" w:type="dxa"/>
            <w:shd w:val="clear" w:color="auto" w:fill="auto"/>
            <w:noWrap/>
            <w:vAlign w:val="bottom"/>
            <w:hideMark/>
          </w:tcPr>
          <w:p w14:paraId="6388590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22.33</w:t>
            </w:r>
          </w:p>
        </w:tc>
        <w:tc>
          <w:tcPr>
            <w:tcW w:w="708" w:type="dxa"/>
            <w:shd w:val="clear" w:color="auto" w:fill="auto"/>
            <w:noWrap/>
            <w:vAlign w:val="bottom"/>
            <w:hideMark/>
          </w:tcPr>
          <w:p w14:paraId="00CB495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1681</w:t>
            </w:r>
          </w:p>
        </w:tc>
        <w:tc>
          <w:tcPr>
            <w:tcW w:w="735" w:type="dxa"/>
            <w:shd w:val="clear" w:color="auto" w:fill="auto"/>
            <w:noWrap/>
            <w:vAlign w:val="bottom"/>
            <w:hideMark/>
          </w:tcPr>
          <w:p w14:paraId="11CA520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4.96</w:t>
            </w:r>
          </w:p>
        </w:tc>
        <w:tc>
          <w:tcPr>
            <w:tcW w:w="689" w:type="dxa"/>
            <w:shd w:val="clear" w:color="auto" w:fill="auto"/>
            <w:noWrap/>
            <w:vAlign w:val="bottom"/>
            <w:hideMark/>
          </w:tcPr>
          <w:p w14:paraId="19B87BF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0.59</w:t>
            </w:r>
          </w:p>
        </w:tc>
        <w:tc>
          <w:tcPr>
            <w:tcW w:w="708" w:type="dxa"/>
            <w:shd w:val="clear" w:color="auto" w:fill="auto"/>
            <w:noWrap/>
            <w:vAlign w:val="bottom"/>
            <w:hideMark/>
          </w:tcPr>
          <w:p w14:paraId="5579111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0.66</w:t>
            </w:r>
          </w:p>
        </w:tc>
        <w:tc>
          <w:tcPr>
            <w:tcW w:w="708" w:type="dxa"/>
            <w:shd w:val="clear" w:color="auto" w:fill="auto"/>
            <w:noWrap/>
            <w:vAlign w:val="bottom"/>
            <w:hideMark/>
          </w:tcPr>
          <w:p w14:paraId="20911A0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0.85</w:t>
            </w:r>
          </w:p>
        </w:tc>
      </w:tr>
      <w:tr w:rsidR="000353B8" w:rsidRPr="00260D4F" w14:paraId="5A4F64C7" w14:textId="77777777" w:rsidTr="000353B8">
        <w:trPr>
          <w:trHeight w:val="227"/>
          <w:jc w:val="center"/>
        </w:trPr>
        <w:tc>
          <w:tcPr>
            <w:tcW w:w="1555" w:type="dxa"/>
            <w:shd w:val="clear" w:color="auto" w:fill="auto"/>
            <w:noWrap/>
            <w:vAlign w:val="bottom"/>
            <w:hideMark/>
          </w:tcPr>
          <w:p w14:paraId="6C6188FA"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Southeast</w:t>
            </w:r>
            <w:proofErr w:type="spellEnd"/>
          </w:p>
        </w:tc>
        <w:tc>
          <w:tcPr>
            <w:tcW w:w="2551" w:type="dxa"/>
            <w:shd w:val="clear" w:color="auto" w:fill="auto"/>
            <w:noWrap/>
            <w:vAlign w:val="bottom"/>
            <w:hideMark/>
          </w:tcPr>
          <w:p w14:paraId="74D0D4FB"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Espírito Santo</w:t>
            </w:r>
          </w:p>
        </w:tc>
        <w:tc>
          <w:tcPr>
            <w:tcW w:w="708" w:type="dxa"/>
            <w:shd w:val="clear" w:color="auto" w:fill="auto"/>
            <w:noWrap/>
            <w:vAlign w:val="bottom"/>
            <w:hideMark/>
          </w:tcPr>
          <w:p w14:paraId="0A878C4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1.95</w:t>
            </w:r>
          </w:p>
        </w:tc>
        <w:tc>
          <w:tcPr>
            <w:tcW w:w="708" w:type="dxa"/>
            <w:shd w:val="clear" w:color="auto" w:fill="auto"/>
            <w:noWrap/>
            <w:vAlign w:val="bottom"/>
            <w:hideMark/>
          </w:tcPr>
          <w:p w14:paraId="0D1C892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20.04</w:t>
            </w:r>
          </w:p>
        </w:tc>
        <w:tc>
          <w:tcPr>
            <w:tcW w:w="708" w:type="dxa"/>
            <w:shd w:val="clear" w:color="auto" w:fill="auto"/>
            <w:noWrap/>
            <w:vAlign w:val="bottom"/>
            <w:hideMark/>
          </w:tcPr>
          <w:p w14:paraId="1AC7955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76.02</w:t>
            </w:r>
          </w:p>
        </w:tc>
        <w:tc>
          <w:tcPr>
            <w:tcW w:w="730" w:type="dxa"/>
            <w:shd w:val="clear" w:color="auto" w:fill="auto"/>
            <w:noWrap/>
            <w:vAlign w:val="bottom"/>
            <w:hideMark/>
          </w:tcPr>
          <w:p w14:paraId="75B7CB3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8.42</w:t>
            </w:r>
          </w:p>
        </w:tc>
        <w:tc>
          <w:tcPr>
            <w:tcW w:w="715" w:type="dxa"/>
            <w:shd w:val="clear" w:color="auto" w:fill="auto"/>
            <w:noWrap/>
            <w:vAlign w:val="bottom"/>
            <w:hideMark/>
          </w:tcPr>
          <w:p w14:paraId="26FCF7A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9.36</w:t>
            </w:r>
          </w:p>
        </w:tc>
        <w:tc>
          <w:tcPr>
            <w:tcW w:w="708" w:type="dxa"/>
            <w:shd w:val="clear" w:color="auto" w:fill="auto"/>
            <w:noWrap/>
            <w:vAlign w:val="bottom"/>
            <w:hideMark/>
          </w:tcPr>
          <w:p w14:paraId="51B6358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42.66</w:t>
            </w:r>
          </w:p>
        </w:tc>
        <w:tc>
          <w:tcPr>
            <w:tcW w:w="708" w:type="dxa"/>
            <w:shd w:val="clear" w:color="auto" w:fill="auto"/>
            <w:noWrap/>
            <w:vAlign w:val="bottom"/>
            <w:hideMark/>
          </w:tcPr>
          <w:p w14:paraId="5631920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6.38</w:t>
            </w:r>
          </w:p>
        </w:tc>
        <w:tc>
          <w:tcPr>
            <w:tcW w:w="708" w:type="dxa"/>
            <w:shd w:val="clear" w:color="auto" w:fill="auto"/>
            <w:noWrap/>
            <w:vAlign w:val="bottom"/>
            <w:hideMark/>
          </w:tcPr>
          <w:p w14:paraId="042B407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13.64</w:t>
            </w:r>
          </w:p>
        </w:tc>
        <w:tc>
          <w:tcPr>
            <w:tcW w:w="708" w:type="dxa"/>
            <w:shd w:val="clear" w:color="auto" w:fill="auto"/>
            <w:noWrap/>
            <w:vAlign w:val="bottom"/>
            <w:hideMark/>
          </w:tcPr>
          <w:p w14:paraId="0A55BC0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799.7</w:t>
            </w:r>
          </w:p>
        </w:tc>
        <w:tc>
          <w:tcPr>
            <w:tcW w:w="735" w:type="dxa"/>
            <w:shd w:val="clear" w:color="auto" w:fill="auto"/>
            <w:noWrap/>
            <w:vAlign w:val="bottom"/>
            <w:hideMark/>
          </w:tcPr>
          <w:p w14:paraId="161A158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8.87</w:t>
            </w:r>
          </w:p>
        </w:tc>
        <w:tc>
          <w:tcPr>
            <w:tcW w:w="689" w:type="dxa"/>
            <w:shd w:val="clear" w:color="auto" w:fill="auto"/>
            <w:noWrap/>
            <w:vAlign w:val="bottom"/>
            <w:hideMark/>
          </w:tcPr>
          <w:p w14:paraId="01B7D6F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0.51</w:t>
            </w:r>
          </w:p>
        </w:tc>
        <w:tc>
          <w:tcPr>
            <w:tcW w:w="708" w:type="dxa"/>
            <w:shd w:val="clear" w:color="auto" w:fill="auto"/>
            <w:noWrap/>
            <w:vAlign w:val="bottom"/>
            <w:hideMark/>
          </w:tcPr>
          <w:p w14:paraId="04BED18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0.46</w:t>
            </w:r>
          </w:p>
        </w:tc>
        <w:tc>
          <w:tcPr>
            <w:tcW w:w="708" w:type="dxa"/>
            <w:shd w:val="clear" w:color="auto" w:fill="auto"/>
            <w:noWrap/>
            <w:vAlign w:val="bottom"/>
            <w:hideMark/>
          </w:tcPr>
          <w:p w14:paraId="2778A49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0.772</w:t>
            </w:r>
          </w:p>
        </w:tc>
      </w:tr>
      <w:tr w:rsidR="000353B8" w:rsidRPr="00260D4F" w14:paraId="59B3D503" w14:textId="77777777" w:rsidTr="000353B8">
        <w:trPr>
          <w:trHeight w:val="227"/>
          <w:jc w:val="center"/>
        </w:trPr>
        <w:tc>
          <w:tcPr>
            <w:tcW w:w="1555" w:type="dxa"/>
            <w:shd w:val="clear" w:color="auto" w:fill="auto"/>
            <w:noWrap/>
            <w:vAlign w:val="bottom"/>
            <w:hideMark/>
          </w:tcPr>
          <w:p w14:paraId="32DA03C4"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Midwest</w:t>
            </w:r>
            <w:proofErr w:type="spellEnd"/>
          </w:p>
        </w:tc>
        <w:tc>
          <w:tcPr>
            <w:tcW w:w="2551" w:type="dxa"/>
            <w:shd w:val="clear" w:color="auto" w:fill="auto"/>
            <w:noWrap/>
            <w:vAlign w:val="bottom"/>
            <w:hideMark/>
          </w:tcPr>
          <w:p w14:paraId="70CF53B6"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Goiás</w:t>
            </w:r>
          </w:p>
        </w:tc>
        <w:tc>
          <w:tcPr>
            <w:tcW w:w="708" w:type="dxa"/>
            <w:shd w:val="clear" w:color="auto" w:fill="auto"/>
            <w:noWrap/>
            <w:vAlign w:val="bottom"/>
            <w:hideMark/>
          </w:tcPr>
          <w:p w14:paraId="5CCB615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2.9</w:t>
            </w:r>
          </w:p>
        </w:tc>
        <w:tc>
          <w:tcPr>
            <w:tcW w:w="708" w:type="dxa"/>
            <w:shd w:val="clear" w:color="auto" w:fill="auto"/>
            <w:noWrap/>
            <w:vAlign w:val="bottom"/>
            <w:hideMark/>
          </w:tcPr>
          <w:p w14:paraId="0161C93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22.32</w:t>
            </w:r>
          </w:p>
        </w:tc>
        <w:tc>
          <w:tcPr>
            <w:tcW w:w="708" w:type="dxa"/>
            <w:shd w:val="clear" w:color="auto" w:fill="auto"/>
            <w:noWrap/>
            <w:vAlign w:val="bottom"/>
            <w:hideMark/>
          </w:tcPr>
          <w:p w14:paraId="1F719DA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74.34</w:t>
            </w:r>
          </w:p>
        </w:tc>
        <w:tc>
          <w:tcPr>
            <w:tcW w:w="730" w:type="dxa"/>
            <w:shd w:val="clear" w:color="auto" w:fill="auto"/>
            <w:noWrap/>
            <w:vAlign w:val="bottom"/>
            <w:hideMark/>
          </w:tcPr>
          <w:p w14:paraId="64B8B7A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14.52</w:t>
            </w:r>
          </w:p>
        </w:tc>
        <w:tc>
          <w:tcPr>
            <w:tcW w:w="715" w:type="dxa"/>
            <w:shd w:val="clear" w:color="auto" w:fill="auto"/>
            <w:noWrap/>
            <w:vAlign w:val="bottom"/>
            <w:hideMark/>
          </w:tcPr>
          <w:p w14:paraId="1D6A4D4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8.8</w:t>
            </w:r>
          </w:p>
        </w:tc>
        <w:tc>
          <w:tcPr>
            <w:tcW w:w="708" w:type="dxa"/>
            <w:shd w:val="clear" w:color="auto" w:fill="auto"/>
            <w:noWrap/>
            <w:vAlign w:val="bottom"/>
            <w:hideMark/>
          </w:tcPr>
          <w:p w14:paraId="1224A45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41.25</w:t>
            </w:r>
          </w:p>
        </w:tc>
        <w:tc>
          <w:tcPr>
            <w:tcW w:w="708" w:type="dxa"/>
            <w:shd w:val="clear" w:color="auto" w:fill="auto"/>
            <w:noWrap/>
            <w:vAlign w:val="bottom"/>
            <w:hideMark/>
          </w:tcPr>
          <w:p w14:paraId="22C28DB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6.51</w:t>
            </w:r>
          </w:p>
        </w:tc>
        <w:tc>
          <w:tcPr>
            <w:tcW w:w="708" w:type="dxa"/>
            <w:shd w:val="clear" w:color="auto" w:fill="auto"/>
            <w:noWrap/>
            <w:vAlign w:val="bottom"/>
            <w:hideMark/>
          </w:tcPr>
          <w:p w14:paraId="4D5F31E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12.1</w:t>
            </w:r>
          </w:p>
        </w:tc>
        <w:tc>
          <w:tcPr>
            <w:tcW w:w="708" w:type="dxa"/>
            <w:shd w:val="clear" w:color="auto" w:fill="auto"/>
            <w:noWrap/>
            <w:vAlign w:val="bottom"/>
            <w:hideMark/>
          </w:tcPr>
          <w:p w14:paraId="580A393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835.4</w:t>
            </w:r>
          </w:p>
        </w:tc>
        <w:tc>
          <w:tcPr>
            <w:tcW w:w="735" w:type="dxa"/>
            <w:shd w:val="clear" w:color="auto" w:fill="auto"/>
            <w:noWrap/>
            <w:vAlign w:val="bottom"/>
            <w:hideMark/>
          </w:tcPr>
          <w:p w14:paraId="1B41EC1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5.87</w:t>
            </w:r>
          </w:p>
        </w:tc>
        <w:tc>
          <w:tcPr>
            <w:tcW w:w="689" w:type="dxa"/>
            <w:shd w:val="clear" w:color="auto" w:fill="auto"/>
            <w:noWrap/>
            <w:vAlign w:val="bottom"/>
            <w:hideMark/>
          </w:tcPr>
          <w:p w14:paraId="4B0A100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0.49</w:t>
            </w:r>
          </w:p>
        </w:tc>
        <w:tc>
          <w:tcPr>
            <w:tcW w:w="708" w:type="dxa"/>
            <w:shd w:val="clear" w:color="auto" w:fill="auto"/>
            <w:noWrap/>
            <w:vAlign w:val="bottom"/>
            <w:hideMark/>
          </w:tcPr>
          <w:p w14:paraId="5C15E42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0.42</w:t>
            </w:r>
          </w:p>
        </w:tc>
        <w:tc>
          <w:tcPr>
            <w:tcW w:w="708" w:type="dxa"/>
            <w:shd w:val="clear" w:color="auto" w:fill="auto"/>
            <w:noWrap/>
            <w:vAlign w:val="bottom"/>
            <w:hideMark/>
          </w:tcPr>
          <w:p w14:paraId="4EDEF04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0.769</w:t>
            </w:r>
          </w:p>
        </w:tc>
      </w:tr>
      <w:tr w:rsidR="000353B8" w:rsidRPr="00260D4F" w14:paraId="20C46D8F" w14:textId="77777777" w:rsidTr="000353B8">
        <w:trPr>
          <w:trHeight w:val="227"/>
          <w:jc w:val="center"/>
        </w:trPr>
        <w:tc>
          <w:tcPr>
            <w:tcW w:w="1555" w:type="dxa"/>
            <w:shd w:val="clear" w:color="auto" w:fill="auto"/>
            <w:noWrap/>
            <w:vAlign w:val="bottom"/>
            <w:hideMark/>
          </w:tcPr>
          <w:p w14:paraId="62FFC767"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Northeast</w:t>
            </w:r>
            <w:proofErr w:type="spellEnd"/>
          </w:p>
        </w:tc>
        <w:tc>
          <w:tcPr>
            <w:tcW w:w="2551" w:type="dxa"/>
            <w:shd w:val="clear" w:color="auto" w:fill="auto"/>
            <w:noWrap/>
            <w:vAlign w:val="bottom"/>
            <w:hideMark/>
          </w:tcPr>
          <w:p w14:paraId="0991A92A"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Maranhão</w:t>
            </w:r>
          </w:p>
        </w:tc>
        <w:tc>
          <w:tcPr>
            <w:tcW w:w="708" w:type="dxa"/>
            <w:shd w:val="clear" w:color="auto" w:fill="auto"/>
            <w:noWrap/>
            <w:vAlign w:val="bottom"/>
            <w:hideMark/>
          </w:tcPr>
          <w:p w14:paraId="3413759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10.38</w:t>
            </w:r>
          </w:p>
        </w:tc>
        <w:tc>
          <w:tcPr>
            <w:tcW w:w="708" w:type="dxa"/>
            <w:shd w:val="clear" w:color="auto" w:fill="auto"/>
            <w:noWrap/>
            <w:vAlign w:val="bottom"/>
            <w:hideMark/>
          </w:tcPr>
          <w:p w14:paraId="6992163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32.39</w:t>
            </w:r>
          </w:p>
        </w:tc>
        <w:tc>
          <w:tcPr>
            <w:tcW w:w="708" w:type="dxa"/>
            <w:shd w:val="clear" w:color="auto" w:fill="auto"/>
            <w:noWrap/>
            <w:vAlign w:val="bottom"/>
            <w:hideMark/>
          </w:tcPr>
          <w:p w14:paraId="246A197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70.85</w:t>
            </w:r>
          </w:p>
        </w:tc>
        <w:tc>
          <w:tcPr>
            <w:tcW w:w="730" w:type="dxa"/>
            <w:shd w:val="clear" w:color="auto" w:fill="auto"/>
            <w:noWrap/>
            <w:vAlign w:val="bottom"/>
            <w:hideMark/>
          </w:tcPr>
          <w:p w14:paraId="155F9E8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20.32</w:t>
            </w:r>
          </w:p>
        </w:tc>
        <w:tc>
          <w:tcPr>
            <w:tcW w:w="715" w:type="dxa"/>
            <w:shd w:val="clear" w:color="auto" w:fill="auto"/>
            <w:noWrap/>
            <w:vAlign w:val="bottom"/>
            <w:hideMark/>
          </w:tcPr>
          <w:p w14:paraId="1051990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7.92</w:t>
            </w:r>
          </w:p>
        </w:tc>
        <w:tc>
          <w:tcPr>
            <w:tcW w:w="708" w:type="dxa"/>
            <w:shd w:val="clear" w:color="auto" w:fill="auto"/>
            <w:noWrap/>
            <w:vAlign w:val="bottom"/>
            <w:hideMark/>
          </w:tcPr>
          <w:p w14:paraId="25678DC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52.18</w:t>
            </w:r>
          </w:p>
        </w:tc>
        <w:tc>
          <w:tcPr>
            <w:tcW w:w="708" w:type="dxa"/>
            <w:shd w:val="clear" w:color="auto" w:fill="auto"/>
            <w:noWrap/>
            <w:vAlign w:val="bottom"/>
            <w:hideMark/>
          </w:tcPr>
          <w:p w14:paraId="10B72A5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17.8</w:t>
            </w:r>
          </w:p>
        </w:tc>
        <w:tc>
          <w:tcPr>
            <w:tcW w:w="708" w:type="dxa"/>
            <w:shd w:val="clear" w:color="auto" w:fill="auto"/>
            <w:noWrap/>
            <w:vAlign w:val="bottom"/>
            <w:hideMark/>
          </w:tcPr>
          <w:p w14:paraId="6739C09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16.78</w:t>
            </w:r>
          </w:p>
        </w:tc>
        <w:tc>
          <w:tcPr>
            <w:tcW w:w="708" w:type="dxa"/>
            <w:shd w:val="clear" w:color="auto" w:fill="auto"/>
            <w:noWrap/>
            <w:vAlign w:val="bottom"/>
            <w:hideMark/>
          </w:tcPr>
          <w:p w14:paraId="2D9F666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387.3</w:t>
            </w:r>
          </w:p>
        </w:tc>
        <w:tc>
          <w:tcPr>
            <w:tcW w:w="735" w:type="dxa"/>
            <w:shd w:val="clear" w:color="auto" w:fill="auto"/>
            <w:noWrap/>
            <w:vAlign w:val="bottom"/>
            <w:hideMark/>
          </w:tcPr>
          <w:p w14:paraId="57288B0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29.25</w:t>
            </w:r>
          </w:p>
        </w:tc>
        <w:tc>
          <w:tcPr>
            <w:tcW w:w="689" w:type="dxa"/>
            <w:shd w:val="clear" w:color="auto" w:fill="auto"/>
            <w:noWrap/>
            <w:vAlign w:val="bottom"/>
            <w:hideMark/>
          </w:tcPr>
          <w:p w14:paraId="496A974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0.54</w:t>
            </w:r>
          </w:p>
        </w:tc>
        <w:tc>
          <w:tcPr>
            <w:tcW w:w="708" w:type="dxa"/>
            <w:shd w:val="clear" w:color="auto" w:fill="auto"/>
            <w:noWrap/>
            <w:vAlign w:val="bottom"/>
            <w:hideMark/>
          </w:tcPr>
          <w:p w14:paraId="193A9C2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0.54</w:t>
            </w:r>
          </w:p>
        </w:tc>
        <w:tc>
          <w:tcPr>
            <w:tcW w:w="708" w:type="dxa"/>
            <w:shd w:val="clear" w:color="auto" w:fill="auto"/>
            <w:noWrap/>
            <w:vAlign w:val="bottom"/>
            <w:hideMark/>
          </w:tcPr>
          <w:p w14:paraId="7884FBF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0.687</w:t>
            </w:r>
          </w:p>
        </w:tc>
      </w:tr>
      <w:tr w:rsidR="000353B8" w:rsidRPr="00260D4F" w14:paraId="55148BD8" w14:textId="77777777" w:rsidTr="000353B8">
        <w:trPr>
          <w:trHeight w:val="227"/>
          <w:jc w:val="center"/>
        </w:trPr>
        <w:tc>
          <w:tcPr>
            <w:tcW w:w="1555" w:type="dxa"/>
            <w:shd w:val="clear" w:color="auto" w:fill="auto"/>
            <w:noWrap/>
            <w:vAlign w:val="bottom"/>
            <w:hideMark/>
          </w:tcPr>
          <w:p w14:paraId="2AABCD9C"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Midwest</w:t>
            </w:r>
            <w:proofErr w:type="spellEnd"/>
          </w:p>
        </w:tc>
        <w:tc>
          <w:tcPr>
            <w:tcW w:w="2551" w:type="dxa"/>
            <w:shd w:val="clear" w:color="auto" w:fill="auto"/>
            <w:noWrap/>
            <w:vAlign w:val="bottom"/>
            <w:hideMark/>
          </w:tcPr>
          <w:p w14:paraId="1BFB982A"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Mato Grosso do Sul</w:t>
            </w:r>
          </w:p>
        </w:tc>
        <w:tc>
          <w:tcPr>
            <w:tcW w:w="708" w:type="dxa"/>
            <w:shd w:val="clear" w:color="auto" w:fill="auto"/>
            <w:noWrap/>
            <w:vAlign w:val="bottom"/>
            <w:hideMark/>
          </w:tcPr>
          <w:p w14:paraId="1E09497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1.86</w:t>
            </w:r>
          </w:p>
        </w:tc>
        <w:tc>
          <w:tcPr>
            <w:tcW w:w="708" w:type="dxa"/>
            <w:shd w:val="clear" w:color="auto" w:fill="auto"/>
            <w:noWrap/>
            <w:vAlign w:val="bottom"/>
            <w:hideMark/>
          </w:tcPr>
          <w:p w14:paraId="65543BA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21.48</w:t>
            </w:r>
          </w:p>
        </w:tc>
        <w:tc>
          <w:tcPr>
            <w:tcW w:w="708" w:type="dxa"/>
            <w:shd w:val="clear" w:color="auto" w:fill="auto"/>
            <w:noWrap/>
            <w:vAlign w:val="bottom"/>
            <w:hideMark/>
          </w:tcPr>
          <w:p w14:paraId="6B80BB2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75.8</w:t>
            </w:r>
          </w:p>
        </w:tc>
        <w:tc>
          <w:tcPr>
            <w:tcW w:w="730" w:type="dxa"/>
            <w:shd w:val="clear" w:color="auto" w:fill="auto"/>
            <w:noWrap/>
            <w:vAlign w:val="bottom"/>
            <w:hideMark/>
          </w:tcPr>
          <w:p w14:paraId="44987FF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13.62</w:t>
            </w:r>
          </w:p>
        </w:tc>
        <w:tc>
          <w:tcPr>
            <w:tcW w:w="715" w:type="dxa"/>
            <w:shd w:val="clear" w:color="auto" w:fill="auto"/>
            <w:noWrap/>
            <w:vAlign w:val="bottom"/>
            <w:hideMark/>
          </w:tcPr>
          <w:p w14:paraId="2971F49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9.12</w:t>
            </w:r>
          </w:p>
        </w:tc>
        <w:tc>
          <w:tcPr>
            <w:tcW w:w="708" w:type="dxa"/>
            <w:shd w:val="clear" w:color="auto" w:fill="auto"/>
            <w:noWrap/>
            <w:vAlign w:val="bottom"/>
            <w:hideMark/>
          </w:tcPr>
          <w:p w14:paraId="13C0C76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45.71</w:t>
            </w:r>
          </w:p>
        </w:tc>
        <w:tc>
          <w:tcPr>
            <w:tcW w:w="708" w:type="dxa"/>
            <w:shd w:val="clear" w:color="auto" w:fill="auto"/>
            <w:noWrap/>
            <w:vAlign w:val="bottom"/>
            <w:hideMark/>
          </w:tcPr>
          <w:p w14:paraId="65AE9B0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5.48</w:t>
            </w:r>
          </w:p>
        </w:tc>
        <w:tc>
          <w:tcPr>
            <w:tcW w:w="708" w:type="dxa"/>
            <w:shd w:val="clear" w:color="auto" w:fill="auto"/>
            <w:noWrap/>
            <w:vAlign w:val="bottom"/>
            <w:hideMark/>
          </w:tcPr>
          <w:p w14:paraId="29A3E33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11.58</w:t>
            </w:r>
          </w:p>
        </w:tc>
        <w:tc>
          <w:tcPr>
            <w:tcW w:w="708" w:type="dxa"/>
            <w:shd w:val="clear" w:color="auto" w:fill="auto"/>
            <w:noWrap/>
            <w:vAlign w:val="bottom"/>
            <w:hideMark/>
          </w:tcPr>
          <w:p w14:paraId="0F507DA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840.6</w:t>
            </w:r>
          </w:p>
        </w:tc>
        <w:tc>
          <w:tcPr>
            <w:tcW w:w="735" w:type="dxa"/>
            <w:shd w:val="clear" w:color="auto" w:fill="auto"/>
            <w:noWrap/>
            <w:vAlign w:val="bottom"/>
            <w:hideMark/>
          </w:tcPr>
          <w:p w14:paraId="1DF19D9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6.92</w:t>
            </w:r>
          </w:p>
        </w:tc>
        <w:tc>
          <w:tcPr>
            <w:tcW w:w="689" w:type="dxa"/>
            <w:shd w:val="clear" w:color="auto" w:fill="auto"/>
            <w:noWrap/>
            <w:vAlign w:val="bottom"/>
            <w:hideMark/>
          </w:tcPr>
          <w:p w14:paraId="593700C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0.48</w:t>
            </w:r>
          </w:p>
        </w:tc>
        <w:tc>
          <w:tcPr>
            <w:tcW w:w="708" w:type="dxa"/>
            <w:shd w:val="clear" w:color="auto" w:fill="auto"/>
            <w:noWrap/>
            <w:vAlign w:val="bottom"/>
            <w:hideMark/>
          </w:tcPr>
          <w:p w14:paraId="2E26574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0.41</w:t>
            </w:r>
          </w:p>
        </w:tc>
        <w:tc>
          <w:tcPr>
            <w:tcW w:w="708" w:type="dxa"/>
            <w:shd w:val="clear" w:color="auto" w:fill="auto"/>
            <w:noWrap/>
            <w:vAlign w:val="bottom"/>
            <w:hideMark/>
          </w:tcPr>
          <w:p w14:paraId="0FEEBEA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0.766</w:t>
            </w:r>
          </w:p>
        </w:tc>
      </w:tr>
      <w:tr w:rsidR="000353B8" w:rsidRPr="00260D4F" w14:paraId="12037FCC" w14:textId="77777777" w:rsidTr="000353B8">
        <w:trPr>
          <w:trHeight w:val="227"/>
          <w:jc w:val="center"/>
        </w:trPr>
        <w:tc>
          <w:tcPr>
            <w:tcW w:w="1555" w:type="dxa"/>
            <w:shd w:val="clear" w:color="auto" w:fill="auto"/>
            <w:noWrap/>
            <w:vAlign w:val="bottom"/>
            <w:hideMark/>
          </w:tcPr>
          <w:p w14:paraId="1045B763"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Midwest</w:t>
            </w:r>
            <w:proofErr w:type="spellEnd"/>
          </w:p>
        </w:tc>
        <w:tc>
          <w:tcPr>
            <w:tcW w:w="2551" w:type="dxa"/>
            <w:shd w:val="clear" w:color="auto" w:fill="auto"/>
            <w:noWrap/>
            <w:vAlign w:val="bottom"/>
            <w:hideMark/>
          </w:tcPr>
          <w:p w14:paraId="5D99033E"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Mato Grosso</w:t>
            </w:r>
          </w:p>
        </w:tc>
        <w:tc>
          <w:tcPr>
            <w:tcW w:w="708" w:type="dxa"/>
            <w:shd w:val="clear" w:color="auto" w:fill="auto"/>
            <w:noWrap/>
            <w:vAlign w:val="bottom"/>
            <w:hideMark/>
          </w:tcPr>
          <w:p w14:paraId="521E36C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2.2</w:t>
            </w:r>
          </w:p>
        </w:tc>
        <w:tc>
          <w:tcPr>
            <w:tcW w:w="708" w:type="dxa"/>
            <w:shd w:val="clear" w:color="auto" w:fill="auto"/>
            <w:noWrap/>
            <w:vAlign w:val="bottom"/>
            <w:hideMark/>
          </w:tcPr>
          <w:p w14:paraId="6C28D85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20.88</w:t>
            </w:r>
          </w:p>
        </w:tc>
        <w:tc>
          <w:tcPr>
            <w:tcW w:w="708" w:type="dxa"/>
            <w:shd w:val="clear" w:color="auto" w:fill="auto"/>
            <w:noWrap/>
            <w:vAlign w:val="bottom"/>
            <w:hideMark/>
          </w:tcPr>
          <w:p w14:paraId="7600968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74.47</w:t>
            </w:r>
          </w:p>
        </w:tc>
        <w:tc>
          <w:tcPr>
            <w:tcW w:w="730" w:type="dxa"/>
            <w:shd w:val="clear" w:color="auto" w:fill="auto"/>
            <w:noWrap/>
            <w:vAlign w:val="bottom"/>
            <w:hideMark/>
          </w:tcPr>
          <w:p w14:paraId="0F9CF00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16.49</w:t>
            </w:r>
          </w:p>
        </w:tc>
        <w:tc>
          <w:tcPr>
            <w:tcW w:w="715" w:type="dxa"/>
            <w:shd w:val="clear" w:color="auto" w:fill="auto"/>
            <w:noWrap/>
            <w:vAlign w:val="bottom"/>
            <w:hideMark/>
          </w:tcPr>
          <w:p w14:paraId="12B1DF3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7.6</w:t>
            </w:r>
          </w:p>
        </w:tc>
        <w:tc>
          <w:tcPr>
            <w:tcW w:w="708" w:type="dxa"/>
            <w:shd w:val="clear" w:color="auto" w:fill="auto"/>
            <w:noWrap/>
            <w:vAlign w:val="bottom"/>
            <w:hideMark/>
          </w:tcPr>
          <w:p w14:paraId="4CCC24A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43.31</w:t>
            </w:r>
          </w:p>
        </w:tc>
        <w:tc>
          <w:tcPr>
            <w:tcW w:w="708" w:type="dxa"/>
            <w:shd w:val="clear" w:color="auto" w:fill="auto"/>
            <w:noWrap/>
            <w:vAlign w:val="bottom"/>
            <w:hideMark/>
          </w:tcPr>
          <w:p w14:paraId="4EA804C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7.01</w:t>
            </w:r>
          </w:p>
        </w:tc>
        <w:tc>
          <w:tcPr>
            <w:tcW w:w="708" w:type="dxa"/>
            <w:shd w:val="clear" w:color="auto" w:fill="auto"/>
            <w:noWrap/>
            <w:vAlign w:val="bottom"/>
            <w:hideMark/>
          </w:tcPr>
          <w:p w14:paraId="3EE612F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10.72</w:t>
            </w:r>
          </w:p>
        </w:tc>
        <w:tc>
          <w:tcPr>
            <w:tcW w:w="708" w:type="dxa"/>
            <w:shd w:val="clear" w:color="auto" w:fill="auto"/>
            <w:noWrap/>
            <w:vAlign w:val="bottom"/>
            <w:hideMark/>
          </w:tcPr>
          <w:p w14:paraId="1B7375C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809</w:t>
            </w:r>
          </w:p>
        </w:tc>
        <w:tc>
          <w:tcPr>
            <w:tcW w:w="735" w:type="dxa"/>
            <w:shd w:val="clear" w:color="auto" w:fill="auto"/>
            <w:noWrap/>
            <w:vAlign w:val="bottom"/>
            <w:hideMark/>
          </w:tcPr>
          <w:p w14:paraId="37798B5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5.97</w:t>
            </w:r>
          </w:p>
        </w:tc>
        <w:tc>
          <w:tcPr>
            <w:tcW w:w="689" w:type="dxa"/>
            <w:shd w:val="clear" w:color="auto" w:fill="auto"/>
            <w:noWrap/>
            <w:vAlign w:val="bottom"/>
            <w:hideMark/>
          </w:tcPr>
          <w:p w14:paraId="4CE43A3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0.47</w:t>
            </w:r>
          </w:p>
        </w:tc>
        <w:tc>
          <w:tcPr>
            <w:tcW w:w="708" w:type="dxa"/>
            <w:shd w:val="clear" w:color="auto" w:fill="auto"/>
            <w:noWrap/>
            <w:vAlign w:val="bottom"/>
            <w:hideMark/>
          </w:tcPr>
          <w:p w14:paraId="6A9B0CA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0.38</w:t>
            </w:r>
          </w:p>
        </w:tc>
        <w:tc>
          <w:tcPr>
            <w:tcW w:w="708" w:type="dxa"/>
            <w:shd w:val="clear" w:color="auto" w:fill="auto"/>
            <w:noWrap/>
            <w:vAlign w:val="bottom"/>
            <w:hideMark/>
          </w:tcPr>
          <w:p w14:paraId="5940477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0.774</w:t>
            </w:r>
          </w:p>
        </w:tc>
      </w:tr>
      <w:tr w:rsidR="000353B8" w:rsidRPr="00260D4F" w14:paraId="21ABD7AA" w14:textId="77777777" w:rsidTr="000353B8">
        <w:trPr>
          <w:trHeight w:val="227"/>
          <w:jc w:val="center"/>
        </w:trPr>
        <w:tc>
          <w:tcPr>
            <w:tcW w:w="1555" w:type="dxa"/>
            <w:shd w:val="clear" w:color="auto" w:fill="auto"/>
            <w:noWrap/>
            <w:vAlign w:val="bottom"/>
            <w:hideMark/>
          </w:tcPr>
          <w:p w14:paraId="2B4A727A"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Southeast</w:t>
            </w:r>
            <w:proofErr w:type="spellEnd"/>
          </w:p>
        </w:tc>
        <w:tc>
          <w:tcPr>
            <w:tcW w:w="2551" w:type="dxa"/>
            <w:shd w:val="clear" w:color="auto" w:fill="auto"/>
            <w:noWrap/>
            <w:vAlign w:val="bottom"/>
            <w:hideMark/>
          </w:tcPr>
          <w:p w14:paraId="62168317"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Minas Gerais</w:t>
            </w:r>
          </w:p>
        </w:tc>
        <w:tc>
          <w:tcPr>
            <w:tcW w:w="708" w:type="dxa"/>
            <w:shd w:val="clear" w:color="auto" w:fill="auto"/>
            <w:noWrap/>
            <w:vAlign w:val="bottom"/>
            <w:hideMark/>
          </w:tcPr>
          <w:p w14:paraId="14B0023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1.47</w:t>
            </w:r>
          </w:p>
        </w:tc>
        <w:tc>
          <w:tcPr>
            <w:tcW w:w="708" w:type="dxa"/>
            <w:shd w:val="clear" w:color="auto" w:fill="auto"/>
            <w:noWrap/>
            <w:vAlign w:val="bottom"/>
            <w:hideMark/>
          </w:tcPr>
          <w:p w14:paraId="3F51D14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22.61</w:t>
            </w:r>
          </w:p>
        </w:tc>
        <w:tc>
          <w:tcPr>
            <w:tcW w:w="708" w:type="dxa"/>
            <w:shd w:val="clear" w:color="auto" w:fill="auto"/>
            <w:noWrap/>
            <w:vAlign w:val="bottom"/>
            <w:hideMark/>
          </w:tcPr>
          <w:p w14:paraId="40D717D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77.49</w:t>
            </w:r>
          </w:p>
        </w:tc>
        <w:tc>
          <w:tcPr>
            <w:tcW w:w="730" w:type="dxa"/>
            <w:shd w:val="clear" w:color="auto" w:fill="auto"/>
            <w:noWrap/>
            <w:vAlign w:val="bottom"/>
            <w:hideMark/>
          </w:tcPr>
          <w:p w14:paraId="16BB6F8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10.42</w:t>
            </w:r>
          </w:p>
        </w:tc>
        <w:tc>
          <w:tcPr>
            <w:tcW w:w="715" w:type="dxa"/>
            <w:shd w:val="clear" w:color="auto" w:fill="auto"/>
            <w:noWrap/>
            <w:vAlign w:val="bottom"/>
            <w:hideMark/>
          </w:tcPr>
          <w:p w14:paraId="2FB2334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10.51</w:t>
            </w:r>
          </w:p>
        </w:tc>
        <w:tc>
          <w:tcPr>
            <w:tcW w:w="708" w:type="dxa"/>
            <w:shd w:val="clear" w:color="auto" w:fill="auto"/>
            <w:noWrap/>
            <w:vAlign w:val="bottom"/>
            <w:hideMark/>
          </w:tcPr>
          <w:p w14:paraId="6266358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41.71</w:t>
            </w:r>
          </w:p>
        </w:tc>
        <w:tc>
          <w:tcPr>
            <w:tcW w:w="708" w:type="dxa"/>
            <w:shd w:val="clear" w:color="auto" w:fill="auto"/>
            <w:noWrap/>
            <w:vAlign w:val="bottom"/>
            <w:hideMark/>
          </w:tcPr>
          <w:p w14:paraId="0621981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6.31</w:t>
            </w:r>
          </w:p>
        </w:tc>
        <w:tc>
          <w:tcPr>
            <w:tcW w:w="708" w:type="dxa"/>
            <w:shd w:val="clear" w:color="auto" w:fill="auto"/>
            <w:noWrap/>
            <w:vAlign w:val="bottom"/>
            <w:hideMark/>
          </w:tcPr>
          <w:p w14:paraId="7F00A0E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13.23</w:t>
            </w:r>
          </w:p>
        </w:tc>
        <w:tc>
          <w:tcPr>
            <w:tcW w:w="708" w:type="dxa"/>
            <w:shd w:val="clear" w:color="auto" w:fill="auto"/>
            <w:noWrap/>
            <w:vAlign w:val="bottom"/>
            <w:hideMark/>
          </w:tcPr>
          <w:p w14:paraId="5629E0E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804.5</w:t>
            </w:r>
          </w:p>
        </w:tc>
        <w:tc>
          <w:tcPr>
            <w:tcW w:w="735" w:type="dxa"/>
            <w:shd w:val="clear" w:color="auto" w:fill="auto"/>
            <w:noWrap/>
            <w:vAlign w:val="bottom"/>
            <w:hideMark/>
          </w:tcPr>
          <w:p w14:paraId="1FA5410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8.22</w:t>
            </w:r>
          </w:p>
        </w:tc>
        <w:tc>
          <w:tcPr>
            <w:tcW w:w="689" w:type="dxa"/>
            <w:shd w:val="clear" w:color="auto" w:fill="auto"/>
            <w:noWrap/>
            <w:vAlign w:val="bottom"/>
            <w:hideMark/>
          </w:tcPr>
          <w:p w14:paraId="21BB835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w:t>
            </w:r>
          </w:p>
        </w:tc>
        <w:tc>
          <w:tcPr>
            <w:tcW w:w="708" w:type="dxa"/>
            <w:shd w:val="clear" w:color="auto" w:fill="auto"/>
            <w:noWrap/>
            <w:vAlign w:val="bottom"/>
            <w:hideMark/>
          </w:tcPr>
          <w:p w14:paraId="31AAF22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0.45</w:t>
            </w:r>
          </w:p>
        </w:tc>
        <w:tc>
          <w:tcPr>
            <w:tcW w:w="708" w:type="dxa"/>
            <w:shd w:val="clear" w:color="auto" w:fill="auto"/>
            <w:noWrap/>
            <w:vAlign w:val="bottom"/>
            <w:hideMark/>
          </w:tcPr>
          <w:p w14:paraId="0619AA6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0.787</w:t>
            </w:r>
          </w:p>
        </w:tc>
      </w:tr>
      <w:tr w:rsidR="000353B8" w:rsidRPr="00260D4F" w14:paraId="3092D311" w14:textId="77777777" w:rsidTr="000353B8">
        <w:trPr>
          <w:trHeight w:val="227"/>
          <w:jc w:val="center"/>
        </w:trPr>
        <w:tc>
          <w:tcPr>
            <w:tcW w:w="1555" w:type="dxa"/>
            <w:shd w:val="clear" w:color="auto" w:fill="auto"/>
            <w:noWrap/>
            <w:vAlign w:val="bottom"/>
            <w:hideMark/>
          </w:tcPr>
          <w:p w14:paraId="587D53D9"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Northeast</w:t>
            </w:r>
            <w:proofErr w:type="spellEnd"/>
          </w:p>
        </w:tc>
        <w:tc>
          <w:tcPr>
            <w:tcW w:w="2551" w:type="dxa"/>
            <w:shd w:val="clear" w:color="auto" w:fill="auto"/>
            <w:noWrap/>
            <w:vAlign w:val="bottom"/>
            <w:hideMark/>
          </w:tcPr>
          <w:p w14:paraId="5B06836C"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Paraíba</w:t>
            </w:r>
          </w:p>
        </w:tc>
        <w:tc>
          <w:tcPr>
            <w:tcW w:w="708" w:type="dxa"/>
            <w:shd w:val="clear" w:color="auto" w:fill="auto"/>
            <w:noWrap/>
            <w:vAlign w:val="bottom"/>
            <w:hideMark/>
          </w:tcPr>
          <w:p w14:paraId="23ECAD0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4.14</w:t>
            </w:r>
          </w:p>
        </w:tc>
        <w:tc>
          <w:tcPr>
            <w:tcW w:w="708" w:type="dxa"/>
            <w:shd w:val="clear" w:color="auto" w:fill="auto"/>
            <w:noWrap/>
            <w:vAlign w:val="bottom"/>
            <w:hideMark/>
          </w:tcPr>
          <w:p w14:paraId="49B7143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23.54</w:t>
            </w:r>
          </w:p>
        </w:tc>
        <w:tc>
          <w:tcPr>
            <w:tcW w:w="708" w:type="dxa"/>
            <w:shd w:val="clear" w:color="auto" w:fill="auto"/>
            <w:noWrap/>
            <w:vAlign w:val="bottom"/>
            <w:hideMark/>
          </w:tcPr>
          <w:p w14:paraId="0F8ED1E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73.53</w:t>
            </w:r>
          </w:p>
        </w:tc>
        <w:tc>
          <w:tcPr>
            <w:tcW w:w="730" w:type="dxa"/>
            <w:shd w:val="clear" w:color="auto" w:fill="auto"/>
            <w:noWrap/>
            <w:vAlign w:val="bottom"/>
            <w:hideMark/>
          </w:tcPr>
          <w:p w14:paraId="7516670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15.37</w:t>
            </w:r>
          </w:p>
        </w:tc>
        <w:tc>
          <w:tcPr>
            <w:tcW w:w="715" w:type="dxa"/>
            <w:shd w:val="clear" w:color="auto" w:fill="auto"/>
            <w:noWrap/>
            <w:vAlign w:val="bottom"/>
            <w:hideMark/>
          </w:tcPr>
          <w:p w14:paraId="777C2E0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10.85</w:t>
            </w:r>
          </w:p>
        </w:tc>
        <w:tc>
          <w:tcPr>
            <w:tcW w:w="708" w:type="dxa"/>
            <w:shd w:val="clear" w:color="auto" w:fill="auto"/>
            <w:noWrap/>
            <w:vAlign w:val="bottom"/>
            <w:hideMark/>
          </w:tcPr>
          <w:p w14:paraId="71FF516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47.55</w:t>
            </w:r>
          </w:p>
        </w:tc>
        <w:tc>
          <w:tcPr>
            <w:tcW w:w="708" w:type="dxa"/>
            <w:shd w:val="clear" w:color="auto" w:fill="auto"/>
            <w:noWrap/>
            <w:vAlign w:val="bottom"/>
            <w:hideMark/>
          </w:tcPr>
          <w:p w14:paraId="6AE2F4E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18.11</w:t>
            </w:r>
          </w:p>
        </w:tc>
        <w:tc>
          <w:tcPr>
            <w:tcW w:w="708" w:type="dxa"/>
            <w:shd w:val="clear" w:color="auto" w:fill="auto"/>
            <w:noWrap/>
            <w:vAlign w:val="bottom"/>
            <w:hideMark/>
          </w:tcPr>
          <w:p w14:paraId="0EE38E2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18.55</w:t>
            </w:r>
          </w:p>
        </w:tc>
        <w:tc>
          <w:tcPr>
            <w:tcW w:w="708" w:type="dxa"/>
            <w:shd w:val="clear" w:color="auto" w:fill="auto"/>
            <w:noWrap/>
            <w:vAlign w:val="bottom"/>
            <w:hideMark/>
          </w:tcPr>
          <w:p w14:paraId="4AD1B32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601.6</w:t>
            </w:r>
          </w:p>
        </w:tc>
        <w:tc>
          <w:tcPr>
            <w:tcW w:w="735" w:type="dxa"/>
            <w:shd w:val="clear" w:color="auto" w:fill="auto"/>
            <w:noWrap/>
            <w:vAlign w:val="bottom"/>
            <w:hideMark/>
          </w:tcPr>
          <w:p w14:paraId="69D2CD7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17.66</w:t>
            </w:r>
          </w:p>
        </w:tc>
        <w:tc>
          <w:tcPr>
            <w:tcW w:w="689" w:type="dxa"/>
            <w:shd w:val="clear" w:color="auto" w:fill="auto"/>
            <w:noWrap/>
            <w:vAlign w:val="bottom"/>
            <w:hideMark/>
          </w:tcPr>
          <w:p w14:paraId="5721101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0.56</w:t>
            </w:r>
          </w:p>
        </w:tc>
        <w:tc>
          <w:tcPr>
            <w:tcW w:w="708" w:type="dxa"/>
            <w:shd w:val="clear" w:color="auto" w:fill="auto"/>
            <w:noWrap/>
            <w:vAlign w:val="bottom"/>
            <w:hideMark/>
          </w:tcPr>
          <w:p w14:paraId="2A73359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0.58</w:t>
            </w:r>
          </w:p>
        </w:tc>
        <w:tc>
          <w:tcPr>
            <w:tcW w:w="708" w:type="dxa"/>
            <w:shd w:val="clear" w:color="auto" w:fill="auto"/>
            <w:noWrap/>
            <w:vAlign w:val="bottom"/>
            <w:hideMark/>
          </w:tcPr>
          <w:p w14:paraId="20DBEFF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0.722</w:t>
            </w:r>
          </w:p>
        </w:tc>
      </w:tr>
      <w:tr w:rsidR="000353B8" w:rsidRPr="00260D4F" w14:paraId="2E03E385" w14:textId="77777777" w:rsidTr="000353B8">
        <w:trPr>
          <w:trHeight w:val="227"/>
          <w:jc w:val="center"/>
        </w:trPr>
        <w:tc>
          <w:tcPr>
            <w:tcW w:w="1555" w:type="dxa"/>
            <w:shd w:val="clear" w:color="auto" w:fill="auto"/>
            <w:noWrap/>
            <w:vAlign w:val="bottom"/>
            <w:hideMark/>
          </w:tcPr>
          <w:p w14:paraId="0BB80D51"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South</w:t>
            </w:r>
          </w:p>
        </w:tc>
        <w:tc>
          <w:tcPr>
            <w:tcW w:w="2551" w:type="dxa"/>
            <w:shd w:val="clear" w:color="auto" w:fill="auto"/>
            <w:noWrap/>
            <w:vAlign w:val="bottom"/>
            <w:hideMark/>
          </w:tcPr>
          <w:p w14:paraId="2EE3A39C"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Paraná</w:t>
            </w:r>
          </w:p>
        </w:tc>
        <w:tc>
          <w:tcPr>
            <w:tcW w:w="708" w:type="dxa"/>
            <w:shd w:val="clear" w:color="auto" w:fill="auto"/>
            <w:noWrap/>
            <w:vAlign w:val="bottom"/>
            <w:hideMark/>
          </w:tcPr>
          <w:p w14:paraId="6E08609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1.47</w:t>
            </w:r>
          </w:p>
        </w:tc>
        <w:tc>
          <w:tcPr>
            <w:tcW w:w="708" w:type="dxa"/>
            <w:shd w:val="clear" w:color="auto" w:fill="auto"/>
            <w:noWrap/>
            <w:vAlign w:val="bottom"/>
            <w:hideMark/>
          </w:tcPr>
          <w:p w14:paraId="526DDD7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20.47</w:t>
            </w:r>
          </w:p>
        </w:tc>
        <w:tc>
          <w:tcPr>
            <w:tcW w:w="708" w:type="dxa"/>
            <w:shd w:val="clear" w:color="auto" w:fill="auto"/>
            <w:noWrap/>
            <w:vAlign w:val="bottom"/>
            <w:hideMark/>
          </w:tcPr>
          <w:p w14:paraId="5BD6E87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75.55</w:t>
            </w:r>
          </w:p>
        </w:tc>
        <w:tc>
          <w:tcPr>
            <w:tcW w:w="730" w:type="dxa"/>
            <w:shd w:val="clear" w:color="auto" w:fill="auto"/>
            <w:noWrap/>
            <w:vAlign w:val="bottom"/>
            <w:hideMark/>
          </w:tcPr>
          <w:p w14:paraId="5E9FFD5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8.94</w:t>
            </w:r>
          </w:p>
        </w:tc>
        <w:tc>
          <w:tcPr>
            <w:tcW w:w="715" w:type="dxa"/>
            <w:shd w:val="clear" w:color="auto" w:fill="auto"/>
            <w:noWrap/>
            <w:vAlign w:val="bottom"/>
            <w:hideMark/>
          </w:tcPr>
          <w:p w14:paraId="3AC68E4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10.37</w:t>
            </w:r>
          </w:p>
        </w:tc>
        <w:tc>
          <w:tcPr>
            <w:tcW w:w="708" w:type="dxa"/>
            <w:shd w:val="clear" w:color="auto" w:fill="auto"/>
            <w:noWrap/>
            <w:vAlign w:val="bottom"/>
            <w:hideMark/>
          </w:tcPr>
          <w:p w14:paraId="6E4C2E6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42.7</w:t>
            </w:r>
          </w:p>
        </w:tc>
        <w:tc>
          <w:tcPr>
            <w:tcW w:w="708" w:type="dxa"/>
            <w:shd w:val="clear" w:color="auto" w:fill="auto"/>
            <w:noWrap/>
            <w:vAlign w:val="bottom"/>
            <w:hideMark/>
          </w:tcPr>
          <w:p w14:paraId="7B9DEB2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5.15</w:t>
            </w:r>
          </w:p>
        </w:tc>
        <w:tc>
          <w:tcPr>
            <w:tcW w:w="708" w:type="dxa"/>
            <w:shd w:val="clear" w:color="auto" w:fill="auto"/>
            <w:noWrap/>
            <w:vAlign w:val="bottom"/>
            <w:hideMark/>
          </w:tcPr>
          <w:p w14:paraId="5FC3500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11.96</w:t>
            </w:r>
          </w:p>
        </w:tc>
        <w:tc>
          <w:tcPr>
            <w:tcW w:w="708" w:type="dxa"/>
            <w:shd w:val="clear" w:color="auto" w:fill="auto"/>
            <w:noWrap/>
            <w:vAlign w:val="bottom"/>
            <w:hideMark/>
          </w:tcPr>
          <w:p w14:paraId="62E2392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968.2</w:t>
            </w:r>
          </w:p>
        </w:tc>
        <w:tc>
          <w:tcPr>
            <w:tcW w:w="735" w:type="dxa"/>
            <w:shd w:val="clear" w:color="auto" w:fill="auto"/>
            <w:noWrap/>
            <w:vAlign w:val="bottom"/>
            <w:hideMark/>
          </w:tcPr>
          <w:p w14:paraId="1BB70C0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5.08</w:t>
            </w:r>
          </w:p>
        </w:tc>
        <w:tc>
          <w:tcPr>
            <w:tcW w:w="689" w:type="dxa"/>
            <w:shd w:val="clear" w:color="auto" w:fill="auto"/>
            <w:noWrap/>
            <w:vAlign w:val="bottom"/>
            <w:hideMark/>
          </w:tcPr>
          <w:p w14:paraId="5855E66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0.49</w:t>
            </w:r>
          </w:p>
        </w:tc>
        <w:tc>
          <w:tcPr>
            <w:tcW w:w="708" w:type="dxa"/>
            <w:shd w:val="clear" w:color="auto" w:fill="auto"/>
            <w:noWrap/>
            <w:vAlign w:val="bottom"/>
            <w:hideMark/>
          </w:tcPr>
          <w:p w14:paraId="7274C02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0.41</w:t>
            </w:r>
          </w:p>
        </w:tc>
        <w:tc>
          <w:tcPr>
            <w:tcW w:w="708" w:type="dxa"/>
            <w:shd w:val="clear" w:color="auto" w:fill="auto"/>
            <w:noWrap/>
            <w:vAlign w:val="bottom"/>
            <w:hideMark/>
          </w:tcPr>
          <w:p w14:paraId="03FD787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0.792</w:t>
            </w:r>
          </w:p>
        </w:tc>
      </w:tr>
      <w:tr w:rsidR="000353B8" w:rsidRPr="00260D4F" w14:paraId="76298C44" w14:textId="77777777" w:rsidTr="000353B8">
        <w:trPr>
          <w:trHeight w:val="227"/>
          <w:jc w:val="center"/>
        </w:trPr>
        <w:tc>
          <w:tcPr>
            <w:tcW w:w="1555" w:type="dxa"/>
            <w:shd w:val="clear" w:color="auto" w:fill="auto"/>
            <w:noWrap/>
            <w:vAlign w:val="bottom"/>
            <w:hideMark/>
          </w:tcPr>
          <w:p w14:paraId="663C412D"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 xml:space="preserve">North </w:t>
            </w:r>
          </w:p>
        </w:tc>
        <w:tc>
          <w:tcPr>
            <w:tcW w:w="2551" w:type="dxa"/>
            <w:shd w:val="clear" w:color="auto" w:fill="auto"/>
            <w:noWrap/>
            <w:vAlign w:val="bottom"/>
            <w:hideMark/>
          </w:tcPr>
          <w:p w14:paraId="309D4FB6"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Pará</w:t>
            </w:r>
          </w:p>
        </w:tc>
        <w:tc>
          <w:tcPr>
            <w:tcW w:w="708" w:type="dxa"/>
            <w:shd w:val="clear" w:color="auto" w:fill="auto"/>
            <w:noWrap/>
            <w:vAlign w:val="bottom"/>
            <w:hideMark/>
          </w:tcPr>
          <w:p w14:paraId="1E07D65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6.51</w:t>
            </w:r>
          </w:p>
        </w:tc>
        <w:tc>
          <w:tcPr>
            <w:tcW w:w="708" w:type="dxa"/>
            <w:shd w:val="clear" w:color="auto" w:fill="auto"/>
            <w:noWrap/>
            <w:vAlign w:val="bottom"/>
            <w:hideMark/>
          </w:tcPr>
          <w:p w14:paraId="2DB62CD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28.15</w:t>
            </w:r>
          </w:p>
        </w:tc>
        <w:tc>
          <w:tcPr>
            <w:tcW w:w="708" w:type="dxa"/>
            <w:shd w:val="clear" w:color="auto" w:fill="auto"/>
            <w:noWrap/>
            <w:vAlign w:val="bottom"/>
            <w:hideMark/>
          </w:tcPr>
          <w:p w14:paraId="40E3AD5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72.29</w:t>
            </w:r>
          </w:p>
        </w:tc>
        <w:tc>
          <w:tcPr>
            <w:tcW w:w="730" w:type="dxa"/>
            <w:shd w:val="clear" w:color="auto" w:fill="auto"/>
            <w:noWrap/>
            <w:vAlign w:val="bottom"/>
            <w:hideMark/>
          </w:tcPr>
          <w:p w14:paraId="797CDB8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16.07</w:t>
            </w:r>
          </w:p>
        </w:tc>
        <w:tc>
          <w:tcPr>
            <w:tcW w:w="715" w:type="dxa"/>
            <w:shd w:val="clear" w:color="auto" w:fill="auto"/>
            <w:noWrap/>
            <w:vAlign w:val="bottom"/>
            <w:hideMark/>
          </w:tcPr>
          <w:p w14:paraId="45FDF75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6.29</w:t>
            </w:r>
          </w:p>
        </w:tc>
        <w:tc>
          <w:tcPr>
            <w:tcW w:w="708" w:type="dxa"/>
            <w:shd w:val="clear" w:color="auto" w:fill="auto"/>
            <w:noWrap/>
            <w:vAlign w:val="bottom"/>
            <w:hideMark/>
          </w:tcPr>
          <w:p w14:paraId="3B05F09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47.02</w:t>
            </w:r>
          </w:p>
        </w:tc>
        <w:tc>
          <w:tcPr>
            <w:tcW w:w="708" w:type="dxa"/>
            <w:shd w:val="clear" w:color="auto" w:fill="auto"/>
            <w:noWrap/>
            <w:vAlign w:val="bottom"/>
            <w:hideMark/>
          </w:tcPr>
          <w:p w14:paraId="6DEC791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9.74</w:t>
            </w:r>
          </w:p>
        </w:tc>
        <w:tc>
          <w:tcPr>
            <w:tcW w:w="708" w:type="dxa"/>
            <w:shd w:val="clear" w:color="auto" w:fill="auto"/>
            <w:noWrap/>
            <w:vAlign w:val="bottom"/>
            <w:hideMark/>
          </w:tcPr>
          <w:p w14:paraId="201E9F9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15.37</w:t>
            </w:r>
          </w:p>
        </w:tc>
        <w:tc>
          <w:tcPr>
            <w:tcW w:w="708" w:type="dxa"/>
            <w:shd w:val="clear" w:color="auto" w:fill="auto"/>
            <w:noWrap/>
            <w:vAlign w:val="bottom"/>
            <w:hideMark/>
          </w:tcPr>
          <w:p w14:paraId="51DC6F7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468.5</w:t>
            </w:r>
          </w:p>
        </w:tc>
        <w:tc>
          <w:tcPr>
            <w:tcW w:w="735" w:type="dxa"/>
            <w:shd w:val="clear" w:color="auto" w:fill="auto"/>
            <w:noWrap/>
            <w:vAlign w:val="bottom"/>
            <w:hideMark/>
          </w:tcPr>
          <w:p w14:paraId="10AE0B3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22.04</w:t>
            </w:r>
          </w:p>
        </w:tc>
        <w:tc>
          <w:tcPr>
            <w:tcW w:w="689" w:type="dxa"/>
            <w:shd w:val="clear" w:color="auto" w:fill="auto"/>
            <w:noWrap/>
            <w:vAlign w:val="bottom"/>
            <w:hideMark/>
          </w:tcPr>
          <w:p w14:paraId="7FF2148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0.53</w:t>
            </w:r>
          </w:p>
        </w:tc>
        <w:tc>
          <w:tcPr>
            <w:tcW w:w="708" w:type="dxa"/>
            <w:shd w:val="clear" w:color="auto" w:fill="auto"/>
            <w:noWrap/>
            <w:vAlign w:val="bottom"/>
            <w:hideMark/>
          </w:tcPr>
          <w:p w14:paraId="050A521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w:t>
            </w:r>
          </w:p>
        </w:tc>
        <w:tc>
          <w:tcPr>
            <w:tcW w:w="708" w:type="dxa"/>
            <w:shd w:val="clear" w:color="auto" w:fill="auto"/>
            <w:noWrap/>
            <w:vAlign w:val="bottom"/>
            <w:hideMark/>
          </w:tcPr>
          <w:p w14:paraId="77FB138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0.698</w:t>
            </w:r>
          </w:p>
        </w:tc>
      </w:tr>
      <w:tr w:rsidR="000353B8" w:rsidRPr="00260D4F" w14:paraId="15973788" w14:textId="77777777" w:rsidTr="000353B8">
        <w:trPr>
          <w:trHeight w:val="227"/>
          <w:jc w:val="center"/>
        </w:trPr>
        <w:tc>
          <w:tcPr>
            <w:tcW w:w="1555" w:type="dxa"/>
            <w:shd w:val="clear" w:color="auto" w:fill="auto"/>
            <w:noWrap/>
            <w:vAlign w:val="bottom"/>
            <w:hideMark/>
          </w:tcPr>
          <w:p w14:paraId="32F705B7"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Northeast</w:t>
            </w:r>
            <w:proofErr w:type="spellEnd"/>
          </w:p>
        </w:tc>
        <w:tc>
          <w:tcPr>
            <w:tcW w:w="2551" w:type="dxa"/>
            <w:shd w:val="clear" w:color="auto" w:fill="auto"/>
            <w:noWrap/>
            <w:vAlign w:val="bottom"/>
            <w:hideMark/>
          </w:tcPr>
          <w:p w14:paraId="49A2FE71"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Pernambuco</w:t>
            </w:r>
          </w:p>
        </w:tc>
        <w:tc>
          <w:tcPr>
            <w:tcW w:w="708" w:type="dxa"/>
            <w:shd w:val="clear" w:color="auto" w:fill="auto"/>
            <w:noWrap/>
            <w:vAlign w:val="bottom"/>
            <w:hideMark/>
          </w:tcPr>
          <w:p w14:paraId="0D08216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1.68</w:t>
            </w:r>
          </w:p>
        </w:tc>
        <w:tc>
          <w:tcPr>
            <w:tcW w:w="708" w:type="dxa"/>
            <w:shd w:val="clear" w:color="auto" w:fill="auto"/>
            <w:noWrap/>
            <w:vAlign w:val="bottom"/>
            <w:hideMark/>
          </w:tcPr>
          <w:p w14:paraId="0BF6128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18.78</w:t>
            </w:r>
          </w:p>
        </w:tc>
        <w:tc>
          <w:tcPr>
            <w:tcW w:w="708" w:type="dxa"/>
            <w:shd w:val="clear" w:color="auto" w:fill="auto"/>
            <w:noWrap/>
            <w:vAlign w:val="bottom"/>
            <w:hideMark/>
          </w:tcPr>
          <w:p w14:paraId="7A32BCE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74.27</w:t>
            </w:r>
          </w:p>
        </w:tc>
        <w:tc>
          <w:tcPr>
            <w:tcW w:w="730" w:type="dxa"/>
            <w:shd w:val="clear" w:color="auto" w:fill="auto"/>
            <w:noWrap/>
            <w:vAlign w:val="bottom"/>
            <w:hideMark/>
          </w:tcPr>
          <w:p w14:paraId="0785082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12.14</w:t>
            </w:r>
          </w:p>
        </w:tc>
        <w:tc>
          <w:tcPr>
            <w:tcW w:w="715" w:type="dxa"/>
            <w:shd w:val="clear" w:color="auto" w:fill="auto"/>
            <w:noWrap/>
            <w:vAlign w:val="bottom"/>
            <w:hideMark/>
          </w:tcPr>
          <w:p w14:paraId="1595FF0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10.49</w:t>
            </w:r>
          </w:p>
        </w:tc>
        <w:tc>
          <w:tcPr>
            <w:tcW w:w="708" w:type="dxa"/>
            <w:shd w:val="clear" w:color="auto" w:fill="auto"/>
            <w:noWrap/>
            <w:vAlign w:val="bottom"/>
            <w:hideMark/>
          </w:tcPr>
          <w:p w14:paraId="36669BD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45.14</w:t>
            </w:r>
          </w:p>
        </w:tc>
        <w:tc>
          <w:tcPr>
            <w:tcW w:w="708" w:type="dxa"/>
            <w:shd w:val="clear" w:color="auto" w:fill="auto"/>
            <w:noWrap/>
            <w:vAlign w:val="bottom"/>
            <w:hideMark/>
          </w:tcPr>
          <w:p w14:paraId="19758C8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13.71</w:t>
            </w:r>
          </w:p>
        </w:tc>
        <w:tc>
          <w:tcPr>
            <w:tcW w:w="708" w:type="dxa"/>
            <w:shd w:val="clear" w:color="auto" w:fill="auto"/>
            <w:noWrap/>
            <w:vAlign w:val="bottom"/>
            <w:hideMark/>
          </w:tcPr>
          <w:p w14:paraId="4829865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18.59</w:t>
            </w:r>
          </w:p>
        </w:tc>
        <w:tc>
          <w:tcPr>
            <w:tcW w:w="708" w:type="dxa"/>
            <w:shd w:val="clear" w:color="auto" w:fill="auto"/>
            <w:noWrap/>
            <w:vAlign w:val="bottom"/>
            <w:hideMark/>
          </w:tcPr>
          <w:p w14:paraId="7C13730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558.7</w:t>
            </w:r>
          </w:p>
        </w:tc>
        <w:tc>
          <w:tcPr>
            <w:tcW w:w="735" w:type="dxa"/>
            <w:shd w:val="clear" w:color="auto" w:fill="auto"/>
            <w:noWrap/>
            <w:vAlign w:val="bottom"/>
            <w:hideMark/>
          </w:tcPr>
          <w:p w14:paraId="1130889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20.52</w:t>
            </w:r>
          </w:p>
        </w:tc>
        <w:tc>
          <w:tcPr>
            <w:tcW w:w="689" w:type="dxa"/>
            <w:shd w:val="clear" w:color="auto" w:fill="auto"/>
            <w:noWrap/>
            <w:vAlign w:val="bottom"/>
            <w:hideMark/>
          </w:tcPr>
          <w:p w14:paraId="0DF4F9C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0.56</w:t>
            </w:r>
          </w:p>
        </w:tc>
        <w:tc>
          <w:tcPr>
            <w:tcW w:w="708" w:type="dxa"/>
            <w:shd w:val="clear" w:color="auto" w:fill="auto"/>
            <w:noWrap/>
            <w:vAlign w:val="bottom"/>
            <w:hideMark/>
          </w:tcPr>
          <w:p w14:paraId="0A1EF08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0.58</w:t>
            </w:r>
          </w:p>
        </w:tc>
        <w:tc>
          <w:tcPr>
            <w:tcW w:w="708" w:type="dxa"/>
            <w:shd w:val="clear" w:color="auto" w:fill="auto"/>
            <w:noWrap/>
            <w:vAlign w:val="bottom"/>
            <w:hideMark/>
          </w:tcPr>
          <w:p w14:paraId="5FFD5AF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0.727</w:t>
            </w:r>
          </w:p>
        </w:tc>
      </w:tr>
      <w:tr w:rsidR="000353B8" w:rsidRPr="00260D4F" w14:paraId="351C48D4" w14:textId="77777777" w:rsidTr="000353B8">
        <w:trPr>
          <w:trHeight w:val="227"/>
          <w:jc w:val="center"/>
        </w:trPr>
        <w:tc>
          <w:tcPr>
            <w:tcW w:w="1555" w:type="dxa"/>
            <w:shd w:val="clear" w:color="auto" w:fill="auto"/>
            <w:noWrap/>
            <w:vAlign w:val="bottom"/>
            <w:hideMark/>
          </w:tcPr>
          <w:p w14:paraId="653A1DAB"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Northeast</w:t>
            </w:r>
            <w:proofErr w:type="spellEnd"/>
          </w:p>
        </w:tc>
        <w:tc>
          <w:tcPr>
            <w:tcW w:w="2551" w:type="dxa"/>
            <w:shd w:val="clear" w:color="auto" w:fill="auto"/>
            <w:noWrap/>
            <w:vAlign w:val="bottom"/>
            <w:hideMark/>
          </w:tcPr>
          <w:p w14:paraId="01910AFB"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Piauí</w:t>
            </w:r>
          </w:p>
        </w:tc>
        <w:tc>
          <w:tcPr>
            <w:tcW w:w="708" w:type="dxa"/>
            <w:shd w:val="clear" w:color="auto" w:fill="auto"/>
            <w:noWrap/>
            <w:vAlign w:val="bottom"/>
            <w:hideMark/>
          </w:tcPr>
          <w:p w14:paraId="345EFB3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6.12</w:t>
            </w:r>
          </w:p>
        </w:tc>
        <w:tc>
          <w:tcPr>
            <w:tcW w:w="708" w:type="dxa"/>
            <w:shd w:val="clear" w:color="auto" w:fill="auto"/>
            <w:noWrap/>
            <w:vAlign w:val="bottom"/>
            <w:hideMark/>
          </w:tcPr>
          <w:p w14:paraId="3AD7C05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26.85</w:t>
            </w:r>
          </w:p>
        </w:tc>
        <w:tc>
          <w:tcPr>
            <w:tcW w:w="708" w:type="dxa"/>
            <w:shd w:val="clear" w:color="auto" w:fill="auto"/>
            <w:noWrap/>
            <w:vAlign w:val="bottom"/>
            <w:hideMark/>
          </w:tcPr>
          <w:p w14:paraId="01FA0B9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71.23</w:t>
            </w:r>
          </w:p>
        </w:tc>
        <w:tc>
          <w:tcPr>
            <w:tcW w:w="730" w:type="dxa"/>
            <w:shd w:val="clear" w:color="auto" w:fill="auto"/>
            <w:noWrap/>
            <w:vAlign w:val="bottom"/>
            <w:hideMark/>
          </w:tcPr>
          <w:p w14:paraId="709BF43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18.53</w:t>
            </w:r>
          </w:p>
        </w:tc>
        <w:tc>
          <w:tcPr>
            <w:tcW w:w="715" w:type="dxa"/>
            <w:shd w:val="clear" w:color="auto" w:fill="auto"/>
            <w:noWrap/>
            <w:vAlign w:val="bottom"/>
            <w:hideMark/>
          </w:tcPr>
          <w:p w14:paraId="29F43FE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10.23</w:t>
            </w:r>
          </w:p>
        </w:tc>
        <w:tc>
          <w:tcPr>
            <w:tcW w:w="708" w:type="dxa"/>
            <w:shd w:val="clear" w:color="auto" w:fill="auto"/>
            <w:noWrap/>
            <w:vAlign w:val="bottom"/>
            <w:hideMark/>
          </w:tcPr>
          <w:p w14:paraId="1A43E5D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48.77</w:t>
            </w:r>
          </w:p>
        </w:tc>
        <w:tc>
          <w:tcPr>
            <w:tcW w:w="708" w:type="dxa"/>
            <w:shd w:val="clear" w:color="auto" w:fill="auto"/>
            <w:noWrap/>
            <w:vAlign w:val="bottom"/>
            <w:hideMark/>
          </w:tcPr>
          <w:p w14:paraId="39D65FE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18.34</w:t>
            </w:r>
          </w:p>
        </w:tc>
        <w:tc>
          <w:tcPr>
            <w:tcW w:w="708" w:type="dxa"/>
            <w:shd w:val="clear" w:color="auto" w:fill="auto"/>
            <w:noWrap/>
            <w:vAlign w:val="bottom"/>
            <w:hideMark/>
          </w:tcPr>
          <w:p w14:paraId="17C60D7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17.32</w:t>
            </w:r>
          </w:p>
        </w:tc>
        <w:tc>
          <w:tcPr>
            <w:tcW w:w="708" w:type="dxa"/>
            <w:shd w:val="clear" w:color="auto" w:fill="auto"/>
            <w:noWrap/>
            <w:vAlign w:val="bottom"/>
            <w:hideMark/>
          </w:tcPr>
          <w:p w14:paraId="23FEBC9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487.6</w:t>
            </w:r>
          </w:p>
        </w:tc>
        <w:tc>
          <w:tcPr>
            <w:tcW w:w="735" w:type="dxa"/>
            <w:shd w:val="clear" w:color="auto" w:fill="auto"/>
            <w:noWrap/>
            <w:vAlign w:val="bottom"/>
            <w:hideMark/>
          </w:tcPr>
          <w:p w14:paraId="7E94943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23.82</w:t>
            </w:r>
          </w:p>
        </w:tc>
        <w:tc>
          <w:tcPr>
            <w:tcW w:w="689" w:type="dxa"/>
            <w:shd w:val="clear" w:color="auto" w:fill="auto"/>
            <w:noWrap/>
            <w:vAlign w:val="bottom"/>
            <w:hideMark/>
          </w:tcPr>
          <w:p w14:paraId="2507BD4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0.54</w:t>
            </w:r>
          </w:p>
        </w:tc>
        <w:tc>
          <w:tcPr>
            <w:tcW w:w="708" w:type="dxa"/>
            <w:shd w:val="clear" w:color="auto" w:fill="auto"/>
            <w:noWrap/>
            <w:vAlign w:val="bottom"/>
            <w:hideMark/>
          </w:tcPr>
          <w:p w14:paraId="34F533D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0.56</w:t>
            </w:r>
          </w:p>
        </w:tc>
        <w:tc>
          <w:tcPr>
            <w:tcW w:w="708" w:type="dxa"/>
            <w:shd w:val="clear" w:color="auto" w:fill="auto"/>
            <w:noWrap/>
            <w:vAlign w:val="bottom"/>
            <w:hideMark/>
          </w:tcPr>
          <w:p w14:paraId="3DD1CFC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0.697</w:t>
            </w:r>
          </w:p>
        </w:tc>
      </w:tr>
      <w:tr w:rsidR="000353B8" w:rsidRPr="00260D4F" w14:paraId="2B8E5B6D" w14:textId="77777777" w:rsidTr="000353B8">
        <w:trPr>
          <w:trHeight w:val="227"/>
          <w:jc w:val="center"/>
        </w:trPr>
        <w:tc>
          <w:tcPr>
            <w:tcW w:w="1555" w:type="dxa"/>
            <w:shd w:val="clear" w:color="auto" w:fill="auto"/>
            <w:noWrap/>
            <w:vAlign w:val="bottom"/>
            <w:hideMark/>
          </w:tcPr>
          <w:p w14:paraId="1922B074"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Southeast</w:t>
            </w:r>
            <w:proofErr w:type="spellEnd"/>
          </w:p>
        </w:tc>
        <w:tc>
          <w:tcPr>
            <w:tcW w:w="2551" w:type="dxa"/>
            <w:shd w:val="clear" w:color="auto" w:fill="auto"/>
            <w:noWrap/>
            <w:vAlign w:val="bottom"/>
            <w:hideMark/>
          </w:tcPr>
          <w:p w14:paraId="62D817E6"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Rio de Janeiro</w:t>
            </w:r>
          </w:p>
        </w:tc>
        <w:tc>
          <w:tcPr>
            <w:tcW w:w="708" w:type="dxa"/>
            <w:shd w:val="clear" w:color="auto" w:fill="auto"/>
            <w:noWrap/>
            <w:vAlign w:val="bottom"/>
            <w:hideMark/>
          </w:tcPr>
          <w:p w14:paraId="1719B08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0.59</w:t>
            </w:r>
          </w:p>
        </w:tc>
        <w:tc>
          <w:tcPr>
            <w:tcW w:w="708" w:type="dxa"/>
            <w:shd w:val="clear" w:color="auto" w:fill="auto"/>
            <w:noWrap/>
            <w:vAlign w:val="bottom"/>
            <w:hideMark/>
          </w:tcPr>
          <w:p w14:paraId="4F95894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17.81</w:t>
            </w:r>
          </w:p>
        </w:tc>
        <w:tc>
          <w:tcPr>
            <w:tcW w:w="708" w:type="dxa"/>
            <w:shd w:val="clear" w:color="auto" w:fill="auto"/>
            <w:noWrap/>
            <w:vAlign w:val="bottom"/>
            <w:hideMark/>
          </w:tcPr>
          <w:p w14:paraId="36BF392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76.48</w:t>
            </w:r>
          </w:p>
        </w:tc>
        <w:tc>
          <w:tcPr>
            <w:tcW w:w="730" w:type="dxa"/>
            <w:shd w:val="clear" w:color="auto" w:fill="auto"/>
            <w:noWrap/>
            <w:vAlign w:val="bottom"/>
            <w:hideMark/>
          </w:tcPr>
          <w:p w14:paraId="6100BCB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11.12</w:t>
            </w:r>
          </w:p>
        </w:tc>
        <w:tc>
          <w:tcPr>
            <w:tcW w:w="715" w:type="dxa"/>
            <w:shd w:val="clear" w:color="auto" w:fill="auto"/>
            <w:noWrap/>
            <w:vAlign w:val="bottom"/>
            <w:hideMark/>
          </w:tcPr>
          <w:p w14:paraId="7454F57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12.79</w:t>
            </w:r>
          </w:p>
        </w:tc>
        <w:tc>
          <w:tcPr>
            <w:tcW w:w="708" w:type="dxa"/>
            <w:shd w:val="clear" w:color="auto" w:fill="auto"/>
            <w:noWrap/>
            <w:vAlign w:val="bottom"/>
            <w:hideMark/>
          </w:tcPr>
          <w:p w14:paraId="7A591A5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41.44</w:t>
            </w:r>
          </w:p>
        </w:tc>
        <w:tc>
          <w:tcPr>
            <w:tcW w:w="708" w:type="dxa"/>
            <w:shd w:val="clear" w:color="auto" w:fill="auto"/>
            <w:noWrap/>
            <w:vAlign w:val="bottom"/>
            <w:hideMark/>
          </w:tcPr>
          <w:p w14:paraId="475536A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2.74</w:t>
            </w:r>
          </w:p>
        </w:tc>
        <w:tc>
          <w:tcPr>
            <w:tcW w:w="708" w:type="dxa"/>
            <w:shd w:val="clear" w:color="auto" w:fill="auto"/>
            <w:noWrap/>
            <w:vAlign w:val="bottom"/>
            <w:hideMark/>
          </w:tcPr>
          <w:p w14:paraId="0AE6223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14.1</w:t>
            </w:r>
          </w:p>
        </w:tc>
        <w:tc>
          <w:tcPr>
            <w:tcW w:w="708" w:type="dxa"/>
            <w:shd w:val="clear" w:color="auto" w:fill="auto"/>
            <w:noWrap/>
            <w:vAlign w:val="bottom"/>
            <w:hideMark/>
          </w:tcPr>
          <w:p w14:paraId="39BC263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959.5</w:t>
            </w:r>
          </w:p>
        </w:tc>
        <w:tc>
          <w:tcPr>
            <w:tcW w:w="735" w:type="dxa"/>
            <w:shd w:val="clear" w:color="auto" w:fill="auto"/>
            <w:noWrap/>
            <w:vAlign w:val="bottom"/>
            <w:hideMark/>
          </w:tcPr>
          <w:p w14:paraId="02141F8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6.21</w:t>
            </w:r>
          </w:p>
        </w:tc>
        <w:tc>
          <w:tcPr>
            <w:tcW w:w="689" w:type="dxa"/>
            <w:shd w:val="clear" w:color="auto" w:fill="auto"/>
            <w:noWrap/>
            <w:vAlign w:val="bottom"/>
            <w:hideMark/>
          </w:tcPr>
          <w:p w14:paraId="590AFD7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0.52</w:t>
            </w:r>
          </w:p>
        </w:tc>
        <w:tc>
          <w:tcPr>
            <w:tcW w:w="708" w:type="dxa"/>
            <w:shd w:val="clear" w:color="auto" w:fill="auto"/>
            <w:noWrap/>
            <w:vAlign w:val="bottom"/>
            <w:hideMark/>
          </w:tcPr>
          <w:p w14:paraId="15AAECF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0.46</w:t>
            </w:r>
          </w:p>
        </w:tc>
        <w:tc>
          <w:tcPr>
            <w:tcW w:w="708" w:type="dxa"/>
            <w:shd w:val="clear" w:color="auto" w:fill="auto"/>
            <w:noWrap/>
            <w:vAlign w:val="bottom"/>
            <w:hideMark/>
          </w:tcPr>
          <w:p w14:paraId="5951A0B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0.796</w:t>
            </w:r>
          </w:p>
        </w:tc>
      </w:tr>
      <w:tr w:rsidR="000353B8" w:rsidRPr="00260D4F" w14:paraId="6CAAA871" w14:textId="77777777" w:rsidTr="000353B8">
        <w:trPr>
          <w:trHeight w:val="227"/>
          <w:jc w:val="center"/>
        </w:trPr>
        <w:tc>
          <w:tcPr>
            <w:tcW w:w="1555" w:type="dxa"/>
            <w:shd w:val="clear" w:color="auto" w:fill="auto"/>
            <w:noWrap/>
            <w:vAlign w:val="bottom"/>
            <w:hideMark/>
          </w:tcPr>
          <w:p w14:paraId="0F56361F"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Northeast</w:t>
            </w:r>
            <w:proofErr w:type="spellEnd"/>
          </w:p>
        </w:tc>
        <w:tc>
          <w:tcPr>
            <w:tcW w:w="2551" w:type="dxa"/>
            <w:shd w:val="clear" w:color="auto" w:fill="auto"/>
            <w:noWrap/>
            <w:vAlign w:val="bottom"/>
            <w:hideMark/>
          </w:tcPr>
          <w:p w14:paraId="79670EB6"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Rio Grande do Norte</w:t>
            </w:r>
          </w:p>
        </w:tc>
        <w:tc>
          <w:tcPr>
            <w:tcW w:w="708" w:type="dxa"/>
            <w:shd w:val="clear" w:color="auto" w:fill="auto"/>
            <w:noWrap/>
            <w:vAlign w:val="bottom"/>
            <w:hideMark/>
          </w:tcPr>
          <w:p w14:paraId="01AC58F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2.55</w:t>
            </w:r>
          </w:p>
        </w:tc>
        <w:tc>
          <w:tcPr>
            <w:tcW w:w="708" w:type="dxa"/>
            <w:shd w:val="clear" w:color="auto" w:fill="auto"/>
            <w:noWrap/>
            <w:vAlign w:val="bottom"/>
            <w:hideMark/>
          </w:tcPr>
          <w:p w14:paraId="4BDD2D6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15.85</w:t>
            </w:r>
          </w:p>
        </w:tc>
        <w:tc>
          <w:tcPr>
            <w:tcW w:w="708" w:type="dxa"/>
            <w:shd w:val="clear" w:color="auto" w:fill="auto"/>
            <w:noWrap/>
            <w:vAlign w:val="bottom"/>
            <w:hideMark/>
          </w:tcPr>
          <w:p w14:paraId="7F24B5E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75.96</w:t>
            </w:r>
          </w:p>
        </w:tc>
        <w:tc>
          <w:tcPr>
            <w:tcW w:w="730" w:type="dxa"/>
            <w:shd w:val="clear" w:color="auto" w:fill="auto"/>
            <w:noWrap/>
            <w:vAlign w:val="bottom"/>
            <w:hideMark/>
          </w:tcPr>
          <w:p w14:paraId="3E63EAD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14.05</w:t>
            </w:r>
          </w:p>
        </w:tc>
        <w:tc>
          <w:tcPr>
            <w:tcW w:w="715" w:type="dxa"/>
            <w:shd w:val="clear" w:color="auto" w:fill="auto"/>
            <w:noWrap/>
            <w:vAlign w:val="bottom"/>
            <w:hideMark/>
          </w:tcPr>
          <w:p w14:paraId="1A35E8B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9.9</w:t>
            </w:r>
          </w:p>
        </w:tc>
        <w:tc>
          <w:tcPr>
            <w:tcW w:w="708" w:type="dxa"/>
            <w:shd w:val="clear" w:color="auto" w:fill="auto"/>
            <w:noWrap/>
            <w:vAlign w:val="bottom"/>
            <w:hideMark/>
          </w:tcPr>
          <w:p w14:paraId="212E8D4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43.58</w:t>
            </w:r>
          </w:p>
        </w:tc>
        <w:tc>
          <w:tcPr>
            <w:tcW w:w="708" w:type="dxa"/>
            <w:shd w:val="clear" w:color="auto" w:fill="auto"/>
            <w:noWrap/>
            <w:vAlign w:val="bottom"/>
            <w:hideMark/>
          </w:tcPr>
          <w:p w14:paraId="11EF995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14.46</w:t>
            </w:r>
          </w:p>
        </w:tc>
        <w:tc>
          <w:tcPr>
            <w:tcW w:w="708" w:type="dxa"/>
            <w:shd w:val="clear" w:color="auto" w:fill="auto"/>
            <w:noWrap/>
            <w:vAlign w:val="bottom"/>
            <w:hideMark/>
          </w:tcPr>
          <w:p w14:paraId="4A17625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15.79</w:t>
            </w:r>
          </w:p>
        </w:tc>
        <w:tc>
          <w:tcPr>
            <w:tcW w:w="708" w:type="dxa"/>
            <w:shd w:val="clear" w:color="auto" w:fill="auto"/>
            <w:noWrap/>
            <w:vAlign w:val="bottom"/>
            <w:hideMark/>
          </w:tcPr>
          <w:p w14:paraId="7E24518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550.1</w:t>
            </w:r>
          </w:p>
        </w:tc>
        <w:tc>
          <w:tcPr>
            <w:tcW w:w="735" w:type="dxa"/>
            <w:shd w:val="clear" w:color="auto" w:fill="auto"/>
            <w:noWrap/>
            <w:vAlign w:val="bottom"/>
            <w:hideMark/>
          </w:tcPr>
          <w:p w14:paraId="5258DBD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18.74</w:t>
            </w:r>
          </w:p>
        </w:tc>
        <w:tc>
          <w:tcPr>
            <w:tcW w:w="689" w:type="dxa"/>
            <w:shd w:val="clear" w:color="auto" w:fill="auto"/>
            <w:noWrap/>
            <w:vAlign w:val="bottom"/>
            <w:hideMark/>
          </w:tcPr>
          <w:p w14:paraId="35F7D17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0.53</w:t>
            </w:r>
          </w:p>
        </w:tc>
        <w:tc>
          <w:tcPr>
            <w:tcW w:w="708" w:type="dxa"/>
            <w:shd w:val="clear" w:color="auto" w:fill="auto"/>
            <w:noWrap/>
            <w:vAlign w:val="bottom"/>
            <w:hideMark/>
          </w:tcPr>
          <w:p w14:paraId="7F2B280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0.52</w:t>
            </w:r>
          </w:p>
        </w:tc>
        <w:tc>
          <w:tcPr>
            <w:tcW w:w="708" w:type="dxa"/>
            <w:shd w:val="clear" w:color="auto" w:fill="auto"/>
            <w:noWrap/>
            <w:vAlign w:val="bottom"/>
            <w:hideMark/>
          </w:tcPr>
          <w:p w14:paraId="35AA988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0.731</w:t>
            </w:r>
          </w:p>
        </w:tc>
      </w:tr>
      <w:tr w:rsidR="000353B8" w:rsidRPr="00260D4F" w14:paraId="7B7D0EE4" w14:textId="77777777" w:rsidTr="000353B8">
        <w:trPr>
          <w:trHeight w:val="227"/>
          <w:jc w:val="center"/>
        </w:trPr>
        <w:tc>
          <w:tcPr>
            <w:tcW w:w="1555" w:type="dxa"/>
            <w:shd w:val="clear" w:color="auto" w:fill="auto"/>
            <w:noWrap/>
            <w:vAlign w:val="bottom"/>
            <w:hideMark/>
          </w:tcPr>
          <w:p w14:paraId="6A0CEDBC"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South</w:t>
            </w:r>
          </w:p>
        </w:tc>
        <w:tc>
          <w:tcPr>
            <w:tcW w:w="2551" w:type="dxa"/>
            <w:shd w:val="clear" w:color="auto" w:fill="auto"/>
            <w:noWrap/>
            <w:vAlign w:val="bottom"/>
            <w:hideMark/>
          </w:tcPr>
          <w:p w14:paraId="0D093AB7"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Rio Grande do Sul</w:t>
            </w:r>
          </w:p>
        </w:tc>
        <w:tc>
          <w:tcPr>
            <w:tcW w:w="708" w:type="dxa"/>
            <w:shd w:val="clear" w:color="auto" w:fill="auto"/>
            <w:noWrap/>
            <w:vAlign w:val="bottom"/>
            <w:hideMark/>
          </w:tcPr>
          <w:p w14:paraId="361E23C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1.11</w:t>
            </w:r>
          </w:p>
        </w:tc>
        <w:tc>
          <w:tcPr>
            <w:tcW w:w="708" w:type="dxa"/>
            <w:shd w:val="clear" w:color="auto" w:fill="auto"/>
            <w:noWrap/>
            <w:vAlign w:val="bottom"/>
            <w:hideMark/>
          </w:tcPr>
          <w:p w14:paraId="3D500E1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20.84</w:t>
            </w:r>
          </w:p>
        </w:tc>
        <w:tc>
          <w:tcPr>
            <w:tcW w:w="708" w:type="dxa"/>
            <w:shd w:val="clear" w:color="auto" w:fill="auto"/>
            <w:noWrap/>
            <w:vAlign w:val="bottom"/>
            <w:hideMark/>
          </w:tcPr>
          <w:p w14:paraId="433A79E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75.95</w:t>
            </w:r>
          </w:p>
        </w:tc>
        <w:tc>
          <w:tcPr>
            <w:tcW w:w="730" w:type="dxa"/>
            <w:shd w:val="clear" w:color="auto" w:fill="auto"/>
            <w:noWrap/>
            <w:vAlign w:val="bottom"/>
            <w:hideMark/>
          </w:tcPr>
          <w:p w14:paraId="3563671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9.34</w:t>
            </w:r>
          </w:p>
        </w:tc>
        <w:tc>
          <w:tcPr>
            <w:tcW w:w="715" w:type="dxa"/>
            <w:shd w:val="clear" w:color="auto" w:fill="auto"/>
            <w:noWrap/>
            <w:vAlign w:val="bottom"/>
            <w:hideMark/>
          </w:tcPr>
          <w:p w14:paraId="4175A9F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12.87</w:t>
            </w:r>
          </w:p>
        </w:tc>
        <w:tc>
          <w:tcPr>
            <w:tcW w:w="708" w:type="dxa"/>
            <w:shd w:val="clear" w:color="auto" w:fill="auto"/>
            <w:noWrap/>
            <w:vAlign w:val="bottom"/>
            <w:hideMark/>
          </w:tcPr>
          <w:p w14:paraId="5A06BB8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44.04</w:t>
            </w:r>
          </w:p>
        </w:tc>
        <w:tc>
          <w:tcPr>
            <w:tcW w:w="708" w:type="dxa"/>
            <w:shd w:val="clear" w:color="auto" w:fill="auto"/>
            <w:noWrap/>
            <w:vAlign w:val="bottom"/>
            <w:hideMark/>
          </w:tcPr>
          <w:p w14:paraId="4F541BF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3.46</w:t>
            </w:r>
          </w:p>
        </w:tc>
        <w:tc>
          <w:tcPr>
            <w:tcW w:w="708" w:type="dxa"/>
            <w:shd w:val="clear" w:color="auto" w:fill="auto"/>
            <w:noWrap/>
            <w:vAlign w:val="bottom"/>
            <w:hideMark/>
          </w:tcPr>
          <w:p w14:paraId="39873B7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11.99</w:t>
            </w:r>
          </w:p>
        </w:tc>
        <w:tc>
          <w:tcPr>
            <w:tcW w:w="708" w:type="dxa"/>
            <w:shd w:val="clear" w:color="auto" w:fill="auto"/>
            <w:noWrap/>
            <w:vAlign w:val="bottom"/>
            <w:hideMark/>
          </w:tcPr>
          <w:p w14:paraId="1400A13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1073</w:t>
            </w:r>
          </w:p>
        </w:tc>
        <w:tc>
          <w:tcPr>
            <w:tcW w:w="735" w:type="dxa"/>
            <w:shd w:val="clear" w:color="auto" w:fill="auto"/>
            <w:noWrap/>
            <w:vAlign w:val="bottom"/>
            <w:hideMark/>
          </w:tcPr>
          <w:p w14:paraId="773681A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4.95</w:t>
            </w:r>
          </w:p>
        </w:tc>
        <w:tc>
          <w:tcPr>
            <w:tcW w:w="689" w:type="dxa"/>
            <w:shd w:val="clear" w:color="auto" w:fill="auto"/>
            <w:noWrap/>
            <w:vAlign w:val="bottom"/>
            <w:hideMark/>
          </w:tcPr>
          <w:p w14:paraId="0119552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0.49</w:t>
            </w:r>
          </w:p>
        </w:tc>
        <w:tc>
          <w:tcPr>
            <w:tcW w:w="708" w:type="dxa"/>
            <w:shd w:val="clear" w:color="auto" w:fill="auto"/>
            <w:noWrap/>
            <w:vAlign w:val="bottom"/>
            <w:hideMark/>
          </w:tcPr>
          <w:p w14:paraId="43E4F03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0.42</w:t>
            </w:r>
          </w:p>
        </w:tc>
        <w:tc>
          <w:tcPr>
            <w:tcW w:w="708" w:type="dxa"/>
            <w:shd w:val="clear" w:color="auto" w:fill="auto"/>
            <w:noWrap/>
            <w:vAlign w:val="bottom"/>
            <w:hideMark/>
          </w:tcPr>
          <w:p w14:paraId="40E0648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0.787</w:t>
            </w:r>
          </w:p>
        </w:tc>
      </w:tr>
      <w:tr w:rsidR="000353B8" w:rsidRPr="00260D4F" w14:paraId="61A893AE" w14:textId="77777777" w:rsidTr="000353B8">
        <w:trPr>
          <w:trHeight w:val="227"/>
          <w:jc w:val="center"/>
        </w:trPr>
        <w:tc>
          <w:tcPr>
            <w:tcW w:w="1555" w:type="dxa"/>
            <w:shd w:val="clear" w:color="auto" w:fill="auto"/>
            <w:noWrap/>
            <w:vAlign w:val="bottom"/>
            <w:hideMark/>
          </w:tcPr>
          <w:p w14:paraId="07B13319"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 xml:space="preserve">North </w:t>
            </w:r>
          </w:p>
        </w:tc>
        <w:tc>
          <w:tcPr>
            <w:tcW w:w="2551" w:type="dxa"/>
            <w:shd w:val="clear" w:color="auto" w:fill="auto"/>
            <w:noWrap/>
            <w:vAlign w:val="bottom"/>
            <w:hideMark/>
          </w:tcPr>
          <w:p w14:paraId="3401F9B5"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Rondônia</w:t>
            </w:r>
          </w:p>
        </w:tc>
        <w:tc>
          <w:tcPr>
            <w:tcW w:w="708" w:type="dxa"/>
            <w:shd w:val="clear" w:color="auto" w:fill="auto"/>
            <w:noWrap/>
            <w:vAlign w:val="bottom"/>
            <w:hideMark/>
          </w:tcPr>
          <w:p w14:paraId="4AD5745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3.51</w:t>
            </w:r>
          </w:p>
        </w:tc>
        <w:tc>
          <w:tcPr>
            <w:tcW w:w="708" w:type="dxa"/>
            <w:shd w:val="clear" w:color="auto" w:fill="auto"/>
            <w:noWrap/>
            <w:vAlign w:val="bottom"/>
            <w:hideMark/>
          </w:tcPr>
          <w:p w14:paraId="79DDE4E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25.66</w:t>
            </w:r>
          </w:p>
        </w:tc>
        <w:tc>
          <w:tcPr>
            <w:tcW w:w="708" w:type="dxa"/>
            <w:shd w:val="clear" w:color="auto" w:fill="auto"/>
            <w:noWrap/>
            <w:vAlign w:val="bottom"/>
            <w:hideMark/>
          </w:tcPr>
          <w:p w14:paraId="50A473C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71.53</w:t>
            </w:r>
          </w:p>
        </w:tc>
        <w:tc>
          <w:tcPr>
            <w:tcW w:w="730" w:type="dxa"/>
            <w:shd w:val="clear" w:color="auto" w:fill="auto"/>
            <w:noWrap/>
            <w:vAlign w:val="bottom"/>
            <w:hideMark/>
          </w:tcPr>
          <w:p w14:paraId="4FFB445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19.55</w:t>
            </w:r>
          </w:p>
        </w:tc>
        <w:tc>
          <w:tcPr>
            <w:tcW w:w="715" w:type="dxa"/>
            <w:shd w:val="clear" w:color="auto" w:fill="auto"/>
            <w:noWrap/>
            <w:vAlign w:val="bottom"/>
            <w:hideMark/>
          </w:tcPr>
          <w:p w14:paraId="757947F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7.12</w:t>
            </w:r>
          </w:p>
        </w:tc>
        <w:tc>
          <w:tcPr>
            <w:tcW w:w="708" w:type="dxa"/>
            <w:shd w:val="clear" w:color="auto" w:fill="auto"/>
            <w:noWrap/>
            <w:vAlign w:val="bottom"/>
            <w:hideMark/>
          </w:tcPr>
          <w:p w14:paraId="48C9EB4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42.4</w:t>
            </w:r>
          </w:p>
        </w:tc>
        <w:tc>
          <w:tcPr>
            <w:tcW w:w="708" w:type="dxa"/>
            <w:shd w:val="clear" w:color="auto" w:fill="auto"/>
            <w:noWrap/>
            <w:vAlign w:val="bottom"/>
            <w:hideMark/>
          </w:tcPr>
          <w:p w14:paraId="0554C17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7.77</w:t>
            </w:r>
          </w:p>
        </w:tc>
        <w:tc>
          <w:tcPr>
            <w:tcW w:w="708" w:type="dxa"/>
            <w:shd w:val="clear" w:color="auto" w:fill="auto"/>
            <w:noWrap/>
            <w:vAlign w:val="bottom"/>
            <w:hideMark/>
          </w:tcPr>
          <w:p w14:paraId="3F19E60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10.28</w:t>
            </w:r>
          </w:p>
        </w:tc>
        <w:tc>
          <w:tcPr>
            <w:tcW w:w="708" w:type="dxa"/>
            <w:shd w:val="clear" w:color="auto" w:fill="auto"/>
            <w:noWrap/>
            <w:vAlign w:val="bottom"/>
            <w:hideMark/>
          </w:tcPr>
          <w:p w14:paraId="5F99E5D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619</w:t>
            </w:r>
          </w:p>
        </w:tc>
        <w:tc>
          <w:tcPr>
            <w:tcW w:w="735" w:type="dxa"/>
            <w:shd w:val="clear" w:color="auto" w:fill="auto"/>
            <w:noWrap/>
            <w:vAlign w:val="bottom"/>
            <w:hideMark/>
          </w:tcPr>
          <w:p w14:paraId="2E145B4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9.32</w:t>
            </w:r>
          </w:p>
        </w:tc>
        <w:tc>
          <w:tcPr>
            <w:tcW w:w="689" w:type="dxa"/>
            <w:shd w:val="clear" w:color="auto" w:fill="auto"/>
            <w:noWrap/>
            <w:vAlign w:val="bottom"/>
            <w:hideMark/>
          </w:tcPr>
          <w:p w14:paraId="5DFD8BC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0.46</w:t>
            </w:r>
          </w:p>
        </w:tc>
        <w:tc>
          <w:tcPr>
            <w:tcW w:w="708" w:type="dxa"/>
            <w:shd w:val="clear" w:color="auto" w:fill="auto"/>
            <w:noWrap/>
            <w:vAlign w:val="bottom"/>
            <w:hideMark/>
          </w:tcPr>
          <w:p w14:paraId="62E82FD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0.37</w:t>
            </w:r>
          </w:p>
        </w:tc>
        <w:tc>
          <w:tcPr>
            <w:tcW w:w="708" w:type="dxa"/>
            <w:shd w:val="clear" w:color="auto" w:fill="auto"/>
            <w:noWrap/>
            <w:vAlign w:val="bottom"/>
            <w:hideMark/>
          </w:tcPr>
          <w:p w14:paraId="0080A0E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0.725</w:t>
            </w:r>
          </w:p>
        </w:tc>
      </w:tr>
      <w:tr w:rsidR="000353B8" w:rsidRPr="00260D4F" w14:paraId="558A7C82" w14:textId="77777777" w:rsidTr="000353B8">
        <w:trPr>
          <w:trHeight w:val="227"/>
          <w:jc w:val="center"/>
        </w:trPr>
        <w:tc>
          <w:tcPr>
            <w:tcW w:w="1555" w:type="dxa"/>
            <w:shd w:val="clear" w:color="auto" w:fill="auto"/>
            <w:noWrap/>
            <w:vAlign w:val="bottom"/>
            <w:hideMark/>
          </w:tcPr>
          <w:p w14:paraId="1B36600B"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 xml:space="preserve">North </w:t>
            </w:r>
          </w:p>
        </w:tc>
        <w:tc>
          <w:tcPr>
            <w:tcW w:w="2551" w:type="dxa"/>
            <w:shd w:val="clear" w:color="auto" w:fill="auto"/>
            <w:noWrap/>
            <w:vAlign w:val="bottom"/>
            <w:hideMark/>
          </w:tcPr>
          <w:p w14:paraId="100F3F2B"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Roraima</w:t>
            </w:r>
          </w:p>
        </w:tc>
        <w:tc>
          <w:tcPr>
            <w:tcW w:w="708" w:type="dxa"/>
            <w:shd w:val="clear" w:color="auto" w:fill="auto"/>
            <w:noWrap/>
            <w:vAlign w:val="bottom"/>
            <w:hideMark/>
          </w:tcPr>
          <w:p w14:paraId="33F71EC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1.58</w:t>
            </w:r>
          </w:p>
        </w:tc>
        <w:tc>
          <w:tcPr>
            <w:tcW w:w="708" w:type="dxa"/>
            <w:shd w:val="clear" w:color="auto" w:fill="auto"/>
            <w:noWrap/>
            <w:vAlign w:val="bottom"/>
            <w:hideMark/>
          </w:tcPr>
          <w:p w14:paraId="2A65719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21.28</w:t>
            </w:r>
          </w:p>
        </w:tc>
        <w:tc>
          <w:tcPr>
            <w:tcW w:w="708" w:type="dxa"/>
            <w:shd w:val="clear" w:color="auto" w:fill="auto"/>
            <w:noWrap/>
            <w:vAlign w:val="bottom"/>
            <w:hideMark/>
          </w:tcPr>
          <w:p w14:paraId="10C2B26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71.84</w:t>
            </w:r>
          </w:p>
        </w:tc>
        <w:tc>
          <w:tcPr>
            <w:tcW w:w="730" w:type="dxa"/>
            <w:shd w:val="clear" w:color="auto" w:fill="auto"/>
            <w:noWrap/>
            <w:vAlign w:val="bottom"/>
            <w:hideMark/>
          </w:tcPr>
          <w:p w14:paraId="1841D98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17.02</w:t>
            </w:r>
          </w:p>
        </w:tc>
        <w:tc>
          <w:tcPr>
            <w:tcW w:w="715" w:type="dxa"/>
            <w:shd w:val="clear" w:color="auto" w:fill="auto"/>
            <w:noWrap/>
            <w:vAlign w:val="bottom"/>
            <w:hideMark/>
          </w:tcPr>
          <w:p w14:paraId="3142E2E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4.98</w:t>
            </w:r>
          </w:p>
        </w:tc>
        <w:tc>
          <w:tcPr>
            <w:tcW w:w="708" w:type="dxa"/>
            <w:shd w:val="clear" w:color="auto" w:fill="auto"/>
            <w:noWrap/>
            <w:vAlign w:val="bottom"/>
            <w:hideMark/>
          </w:tcPr>
          <w:p w14:paraId="6E0800C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48</w:t>
            </w:r>
          </w:p>
        </w:tc>
        <w:tc>
          <w:tcPr>
            <w:tcW w:w="708" w:type="dxa"/>
            <w:shd w:val="clear" w:color="auto" w:fill="auto"/>
            <w:noWrap/>
            <w:vAlign w:val="bottom"/>
            <w:hideMark/>
          </w:tcPr>
          <w:p w14:paraId="4413917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6.86</w:t>
            </w:r>
          </w:p>
        </w:tc>
        <w:tc>
          <w:tcPr>
            <w:tcW w:w="708" w:type="dxa"/>
            <w:shd w:val="clear" w:color="auto" w:fill="auto"/>
            <w:noWrap/>
            <w:vAlign w:val="bottom"/>
            <w:hideMark/>
          </w:tcPr>
          <w:p w14:paraId="288624E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16.68</w:t>
            </w:r>
          </w:p>
        </w:tc>
        <w:tc>
          <w:tcPr>
            <w:tcW w:w="708" w:type="dxa"/>
            <w:shd w:val="clear" w:color="auto" w:fill="auto"/>
            <w:noWrap/>
            <w:vAlign w:val="bottom"/>
            <w:hideMark/>
          </w:tcPr>
          <w:p w14:paraId="3D43B0F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648</w:t>
            </w:r>
          </w:p>
        </w:tc>
        <w:tc>
          <w:tcPr>
            <w:tcW w:w="735" w:type="dxa"/>
            <w:shd w:val="clear" w:color="auto" w:fill="auto"/>
            <w:noWrap/>
            <w:vAlign w:val="bottom"/>
            <w:hideMark/>
          </w:tcPr>
          <w:p w14:paraId="68E8491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12.56</w:t>
            </w:r>
          </w:p>
        </w:tc>
        <w:tc>
          <w:tcPr>
            <w:tcW w:w="689" w:type="dxa"/>
            <w:shd w:val="clear" w:color="auto" w:fill="auto"/>
            <w:noWrap/>
            <w:vAlign w:val="bottom"/>
            <w:hideMark/>
          </w:tcPr>
          <w:p w14:paraId="3249105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0.55</w:t>
            </w:r>
          </w:p>
        </w:tc>
        <w:tc>
          <w:tcPr>
            <w:tcW w:w="708" w:type="dxa"/>
            <w:shd w:val="clear" w:color="auto" w:fill="auto"/>
            <w:noWrap/>
            <w:vAlign w:val="bottom"/>
            <w:hideMark/>
          </w:tcPr>
          <w:p w14:paraId="38056FD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0.52</w:t>
            </w:r>
          </w:p>
        </w:tc>
        <w:tc>
          <w:tcPr>
            <w:tcW w:w="708" w:type="dxa"/>
            <w:shd w:val="clear" w:color="auto" w:fill="auto"/>
            <w:noWrap/>
            <w:vAlign w:val="bottom"/>
            <w:hideMark/>
          </w:tcPr>
          <w:p w14:paraId="439F68F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0.752</w:t>
            </w:r>
          </w:p>
        </w:tc>
      </w:tr>
      <w:tr w:rsidR="000353B8" w:rsidRPr="00260D4F" w14:paraId="7DFEEA9A" w14:textId="77777777" w:rsidTr="000353B8">
        <w:trPr>
          <w:trHeight w:val="227"/>
          <w:jc w:val="center"/>
        </w:trPr>
        <w:tc>
          <w:tcPr>
            <w:tcW w:w="1555" w:type="dxa"/>
            <w:shd w:val="clear" w:color="auto" w:fill="auto"/>
            <w:noWrap/>
            <w:vAlign w:val="bottom"/>
            <w:hideMark/>
          </w:tcPr>
          <w:p w14:paraId="3CD76A95"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South</w:t>
            </w:r>
          </w:p>
        </w:tc>
        <w:tc>
          <w:tcPr>
            <w:tcW w:w="2551" w:type="dxa"/>
            <w:shd w:val="clear" w:color="auto" w:fill="auto"/>
            <w:noWrap/>
            <w:vAlign w:val="bottom"/>
            <w:hideMark/>
          </w:tcPr>
          <w:p w14:paraId="2F20AA6D"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Santa Catarina</w:t>
            </w:r>
          </w:p>
        </w:tc>
        <w:tc>
          <w:tcPr>
            <w:tcW w:w="708" w:type="dxa"/>
            <w:shd w:val="clear" w:color="auto" w:fill="auto"/>
            <w:noWrap/>
            <w:vAlign w:val="bottom"/>
            <w:hideMark/>
          </w:tcPr>
          <w:p w14:paraId="1336D85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1.54</w:t>
            </w:r>
          </w:p>
        </w:tc>
        <w:tc>
          <w:tcPr>
            <w:tcW w:w="708" w:type="dxa"/>
            <w:shd w:val="clear" w:color="auto" w:fill="auto"/>
            <w:noWrap/>
            <w:vAlign w:val="bottom"/>
            <w:hideMark/>
          </w:tcPr>
          <w:p w14:paraId="3A1632A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20.42</w:t>
            </w:r>
          </w:p>
        </w:tc>
        <w:tc>
          <w:tcPr>
            <w:tcW w:w="708" w:type="dxa"/>
            <w:shd w:val="clear" w:color="auto" w:fill="auto"/>
            <w:noWrap/>
            <w:vAlign w:val="bottom"/>
            <w:hideMark/>
          </w:tcPr>
          <w:p w14:paraId="00A33C7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76.97</w:t>
            </w:r>
          </w:p>
        </w:tc>
        <w:tc>
          <w:tcPr>
            <w:tcW w:w="730" w:type="dxa"/>
            <w:shd w:val="clear" w:color="auto" w:fill="auto"/>
            <w:noWrap/>
            <w:vAlign w:val="bottom"/>
            <w:hideMark/>
          </w:tcPr>
          <w:p w14:paraId="11527ED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8.9</w:t>
            </w:r>
          </w:p>
        </w:tc>
        <w:tc>
          <w:tcPr>
            <w:tcW w:w="715" w:type="dxa"/>
            <w:shd w:val="clear" w:color="auto" w:fill="auto"/>
            <w:noWrap/>
            <w:vAlign w:val="bottom"/>
            <w:hideMark/>
          </w:tcPr>
          <w:p w14:paraId="24D9A68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10.17</w:t>
            </w:r>
          </w:p>
        </w:tc>
        <w:tc>
          <w:tcPr>
            <w:tcW w:w="708" w:type="dxa"/>
            <w:shd w:val="clear" w:color="auto" w:fill="auto"/>
            <w:noWrap/>
            <w:vAlign w:val="bottom"/>
            <w:hideMark/>
          </w:tcPr>
          <w:p w14:paraId="4CD6378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39.09</w:t>
            </w:r>
          </w:p>
        </w:tc>
        <w:tc>
          <w:tcPr>
            <w:tcW w:w="708" w:type="dxa"/>
            <w:shd w:val="clear" w:color="auto" w:fill="auto"/>
            <w:noWrap/>
            <w:vAlign w:val="bottom"/>
            <w:hideMark/>
          </w:tcPr>
          <w:p w14:paraId="511D649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2.9</w:t>
            </w:r>
          </w:p>
        </w:tc>
        <w:tc>
          <w:tcPr>
            <w:tcW w:w="708" w:type="dxa"/>
            <w:shd w:val="clear" w:color="auto" w:fill="auto"/>
            <w:noWrap/>
            <w:vAlign w:val="bottom"/>
            <w:hideMark/>
          </w:tcPr>
          <w:p w14:paraId="68CA135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8.24</w:t>
            </w:r>
          </w:p>
        </w:tc>
        <w:tc>
          <w:tcPr>
            <w:tcW w:w="708" w:type="dxa"/>
            <w:shd w:val="clear" w:color="auto" w:fill="auto"/>
            <w:noWrap/>
            <w:vAlign w:val="bottom"/>
            <w:hideMark/>
          </w:tcPr>
          <w:p w14:paraId="2B55FEA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1044</w:t>
            </w:r>
          </w:p>
        </w:tc>
        <w:tc>
          <w:tcPr>
            <w:tcW w:w="735" w:type="dxa"/>
            <w:shd w:val="clear" w:color="auto" w:fill="auto"/>
            <w:noWrap/>
            <w:vAlign w:val="bottom"/>
            <w:hideMark/>
          </w:tcPr>
          <w:p w14:paraId="1D16152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2.83</w:t>
            </w:r>
          </w:p>
        </w:tc>
        <w:tc>
          <w:tcPr>
            <w:tcW w:w="689" w:type="dxa"/>
            <w:shd w:val="clear" w:color="auto" w:fill="auto"/>
            <w:noWrap/>
            <w:vAlign w:val="bottom"/>
            <w:hideMark/>
          </w:tcPr>
          <w:p w14:paraId="7336F2A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0.42</w:t>
            </w:r>
          </w:p>
        </w:tc>
        <w:tc>
          <w:tcPr>
            <w:tcW w:w="708" w:type="dxa"/>
            <w:shd w:val="clear" w:color="auto" w:fill="auto"/>
            <w:noWrap/>
            <w:vAlign w:val="bottom"/>
            <w:hideMark/>
          </w:tcPr>
          <w:p w14:paraId="1E08D1C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0.31</w:t>
            </w:r>
          </w:p>
        </w:tc>
        <w:tc>
          <w:tcPr>
            <w:tcW w:w="708" w:type="dxa"/>
            <w:shd w:val="clear" w:color="auto" w:fill="auto"/>
            <w:noWrap/>
            <w:vAlign w:val="bottom"/>
            <w:hideMark/>
          </w:tcPr>
          <w:p w14:paraId="5365A88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0.808</w:t>
            </w:r>
          </w:p>
        </w:tc>
      </w:tr>
      <w:tr w:rsidR="000353B8" w:rsidRPr="00260D4F" w14:paraId="608FD575" w14:textId="77777777" w:rsidTr="000353B8">
        <w:trPr>
          <w:trHeight w:val="227"/>
          <w:jc w:val="center"/>
        </w:trPr>
        <w:tc>
          <w:tcPr>
            <w:tcW w:w="1555" w:type="dxa"/>
            <w:shd w:val="clear" w:color="auto" w:fill="auto"/>
            <w:noWrap/>
            <w:vAlign w:val="bottom"/>
            <w:hideMark/>
          </w:tcPr>
          <w:p w14:paraId="377B128D"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Southeast</w:t>
            </w:r>
            <w:proofErr w:type="spellEnd"/>
          </w:p>
        </w:tc>
        <w:tc>
          <w:tcPr>
            <w:tcW w:w="2551" w:type="dxa"/>
            <w:shd w:val="clear" w:color="auto" w:fill="auto"/>
            <w:noWrap/>
            <w:vAlign w:val="bottom"/>
            <w:hideMark/>
          </w:tcPr>
          <w:p w14:paraId="078387C3"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São Paulo</w:t>
            </w:r>
          </w:p>
        </w:tc>
        <w:tc>
          <w:tcPr>
            <w:tcW w:w="708" w:type="dxa"/>
            <w:shd w:val="clear" w:color="auto" w:fill="auto"/>
            <w:noWrap/>
            <w:vAlign w:val="bottom"/>
            <w:hideMark/>
          </w:tcPr>
          <w:p w14:paraId="5BFC03D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0.72</w:t>
            </w:r>
          </w:p>
        </w:tc>
        <w:tc>
          <w:tcPr>
            <w:tcW w:w="708" w:type="dxa"/>
            <w:shd w:val="clear" w:color="auto" w:fill="auto"/>
            <w:noWrap/>
            <w:vAlign w:val="bottom"/>
            <w:hideMark/>
          </w:tcPr>
          <w:p w14:paraId="6E2BBA7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17.07</w:t>
            </w:r>
          </w:p>
        </w:tc>
        <w:tc>
          <w:tcPr>
            <w:tcW w:w="708" w:type="dxa"/>
            <w:shd w:val="clear" w:color="auto" w:fill="auto"/>
            <w:noWrap/>
            <w:vAlign w:val="bottom"/>
            <w:hideMark/>
          </w:tcPr>
          <w:p w14:paraId="1E9E9C3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76.26</w:t>
            </w:r>
          </w:p>
        </w:tc>
        <w:tc>
          <w:tcPr>
            <w:tcW w:w="730" w:type="dxa"/>
            <w:shd w:val="clear" w:color="auto" w:fill="auto"/>
            <w:noWrap/>
            <w:vAlign w:val="bottom"/>
            <w:hideMark/>
          </w:tcPr>
          <w:p w14:paraId="45DBAA0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9.56</w:t>
            </w:r>
          </w:p>
        </w:tc>
        <w:tc>
          <w:tcPr>
            <w:tcW w:w="715" w:type="dxa"/>
            <w:shd w:val="clear" w:color="auto" w:fill="auto"/>
            <w:noWrap/>
            <w:vAlign w:val="bottom"/>
            <w:hideMark/>
          </w:tcPr>
          <w:p w14:paraId="17174D7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10.38</w:t>
            </w:r>
          </w:p>
        </w:tc>
        <w:tc>
          <w:tcPr>
            <w:tcW w:w="708" w:type="dxa"/>
            <w:shd w:val="clear" w:color="auto" w:fill="auto"/>
            <w:noWrap/>
            <w:vAlign w:val="bottom"/>
            <w:hideMark/>
          </w:tcPr>
          <w:p w14:paraId="74030C5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41.26</w:t>
            </w:r>
          </w:p>
        </w:tc>
        <w:tc>
          <w:tcPr>
            <w:tcW w:w="708" w:type="dxa"/>
            <w:shd w:val="clear" w:color="auto" w:fill="auto"/>
            <w:noWrap/>
            <w:vAlign w:val="bottom"/>
            <w:hideMark/>
          </w:tcPr>
          <w:p w14:paraId="33FE58F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3.08</w:t>
            </w:r>
          </w:p>
        </w:tc>
        <w:tc>
          <w:tcPr>
            <w:tcW w:w="708" w:type="dxa"/>
            <w:shd w:val="clear" w:color="auto" w:fill="auto"/>
            <w:noWrap/>
            <w:vAlign w:val="bottom"/>
            <w:hideMark/>
          </w:tcPr>
          <w:p w14:paraId="3D9B929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14.99</w:t>
            </w:r>
          </w:p>
        </w:tc>
        <w:tc>
          <w:tcPr>
            <w:tcW w:w="708" w:type="dxa"/>
            <w:shd w:val="clear" w:color="auto" w:fill="auto"/>
            <w:noWrap/>
            <w:vAlign w:val="bottom"/>
            <w:hideMark/>
          </w:tcPr>
          <w:p w14:paraId="1454AE16"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1133</w:t>
            </w:r>
          </w:p>
        </w:tc>
        <w:tc>
          <w:tcPr>
            <w:tcW w:w="735" w:type="dxa"/>
            <w:shd w:val="clear" w:color="auto" w:fill="auto"/>
            <w:noWrap/>
            <w:vAlign w:val="bottom"/>
            <w:hideMark/>
          </w:tcPr>
          <w:p w14:paraId="0FA7510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4.9</w:t>
            </w:r>
          </w:p>
        </w:tc>
        <w:tc>
          <w:tcPr>
            <w:tcW w:w="689" w:type="dxa"/>
            <w:shd w:val="clear" w:color="auto" w:fill="auto"/>
            <w:noWrap/>
            <w:vAlign w:val="bottom"/>
            <w:hideMark/>
          </w:tcPr>
          <w:p w14:paraId="20DCDEA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0.53</w:t>
            </w:r>
          </w:p>
        </w:tc>
        <w:tc>
          <w:tcPr>
            <w:tcW w:w="708" w:type="dxa"/>
            <w:shd w:val="clear" w:color="auto" w:fill="auto"/>
            <w:noWrap/>
            <w:vAlign w:val="bottom"/>
            <w:hideMark/>
          </w:tcPr>
          <w:p w14:paraId="545757DB"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0.49</w:t>
            </w:r>
          </w:p>
        </w:tc>
        <w:tc>
          <w:tcPr>
            <w:tcW w:w="708" w:type="dxa"/>
            <w:shd w:val="clear" w:color="auto" w:fill="auto"/>
            <w:noWrap/>
            <w:vAlign w:val="bottom"/>
            <w:hideMark/>
          </w:tcPr>
          <w:p w14:paraId="35D2519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0.826</w:t>
            </w:r>
          </w:p>
        </w:tc>
      </w:tr>
      <w:tr w:rsidR="000353B8" w:rsidRPr="00260D4F" w14:paraId="304672DD" w14:textId="77777777" w:rsidTr="000353B8">
        <w:trPr>
          <w:trHeight w:val="227"/>
          <w:jc w:val="center"/>
        </w:trPr>
        <w:tc>
          <w:tcPr>
            <w:tcW w:w="1555" w:type="dxa"/>
            <w:shd w:val="clear" w:color="auto" w:fill="auto"/>
            <w:noWrap/>
            <w:vAlign w:val="bottom"/>
            <w:hideMark/>
          </w:tcPr>
          <w:p w14:paraId="08FCC2AC"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proofErr w:type="spellStart"/>
            <w:r w:rsidRPr="00260D4F">
              <w:rPr>
                <w:rFonts w:ascii="AvenirNext LT Pro Regular" w:eastAsia="Times New Roman" w:hAnsi="AvenirNext LT Pro Regular" w:cs="Calibri"/>
                <w:color w:val="000000"/>
                <w:lang w:eastAsia="pt-BR"/>
              </w:rPr>
              <w:t>Northeast</w:t>
            </w:r>
            <w:proofErr w:type="spellEnd"/>
          </w:p>
        </w:tc>
        <w:tc>
          <w:tcPr>
            <w:tcW w:w="2551" w:type="dxa"/>
            <w:shd w:val="clear" w:color="auto" w:fill="auto"/>
            <w:noWrap/>
            <w:vAlign w:val="bottom"/>
            <w:hideMark/>
          </w:tcPr>
          <w:p w14:paraId="63C4F9CD"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Sergipe</w:t>
            </w:r>
          </w:p>
        </w:tc>
        <w:tc>
          <w:tcPr>
            <w:tcW w:w="708" w:type="dxa"/>
            <w:shd w:val="clear" w:color="auto" w:fill="auto"/>
            <w:noWrap/>
            <w:vAlign w:val="bottom"/>
            <w:hideMark/>
          </w:tcPr>
          <w:p w14:paraId="16B02BF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2.03</w:t>
            </w:r>
          </w:p>
        </w:tc>
        <w:tc>
          <w:tcPr>
            <w:tcW w:w="708" w:type="dxa"/>
            <w:shd w:val="clear" w:color="auto" w:fill="auto"/>
            <w:noWrap/>
            <w:vAlign w:val="bottom"/>
            <w:hideMark/>
          </w:tcPr>
          <w:p w14:paraId="7F92FA7E"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20.67</w:t>
            </w:r>
          </w:p>
        </w:tc>
        <w:tc>
          <w:tcPr>
            <w:tcW w:w="708" w:type="dxa"/>
            <w:shd w:val="clear" w:color="auto" w:fill="auto"/>
            <w:noWrap/>
            <w:vAlign w:val="bottom"/>
            <w:hideMark/>
          </w:tcPr>
          <w:p w14:paraId="44A09F38"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72.92</w:t>
            </w:r>
          </w:p>
        </w:tc>
        <w:tc>
          <w:tcPr>
            <w:tcW w:w="730" w:type="dxa"/>
            <w:shd w:val="clear" w:color="auto" w:fill="auto"/>
            <w:noWrap/>
            <w:vAlign w:val="bottom"/>
            <w:hideMark/>
          </w:tcPr>
          <w:p w14:paraId="61091377"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15.43</w:t>
            </w:r>
          </w:p>
        </w:tc>
        <w:tc>
          <w:tcPr>
            <w:tcW w:w="715" w:type="dxa"/>
            <w:shd w:val="clear" w:color="auto" w:fill="auto"/>
            <w:noWrap/>
            <w:vAlign w:val="bottom"/>
            <w:hideMark/>
          </w:tcPr>
          <w:p w14:paraId="343C9A3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8.42</w:t>
            </w:r>
          </w:p>
        </w:tc>
        <w:tc>
          <w:tcPr>
            <w:tcW w:w="708" w:type="dxa"/>
            <w:shd w:val="clear" w:color="auto" w:fill="auto"/>
            <w:noWrap/>
            <w:vAlign w:val="bottom"/>
            <w:hideMark/>
          </w:tcPr>
          <w:p w14:paraId="13F41B1A"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44.05</w:t>
            </w:r>
          </w:p>
        </w:tc>
        <w:tc>
          <w:tcPr>
            <w:tcW w:w="708" w:type="dxa"/>
            <w:shd w:val="clear" w:color="auto" w:fill="auto"/>
            <w:noWrap/>
            <w:vAlign w:val="bottom"/>
            <w:hideMark/>
          </w:tcPr>
          <w:p w14:paraId="16C06AF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15.36</w:t>
            </w:r>
          </w:p>
        </w:tc>
        <w:tc>
          <w:tcPr>
            <w:tcW w:w="708" w:type="dxa"/>
            <w:shd w:val="clear" w:color="auto" w:fill="auto"/>
            <w:noWrap/>
            <w:vAlign w:val="bottom"/>
            <w:hideMark/>
          </w:tcPr>
          <w:p w14:paraId="57DC7BA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18.9</w:t>
            </w:r>
          </w:p>
        </w:tc>
        <w:tc>
          <w:tcPr>
            <w:tcW w:w="708" w:type="dxa"/>
            <w:shd w:val="clear" w:color="auto" w:fill="auto"/>
            <w:noWrap/>
            <w:vAlign w:val="bottom"/>
            <w:hideMark/>
          </w:tcPr>
          <w:p w14:paraId="4081583D"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541</w:t>
            </w:r>
          </w:p>
        </w:tc>
        <w:tc>
          <w:tcPr>
            <w:tcW w:w="735" w:type="dxa"/>
            <w:shd w:val="clear" w:color="auto" w:fill="auto"/>
            <w:noWrap/>
            <w:vAlign w:val="bottom"/>
            <w:hideMark/>
          </w:tcPr>
          <w:p w14:paraId="3D23056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21.98</w:t>
            </w:r>
          </w:p>
        </w:tc>
        <w:tc>
          <w:tcPr>
            <w:tcW w:w="689" w:type="dxa"/>
            <w:shd w:val="clear" w:color="auto" w:fill="auto"/>
            <w:noWrap/>
            <w:vAlign w:val="bottom"/>
            <w:hideMark/>
          </w:tcPr>
          <w:p w14:paraId="0394550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0.56</w:t>
            </w:r>
          </w:p>
        </w:tc>
        <w:tc>
          <w:tcPr>
            <w:tcW w:w="708" w:type="dxa"/>
            <w:shd w:val="clear" w:color="auto" w:fill="auto"/>
            <w:noWrap/>
            <w:vAlign w:val="bottom"/>
            <w:hideMark/>
          </w:tcPr>
          <w:p w14:paraId="6C8EE85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0.58</w:t>
            </w:r>
          </w:p>
        </w:tc>
        <w:tc>
          <w:tcPr>
            <w:tcW w:w="708" w:type="dxa"/>
            <w:shd w:val="clear" w:color="auto" w:fill="auto"/>
            <w:noWrap/>
            <w:vAlign w:val="bottom"/>
            <w:hideMark/>
          </w:tcPr>
          <w:p w14:paraId="4174935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0.702</w:t>
            </w:r>
          </w:p>
        </w:tc>
      </w:tr>
      <w:tr w:rsidR="000353B8" w:rsidRPr="00260D4F" w14:paraId="3A3C4789" w14:textId="77777777" w:rsidTr="000353B8">
        <w:trPr>
          <w:trHeight w:val="227"/>
          <w:jc w:val="center"/>
        </w:trPr>
        <w:tc>
          <w:tcPr>
            <w:tcW w:w="1555" w:type="dxa"/>
            <w:tcBorders>
              <w:bottom w:val="single" w:sz="4" w:space="0" w:color="auto"/>
            </w:tcBorders>
            <w:shd w:val="clear" w:color="auto" w:fill="auto"/>
            <w:noWrap/>
            <w:vAlign w:val="bottom"/>
            <w:hideMark/>
          </w:tcPr>
          <w:p w14:paraId="19B1497A"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 xml:space="preserve">North </w:t>
            </w:r>
          </w:p>
        </w:tc>
        <w:tc>
          <w:tcPr>
            <w:tcW w:w="2551" w:type="dxa"/>
            <w:tcBorders>
              <w:bottom w:val="single" w:sz="4" w:space="0" w:color="auto"/>
            </w:tcBorders>
            <w:shd w:val="clear" w:color="auto" w:fill="auto"/>
            <w:noWrap/>
            <w:vAlign w:val="bottom"/>
            <w:hideMark/>
          </w:tcPr>
          <w:p w14:paraId="415C81D8" w14:textId="77777777" w:rsidR="000353B8" w:rsidRPr="00260D4F" w:rsidRDefault="000353B8" w:rsidP="00834548">
            <w:pPr>
              <w:spacing w:after="0" w:line="240" w:lineRule="auto"/>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Tocantins</w:t>
            </w:r>
          </w:p>
        </w:tc>
        <w:tc>
          <w:tcPr>
            <w:tcW w:w="708" w:type="dxa"/>
            <w:tcBorders>
              <w:bottom w:val="single" w:sz="4" w:space="0" w:color="auto"/>
            </w:tcBorders>
            <w:shd w:val="clear" w:color="auto" w:fill="auto"/>
            <w:noWrap/>
            <w:vAlign w:val="bottom"/>
            <w:hideMark/>
          </w:tcPr>
          <w:p w14:paraId="14EE21F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2.7</w:t>
            </w:r>
          </w:p>
        </w:tc>
        <w:tc>
          <w:tcPr>
            <w:tcW w:w="708" w:type="dxa"/>
            <w:tcBorders>
              <w:bottom w:val="single" w:sz="4" w:space="0" w:color="auto"/>
            </w:tcBorders>
            <w:shd w:val="clear" w:color="auto" w:fill="auto"/>
            <w:noWrap/>
            <w:vAlign w:val="bottom"/>
            <w:hideMark/>
          </w:tcPr>
          <w:p w14:paraId="0E9A1385"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21.38</w:t>
            </w:r>
          </w:p>
        </w:tc>
        <w:tc>
          <w:tcPr>
            <w:tcW w:w="708" w:type="dxa"/>
            <w:tcBorders>
              <w:bottom w:val="single" w:sz="4" w:space="0" w:color="auto"/>
            </w:tcBorders>
            <w:shd w:val="clear" w:color="auto" w:fill="auto"/>
            <w:noWrap/>
            <w:vAlign w:val="bottom"/>
            <w:hideMark/>
          </w:tcPr>
          <w:p w14:paraId="47EB826C"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73.65</w:t>
            </w:r>
          </w:p>
        </w:tc>
        <w:tc>
          <w:tcPr>
            <w:tcW w:w="730" w:type="dxa"/>
            <w:tcBorders>
              <w:bottom w:val="single" w:sz="4" w:space="0" w:color="auto"/>
            </w:tcBorders>
            <w:shd w:val="clear" w:color="auto" w:fill="auto"/>
            <w:noWrap/>
            <w:vAlign w:val="bottom"/>
            <w:hideMark/>
          </w:tcPr>
          <w:p w14:paraId="30F75069"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15.34</w:t>
            </w:r>
          </w:p>
        </w:tc>
        <w:tc>
          <w:tcPr>
            <w:tcW w:w="715" w:type="dxa"/>
            <w:tcBorders>
              <w:bottom w:val="single" w:sz="4" w:space="0" w:color="auto"/>
            </w:tcBorders>
            <w:shd w:val="clear" w:color="auto" w:fill="auto"/>
            <w:noWrap/>
            <w:vAlign w:val="bottom"/>
            <w:hideMark/>
          </w:tcPr>
          <w:p w14:paraId="1AD4AA8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8.88</w:t>
            </w:r>
          </w:p>
        </w:tc>
        <w:tc>
          <w:tcPr>
            <w:tcW w:w="708" w:type="dxa"/>
            <w:tcBorders>
              <w:bottom w:val="single" w:sz="4" w:space="0" w:color="auto"/>
            </w:tcBorders>
            <w:shd w:val="clear" w:color="auto" w:fill="auto"/>
            <w:noWrap/>
            <w:vAlign w:val="bottom"/>
            <w:hideMark/>
          </w:tcPr>
          <w:p w14:paraId="6B9FDE5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46.89</w:t>
            </w:r>
          </w:p>
        </w:tc>
        <w:tc>
          <w:tcPr>
            <w:tcW w:w="708" w:type="dxa"/>
            <w:tcBorders>
              <w:bottom w:val="single" w:sz="4" w:space="0" w:color="auto"/>
            </w:tcBorders>
            <w:shd w:val="clear" w:color="auto" w:fill="auto"/>
            <w:noWrap/>
            <w:vAlign w:val="bottom"/>
            <w:hideMark/>
          </w:tcPr>
          <w:p w14:paraId="6F212710"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11.1</w:t>
            </w:r>
          </w:p>
        </w:tc>
        <w:tc>
          <w:tcPr>
            <w:tcW w:w="708" w:type="dxa"/>
            <w:tcBorders>
              <w:bottom w:val="single" w:sz="4" w:space="0" w:color="auto"/>
            </w:tcBorders>
            <w:shd w:val="clear" w:color="auto" w:fill="auto"/>
            <w:noWrap/>
            <w:vAlign w:val="bottom"/>
            <w:hideMark/>
          </w:tcPr>
          <w:p w14:paraId="4854543F"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13.32</w:t>
            </w:r>
          </w:p>
        </w:tc>
        <w:tc>
          <w:tcPr>
            <w:tcW w:w="708" w:type="dxa"/>
            <w:tcBorders>
              <w:bottom w:val="single" w:sz="4" w:space="0" w:color="auto"/>
            </w:tcBorders>
            <w:shd w:val="clear" w:color="auto" w:fill="auto"/>
            <w:noWrap/>
            <w:vAlign w:val="bottom"/>
            <w:hideMark/>
          </w:tcPr>
          <w:p w14:paraId="6630D19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607.9</w:t>
            </w:r>
          </w:p>
        </w:tc>
        <w:tc>
          <w:tcPr>
            <w:tcW w:w="735" w:type="dxa"/>
            <w:tcBorders>
              <w:bottom w:val="single" w:sz="4" w:space="0" w:color="auto"/>
            </w:tcBorders>
            <w:shd w:val="clear" w:color="auto" w:fill="auto"/>
            <w:noWrap/>
            <w:vAlign w:val="bottom"/>
            <w:hideMark/>
          </w:tcPr>
          <w:p w14:paraId="79E4C253"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12.03</w:t>
            </w:r>
          </w:p>
        </w:tc>
        <w:tc>
          <w:tcPr>
            <w:tcW w:w="689" w:type="dxa"/>
            <w:tcBorders>
              <w:bottom w:val="single" w:sz="4" w:space="0" w:color="auto"/>
            </w:tcBorders>
            <w:shd w:val="clear" w:color="auto" w:fill="auto"/>
            <w:noWrap/>
            <w:vAlign w:val="bottom"/>
            <w:hideMark/>
          </w:tcPr>
          <w:p w14:paraId="57FFE6C2"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0.51</w:t>
            </w:r>
          </w:p>
        </w:tc>
        <w:tc>
          <w:tcPr>
            <w:tcW w:w="708" w:type="dxa"/>
            <w:tcBorders>
              <w:bottom w:val="single" w:sz="4" w:space="0" w:color="auto"/>
            </w:tcBorders>
            <w:shd w:val="clear" w:color="auto" w:fill="auto"/>
            <w:noWrap/>
            <w:vAlign w:val="bottom"/>
            <w:hideMark/>
          </w:tcPr>
          <w:p w14:paraId="0F447D04"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0.45</w:t>
            </w:r>
          </w:p>
        </w:tc>
        <w:tc>
          <w:tcPr>
            <w:tcW w:w="708" w:type="dxa"/>
            <w:tcBorders>
              <w:bottom w:val="single" w:sz="4" w:space="0" w:color="auto"/>
            </w:tcBorders>
            <w:shd w:val="clear" w:color="auto" w:fill="auto"/>
            <w:noWrap/>
            <w:vAlign w:val="bottom"/>
            <w:hideMark/>
          </w:tcPr>
          <w:p w14:paraId="517CC271" w14:textId="77777777" w:rsidR="000353B8" w:rsidRPr="00260D4F" w:rsidRDefault="000353B8" w:rsidP="00834548">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0.743</w:t>
            </w:r>
          </w:p>
        </w:tc>
      </w:tr>
      <w:tr w:rsidR="000353B8" w:rsidRPr="00260D4F" w14:paraId="4C8D0866" w14:textId="77777777" w:rsidTr="000353B8">
        <w:trPr>
          <w:trHeight w:val="227"/>
          <w:jc w:val="center"/>
        </w:trPr>
        <w:tc>
          <w:tcPr>
            <w:tcW w:w="1555" w:type="dxa"/>
            <w:tcBorders>
              <w:top w:val="single" w:sz="4" w:space="0" w:color="auto"/>
              <w:bottom w:val="single" w:sz="4" w:space="0" w:color="auto"/>
            </w:tcBorders>
            <w:shd w:val="clear" w:color="auto" w:fill="auto"/>
            <w:noWrap/>
            <w:vAlign w:val="bottom"/>
          </w:tcPr>
          <w:p w14:paraId="76EAC8FD" w14:textId="77777777" w:rsidR="000353B8" w:rsidRPr="00260D4F" w:rsidRDefault="000353B8" w:rsidP="00A319EE">
            <w:pPr>
              <w:spacing w:after="0" w:line="240" w:lineRule="auto"/>
              <w:rPr>
                <w:rFonts w:ascii="AvenirNext LT Pro Regular" w:eastAsia="Times New Roman" w:hAnsi="AvenirNext LT Pro Regular" w:cs="Calibri"/>
                <w:b/>
                <w:bCs/>
                <w:color w:val="000000"/>
                <w:lang w:eastAsia="pt-BR"/>
              </w:rPr>
            </w:pPr>
          </w:p>
        </w:tc>
        <w:tc>
          <w:tcPr>
            <w:tcW w:w="2551" w:type="dxa"/>
            <w:tcBorders>
              <w:top w:val="single" w:sz="4" w:space="0" w:color="auto"/>
              <w:bottom w:val="single" w:sz="4" w:space="0" w:color="auto"/>
            </w:tcBorders>
            <w:shd w:val="clear" w:color="auto" w:fill="auto"/>
            <w:noWrap/>
            <w:vAlign w:val="bottom"/>
          </w:tcPr>
          <w:p w14:paraId="282D7DA9" w14:textId="2F037118" w:rsidR="000353B8" w:rsidRPr="00260D4F" w:rsidRDefault="000353B8" w:rsidP="00A319EE">
            <w:pPr>
              <w:spacing w:after="0" w:line="240" w:lineRule="auto"/>
              <w:rPr>
                <w:rFonts w:ascii="AvenirNext LT Pro Regular" w:eastAsia="Times New Roman" w:hAnsi="AvenirNext LT Pro Regular" w:cs="Calibri"/>
                <w:b/>
                <w:bCs/>
                <w:color w:val="000000"/>
                <w:lang w:eastAsia="pt-BR"/>
              </w:rPr>
            </w:pPr>
            <w:r w:rsidRPr="00260D4F">
              <w:rPr>
                <w:rFonts w:ascii="AvenirNext LT Pro Regular" w:eastAsia="Times New Roman" w:hAnsi="AvenirNext LT Pro Regular" w:cs="Calibri"/>
                <w:b/>
                <w:bCs/>
                <w:color w:val="000000"/>
                <w:lang w:eastAsia="pt-BR"/>
              </w:rPr>
              <w:t>Brasil</w:t>
            </w:r>
          </w:p>
        </w:tc>
        <w:tc>
          <w:tcPr>
            <w:tcW w:w="708" w:type="dxa"/>
            <w:tcBorders>
              <w:top w:val="single" w:sz="4" w:space="0" w:color="auto"/>
              <w:bottom w:val="single" w:sz="4" w:space="0" w:color="auto"/>
            </w:tcBorders>
            <w:shd w:val="clear" w:color="auto" w:fill="auto"/>
            <w:noWrap/>
            <w:vAlign w:val="bottom"/>
          </w:tcPr>
          <w:p w14:paraId="743A77A9" w14:textId="63843AAE"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2.28</w:t>
            </w:r>
          </w:p>
        </w:tc>
        <w:tc>
          <w:tcPr>
            <w:tcW w:w="708" w:type="dxa"/>
            <w:tcBorders>
              <w:top w:val="single" w:sz="4" w:space="0" w:color="auto"/>
              <w:bottom w:val="single" w:sz="4" w:space="0" w:color="auto"/>
            </w:tcBorders>
            <w:shd w:val="clear" w:color="auto" w:fill="auto"/>
            <w:noWrap/>
            <w:vAlign w:val="bottom"/>
          </w:tcPr>
          <w:p w14:paraId="020D823D" w14:textId="62CC1D9E"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21.13</w:t>
            </w:r>
          </w:p>
        </w:tc>
        <w:tc>
          <w:tcPr>
            <w:tcW w:w="708" w:type="dxa"/>
            <w:tcBorders>
              <w:top w:val="single" w:sz="4" w:space="0" w:color="auto"/>
              <w:bottom w:val="single" w:sz="4" w:space="0" w:color="auto"/>
            </w:tcBorders>
            <w:shd w:val="clear" w:color="auto" w:fill="auto"/>
            <w:noWrap/>
            <w:vAlign w:val="bottom"/>
          </w:tcPr>
          <w:p w14:paraId="5B4A0ABE" w14:textId="4B9932A1"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75.99</w:t>
            </w:r>
          </w:p>
        </w:tc>
        <w:tc>
          <w:tcPr>
            <w:tcW w:w="730" w:type="dxa"/>
            <w:tcBorders>
              <w:top w:val="single" w:sz="4" w:space="0" w:color="auto"/>
              <w:bottom w:val="single" w:sz="4" w:space="0" w:color="auto"/>
            </w:tcBorders>
            <w:shd w:val="clear" w:color="auto" w:fill="auto"/>
            <w:noWrap/>
            <w:vAlign w:val="bottom"/>
          </w:tcPr>
          <w:p w14:paraId="428AF7CA" w14:textId="4F382A79"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12.81</w:t>
            </w:r>
          </w:p>
        </w:tc>
        <w:tc>
          <w:tcPr>
            <w:tcW w:w="715" w:type="dxa"/>
            <w:tcBorders>
              <w:top w:val="single" w:sz="4" w:space="0" w:color="auto"/>
              <w:bottom w:val="single" w:sz="4" w:space="0" w:color="auto"/>
            </w:tcBorders>
            <w:shd w:val="clear" w:color="auto" w:fill="auto"/>
            <w:noWrap/>
            <w:vAlign w:val="bottom"/>
          </w:tcPr>
          <w:p w14:paraId="6850C5EA" w14:textId="38C23195"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10.01</w:t>
            </w:r>
          </w:p>
        </w:tc>
        <w:tc>
          <w:tcPr>
            <w:tcW w:w="708" w:type="dxa"/>
            <w:tcBorders>
              <w:top w:val="single" w:sz="4" w:space="0" w:color="auto"/>
              <w:bottom w:val="single" w:sz="4" w:space="0" w:color="auto"/>
            </w:tcBorders>
            <w:shd w:val="clear" w:color="auto" w:fill="auto"/>
            <w:noWrap/>
            <w:vAlign w:val="bottom"/>
          </w:tcPr>
          <w:p w14:paraId="7DC5916C" w14:textId="0CF501DD"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43.46</w:t>
            </w:r>
          </w:p>
        </w:tc>
        <w:tc>
          <w:tcPr>
            <w:tcW w:w="708" w:type="dxa"/>
            <w:tcBorders>
              <w:top w:val="single" w:sz="4" w:space="0" w:color="auto"/>
              <w:bottom w:val="single" w:sz="4" w:space="0" w:color="auto"/>
            </w:tcBorders>
            <w:shd w:val="clear" w:color="auto" w:fill="auto"/>
            <w:noWrap/>
            <w:vAlign w:val="bottom"/>
          </w:tcPr>
          <w:p w14:paraId="1F68E043" w14:textId="2E5541DE"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7.52</w:t>
            </w:r>
          </w:p>
        </w:tc>
        <w:tc>
          <w:tcPr>
            <w:tcW w:w="708" w:type="dxa"/>
            <w:tcBorders>
              <w:top w:val="single" w:sz="4" w:space="0" w:color="auto"/>
              <w:bottom w:val="single" w:sz="4" w:space="0" w:color="auto"/>
            </w:tcBorders>
            <w:shd w:val="clear" w:color="auto" w:fill="auto"/>
            <w:noWrap/>
            <w:vAlign w:val="bottom"/>
          </w:tcPr>
          <w:p w14:paraId="098528FB" w14:textId="45C2AEDF"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17.33</w:t>
            </w:r>
          </w:p>
        </w:tc>
        <w:tc>
          <w:tcPr>
            <w:tcW w:w="708" w:type="dxa"/>
            <w:tcBorders>
              <w:top w:val="single" w:sz="4" w:space="0" w:color="auto"/>
              <w:bottom w:val="single" w:sz="4" w:space="0" w:color="auto"/>
            </w:tcBorders>
            <w:shd w:val="clear" w:color="auto" w:fill="auto"/>
            <w:noWrap/>
            <w:vAlign w:val="bottom"/>
          </w:tcPr>
          <w:p w14:paraId="5481D7E9" w14:textId="2ACC75B9"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834.3</w:t>
            </w:r>
          </w:p>
        </w:tc>
        <w:tc>
          <w:tcPr>
            <w:tcW w:w="735" w:type="dxa"/>
            <w:tcBorders>
              <w:top w:val="single" w:sz="4" w:space="0" w:color="auto"/>
              <w:bottom w:val="single" w:sz="4" w:space="0" w:color="auto"/>
            </w:tcBorders>
            <w:shd w:val="clear" w:color="auto" w:fill="auto"/>
            <w:noWrap/>
            <w:vAlign w:val="bottom"/>
          </w:tcPr>
          <w:p w14:paraId="1444DE5D" w14:textId="54B2571C"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11.65</w:t>
            </w:r>
          </w:p>
        </w:tc>
        <w:tc>
          <w:tcPr>
            <w:tcW w:w="689" w:type="dxa"/>
            <w:tcBorders>
              <w:top w:val="single" w:sz="4" w:space="0" w:color="auto"/>
              <w:bottom w:val="single" w:sz="4" w:space="0" w:color="auto"/>
            </w:tcBorders>
            <w:shd w:val="clear" w:color="auto" w:fill="auto"/>
            <w:noWrap/>
            <w:vAlign w:val="bottom"/>
          </w:tcPr>
          <w:p w14:paraId="31134BA9" w14:textId="6897CAD9"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0.55</w:t>
            </w:r>
          </w:p>
        </w:tc>
        <w:tc>
          <w:tcPr>
            <w:tcW w:w="708" w:type="dxa"/>
            <w:tcBorders>
              <w:top w:val="single" w:sz="4" w:space="0" w:color="auto"/>
              <w:bottom w:val="single" w:sz="4" w:space="0" w:color="auto"/>
            </w:tcBorders>
            <w:shd w:val="clear" w:color="auto" w:fill="auto"/>
            <w:noWrap/>
            <w:vAlign w:val="bottom"/>
          </w:tcPr>
          <w:p w14:paraId="4C4A5CDF" w14:textId="1E2FBDC7"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0.55</w:t>
            </w:r>
          </w:p>
        </w:tc>
        <w:tc>
          <w:tcPr>
            <w:tcW w:w="708" w:type="dxa"/>
            <w:tcBorders>
              <w:top w:val="single" w:sz="4" w:space="0" w:color="auto"/>
              <w:bottom w:val="single" w:sz="4" w:space="0" w:color="auto"/>
            </w:tcBorders>
            <w:shd w:val="clear" w:color="auto" w:fill="auto"/>
            <w:noWrap/>
            <w:vAlign w:val="bottom"/>
          </w:tcPr>
          <w:p w14:paraId="5BD9C5FB" w14:textId="2F5696A3" w:rsidR="000353B8" w:rsidRPr="00260D4F" w:rsidRDefault="000353B8" w:rsidP="00A319EE">
            <w:pPr>
              <w:spacing w:after="0" w:line="240" w:lineRule="auto"/>
              <w:jc w:val="right"/>
              <w:rPr>
                <w:rFonts w:ascii="AvenirNext LT Pro Regular" w:eastAsia="Times New Roman" w:hAnsi="AvenirNext LT Pro Regular" w:cs="Calibri"/>
                <w:color w:val="000000"/>
                <w:lang w:eastAsia="pt-BR"/>
              </w:rPr>
            </w:pPr>
            <w:r w:rsidRPr="00260D4F">
              <w:rPr>
                <w:rFonts w:ascii="AvenirNext LT Pro Regular" w:eastAsia="Times New Roman" w:hAnsi="AvenirNext LT Pro Regular" w:cs="Calibri"/>
                <w:color w:val="000000"/>
                <w:lang w:eastAsia="pt-BR"/>
              </w:rPr>
              <w:t>0.778</w:t>
            </w:r>
          </w:p>
        </w:tc>
      </w:tr>
    </w:tbl>
    <w:p w14:paraId="1A755CF3" w14:textId="16F6C6A1" w:rsidR="00E2503A" w:rsidRPr="00260D4F" w:rsidRDefault="00FA6FF5" w:rsidP="00834548">
      <w:pPr>
        <w:spacing w:after="0" w:line="240" w:lineRule="auto"/>
        <w:jc w:val="both"/>
        <w:rPr>
          <w:rFonts w:ascii="AvenirNext LT Pro Regular" w:hAnsi="AvenirNext LT Pro Regular"/>
          <w:sz w:val="20"/>
          <w:szCs w:val="20"/>
          <w:lang w:val="en-US"/>
        </w:rPr>
      </w:pPr>
      <w:r w:rsidRPr="00260D4F">
        <w:rPr>
          <w:rFonts w:ascii="AvenirNext LT Pro Regular" w:hAnsi="AvenirNext LT Pro Regular"/>
          <w:b/>
          <w:bCs/>
          <w:sz w:val="20"/>
          <w:szCs w:val="20"/>
          <w:lang w:val="en-US"/>
        </w:rPr>
        <w:t xml:space="preserve">Legend: </w:t>
      </w:r>
      <w:r w:rsidRPr="00260D4F">
        <w:rPr>
          <w:rFonts w:ascii="AvenirNext LT Pro Regular" w:hAnsi="AvenirNext LT Pro Regular"/>
          <w:sz w:val="20"/>
          <w:szCs w:val="20"/>
          <w:lang w:val="en-US"/>
        </w:rPr>
        <w:t xml:space="preserve">DRSAI – </w:t>
      </w:r>
      <w:r w:rsidR="00E2503A" w:rsidRPr="00260D4F">
        <w:rPr>
          <w:rFonts w:ascii="AvenirNext LT Pro Regular" w:hAnsi="AvenirNext LT Pro Regular"/>
          <w:sz w:val="20"/>
          <w:szCs w:val="20"/>
          <w:lang w:val="en-US"/>
        </w:rPr>
        <w:t>diseases related to inadequate environmental sanitation</w:t>
      </w:r>
      <w:r w:rsidRPr="00260D4F">
        <w:rPr>
          <w:rFonts w:ascii="AvenirNext LT Pro Regular" w:hAnsi="AvenirNext LT Pro Regular"/>
          <w:sz w:val="20"/>
          <w:szCs w:val="20"/>
          <w:lang w:val="en-US"/>
        </w:rPr>
        <w:t xml:space="preserve">; </w:t>
      </w:r>
      <w:r w:rsidR="005D10EC">
        <w:rPr>
          <w:rFonts w:ascii="AvenirNext LT Pro Regular" w:hAnsi="AvenirNext LT Pro Regular"/>
          <w:sz w:val="20"/>
          <w:szCs w:val="20"/>
          <w:lang w:val="en-US"/>
        </w:rPr>
        <w:t>CSPC</w:t>
      </w:r>
      <w:r w:rsidRPr="00260D4F">
        <w:rPr>
          <w:rFonts w:ascii="AvenirNext LT Pro Regular" w:hAnsi="AvenirNext LT Pro Regular"/>
          <w:sz w:val="20"/>
          <w:szCs w:val="20"/>
          <w:lang w:val="en-US"/>
        </w:rPr>
        <w:t xml:space="preserve"> –</w:t>
      </w:r>
      <w:r w:rsidR="00E2503A" w:rsidRPr="00260D4F">
        <w:rPr>
          <w:rFonts w:ascii="AvenirNext LT Pro Regular" w:hAnsi="AvenirNext LT Pro Regular"/>
          <w:sz w:val="20"/>
          <w:szCs w:val="20"/>
          <w:lang w:val="en-US"/>
        </w:rPr>
        <w:t xml:space="preserve"> conditions sensitive to primary care; % 6 to 14 years old in elementary school with </w:t>
      </w:r>
      <w:r w:rsidR="000353B8">
        <w:rPr>
          <w:rFonts w:ascii="AvenirNext LT Pro Regular" w:hAnsi="AvenirNext LT Pro Regular"/>
          <w:sz w:val="20"/>
          <w:szCs w:val="20"/>
          <w:lang w:val="en-US"/>
        </w:rPr>
        <w:t>two</w:t>
      </w:r>
      <w:r w:rsidR="00E2503A" w:rsidRPr="00260D4F">
        <w:rPr>
          <w:rFonts w:ascii="AvenirNext LT Pro Regular" w:hAnsi="AvenirNext LT Pro Regular"/>
          <w:sz w:val="20"/>
          <w:szCs w:val="20"/>
          <w:lang w:val="en-US"/>
        </w:rPr>
        <w:t xml:space="preserve"> years or more delay age-grade; Ratio 10% richest / 40% </w:t>
      </w:r>
      <w:proofErr w:type="gramStart"/>
      <w:r w:rsidR="00E2503A" w:rsidRPr="00260D4F">
        <w:rPr>
          <w:rFonts w:ascii="AvenirNext LT Pro Regular" w:hAnsi="AvenirNext LT Pro Regular"/>
          <w:sz w:val="20"/>
          <w:szCs w:val="20"/>
          <w:lang w:val="en-US"/>
        </w:rPr>
        <w:t>poorest;</w:t>
      </w:r>
      <w:proofErr w:type="gramEnd"/>
      <w:r w:rsidR="00E2503A" w:rsidRPr="00260D4F">
        <w:rPr>
          <w:rFonts w:ascii="AvenirNext LT Pro Regular" w:hAnsi="AvenirNext LT Pro Regular"/>
          <w:sz w:val="20"/>
          <w:szCs w:val="20"/>
          <w:lang w:val="en-US"/>
        </w:rPr>
        <w:t xml:space="preserve"> </w:t>
      </w:r>
    </w:p>
    <w:p w14:paraId="0C0FE920" w14:textId="5222E7C7" w:rsidR="00FA6FF5" w:rsidRPr="003E1B26" w:rsidRDefault="00FA6FF5" w:rsidP="00834548">
      <w:pPr>
        <w:spacing w:after="0" w:line="240" w:lineRule="auto"/>
        <w:jc w:val="both"/>
        <w:rPr>
          <w:rFonts w:ascii="AvenirNext LT Pro Regular" w:hAnsi="AvenirNext LT Pro Regular"/>
          <w:b/>
          <w:bCs/>
          <w:sz w:val="24"/>
          <w:szCs w:val="24"/>
          <w:lang w:val="en-US"/>
        </w:rPr>
      </w:pPr>
      <w:r w:rsidRPr="003E1B26">
        <w:rPr>
          <w:rFonts w:ascii="AvenirNext LT Pro Regular" w:hAnsi="AvenirNext LT Pro Regular"/>
          <w:b/>
          <w:bCs/>
          <w:sz w:val="20"/>
          <w:szCs w:val="20"/>
          <w:lang w:val="en-US"/>
        </w:rPr>
        <w:t>Source</w:t>
      </w:r>
      <w:r w:rsidR="003E1B26" w:rsidRPr="003E1B26">
        <w:rPr>
          <w:rFonts w:ascii="AvenirNext LT Pro Regular" w:hAnsi="AvenirNext LT Pro Regular"/>
          <w:b/>
          <w:bCs/>
          <w:sz w:val="20"/>
          <w:szCs w:val="20"/>
          <w:lang w:val="en-US"/>
        </w:rPr>
        <w:t xml:space="preserve"> of Indicators</w:t>
      </w:r>
      <w:r w:rsidRPr="003E1B26">
        <w:rPr>
          <w:rFonts w:ascii="AvenirNext LT Pro Regular" w:hAnsi="AvenirNext LT Pro Regular"/>
          <w:b/>
          <w:bCs/>
          <w:sz w:val="20"/>
          <w:szCs w:val="20"/>
          <w:lang w:val="en-US"/>
        </w:rPr>
        <w:t xml:space="preserve">: </w:t>
      </w:r>
      <w:r w:rsidR="003E1B26" w:rsidRPr="003E1B26">
        <w:rPr>
          <w:rFonts w:ascii="AvenirNext LT Pro Regular" w:hAnsi="AvenirNext LT Pro Regular"/>
          <w:sz w:val="20"/>
          <w:szCs w:val="20"/>
          <w:lang w:val="en-US"/>
        </w:rPr>
        <w:t>National Household Sample Survey (</w:t>
      </w:r>
      <w:r w:rsidRPr="003E1B26">
        <w:rPr>
          <w:rFonts w:ascii="AvenirNext LT Pro Regular" w:hAnsi="AvenirNext LT Pro Regular"/>
          <w:sz w:val="20"/>
          <w:szCs w:val="20"/>
          <w:lang w:val="en-US"/>
        </w:rPr>
        <w:t>PN</w:t>
      </w:r>
      <w:r w:rsidR="00E2503A" w:rsidRPr="003E1B26">
        <w:rPr>
          <w:rFonts w:ascii="AvenirNext LT Pro Regular" w:hAnsi="AvenirNext LT Pro Regular"/>
          <w:sz w:val="20"/>
          <w:szCs w:val="20"/>
          <w:lang w:val="en-US"/>
        </w:rPr>
        <w:t>AD</w:t>
      </w:r>
      <w:r w:rsidR="003E1B26">
        <w:rPr>
          <w:rFonts w:ascii="AvenirNext LT Pro Regular" w:hAnsi="AvenirNext LT Pro Regular"/>
          <w:sz w:val="20"/>
          <w:szCs w:val="20"/>
          <w:lang w:val="en-US"/>
        </w:rPr>
        <w:t>)</w:t>
      </w:r>
      <w:r w:rsidR="00E2503A" w:rsidRPr="003E1B26">
        <w:rPr>
          <w:rFonts w:ascii="AvenirNext LT Pro Regular" w:hAnsi="AvenirNext LT Pro Regular"/>
          <w:sz w:val="20"/>
          <w:szCs w:val="20"/>
          <w:lang w:val="en-US"/>
        </w:rPr>
        <w:t>, 202</w:t>
      </w:r>
      <w:r w:rsidR="001E5E66" w:rsidRPr="003E1B26">
        <w:rPr>
          <w:rFonts w:ascii="AvenirNext LT Pro Regular" w:hAnsi="AvenirNext LT Pro Regular"/>
          <w:sz w:val="20"/>
          <w:szCs w:val="20"/>
          <w:lang w:val="en-US"/>
        </w:rPr>
        <w:t>3</w:t>
      </w:r>
    </w:p>
    <w:sectPr w:rsidR="00FA6FF5" w:rsidRPr="003E1B26" w:rsidSect="00834548">
      <w:pgSz w:w="15840" w:h="12240" w:orient="landscape" w:code="1"/>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Next LT Pro Regular">
    <w:panose1 w:val="020B0504020202020204"/>
    <w:charset w:val="4D"/>
    <w:family w:val="swiss"/>
    <w:notTrueType/>
    <w:pitch w:val="variable"/>
    <w:sig w:usb0="800000A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zMzUzNzE1MLE0NjdX0lEKTi0uzszPAykwrgUAvHnT5ywAAAA="/>
  </w:docVars>
  <w:rsids>
    <w:rsidRoot w:val="00281274"/>
    <w:rsid w:val="000353B8"/>
    <w:rsid w:val="001E5E66"/>
    <w:rsid w:val="00260D4F"/>
    <w:rsid w:val="00281274"/>
    <w:rsid w:val="003E1B26"/>
    <w:rsid w:val="004D17A7"/>
    <w:rsid w:val="004E1792"/>
    <w:rsid w:val="005D10EC"/>
    <w:rsid w:val="00834548"/>
    <w:rsid w:val="00A319EE"/>
    <w:rsid w:val="00AF52EA"/>
    <w:rsid w:val="00B37849"/>
    <w:rsid w:val="00B7714B"/>
    <w:rsid w:val="00BC43FB"/>
    <w:rsid w:val="00D96BE3"/>
    <w:rsid w:val="00E06EDE"/>
    <w:rsid w:val="00E2503A"/>
    <w:rsid w:val="00EC5EE9"/>
    <w:rsid w:val="00EF793E"/>
    <w:rsid w:val="00FA6FF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EA600"/>
  <w15:chartTrackingRefBased/>
  <w15:docId w15:val="{558D6EAC-206A-46EE-851C-9A4077AA4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har"/>
    <w:uiPriority w:val="9"/>
    <w:qFormat/>
    <w:rsid w:val="004E1792"/>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4E1792"/>
    <w:rPr>
      <w:rFonts w:ascii="Times New Roman" w:eastAsia="Times New Roman" w:hAnsi="Times New Roman" w:cs="Times New Roman"/>
      <w:b/>
      <w:bCs/>
      <w:sz w:val="27"/>
      <w:szCs w:val="27"/>
      <w:lang w:eastAsia="pt-BR"/>
    </w:rPr>
  </w:style>
  <w:style w:type="table" w:styleId="Tabelacomgrade">
    <w:name w:val="Table Grid"/>
    <w:basedOn w:val="Tabelanormal"/>
    <w:uiPriority w:val="39"/>
    <w:rsid w:val="004E17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semiHidden/>
    <w:unhideWhenUsed/>
    <w:rsid w:val="004E17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3919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04DF46C-E201-D84B-AD71-1E139DAC4FB0}">
  <we:reference id="wa200001011" version="1.2.0.0" store="pt-BR" storeType="OMEX"/>
  <we:alternateReferences>
    <we:reference id="WA200001011"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6</TotalTime>
  <Pages>4</Pages>
  <Words>1184</Words>
  <Characters>7140</Characters>
  <Application>Microsoft Office Word</Application>
  <DocSecurity>0</DocSecurity>
  <Lines>125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Raphael Guimarães</dc:creator>
  <cp:keywords/>
  <dc:description/>
  <cp:lastModifiedBy>Raphael Mendonça Guimarães</cp:lastModifiedBy>
  <cp:revision>5</cp:revision>
  <dcterms:created xsi:type="dcterms:W3CDTF">2022-12-08T04:42:00Z</dcterms:created>
  <dcterms:modified xsi:type="dcterms:W3CDTF">2025-03-25T02:10:00Z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documentId_5318</vt:lpwstr>
  </property>
  <property fmtid="{D5CDD505-2E9C-101B-9397-08002B2CF9AE}" pid="3" name="grammarly_documentContext">
    <vt:lpwstr>{"goals":[],"domain":"general","emotions":[],"dialect":"american"}</vt:lpwstr>
  </property>
</Properties>
</file>